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EFF" w:rsidRDefault="00B77EFF">
      <w:pPr>
        <w:rPr>
          <w:rFonts w:ascii="TimesNewRomanPSMT" w:hAnsi="TimesNewRomanPSMT" w:cs="TimesNewRomanPSMT"/>
          <w:sz w:val="21"/>
          <w:szCs w:val="21"/>
        </w:rPr>
      </w:pPr>
      <w:proofErr w:type="gramStart"/>
      <w:r>
        <w:rPr>
          <w:rFonts w:ascii="TimesNewRomanPSMT" w:hAnsi="TimesNewRomanPSMT" w:cs="TimesNewRomanPSMT"/>
          <w:sz w:val="21"/>
          <w:szCs w:val="21"/>
        </w:rPr>
        <w:t>Additional file 2.</w:t>
      </w:r>
      <w:proofErr w:type="gramEnd"/>
      <w:r>
        <w:rPr>
          <w:rFonts w:ascii="TimesNewRomanPSMT" w:hAnsi="TimesNewRomanPSMT" w:cs="TimesNewRomanPSMT"/>
          <w:sz w:val="21"/>
          <w:szCs w:val="21"/>
        </w:rPr>
        <w:t xml:space="preserve"> The dilemma of diagnosis of the LR and RN</w:t>
      </w:r>
      <w:bookmarkStart w:id="0" w:name="_GoBack"/>
      <w:bookmarkEnd w:id="0"/>
    </w:p>
    <w:p w:rsidR="00B77EFF" w:rsidRDefault="00B77EFF">
      <w:pPr>
        <w:rPr>
          <w:rFonts w:ascii="TimesNewRomanPSMT" w:hAnsi="TimesNewRomanPSMT" w:cs="TimesNewRomanPSMT"/>
          <w:sz w:val="21"/>
          <w:szCs w:val="21"/>
        </w:rPr>
      </w:pPr>
      <w:r>
        <w:rPr>
          <w:noProof/>
        </w:rPr>
        <w:drawing>
          <wp:inline distT="0" distB="0" distL="0" distR="0" wp14:anchorId="1E1F0FB2" wp14:editId="28A9EEF1">
            <wp:extent cx="5943600" cy="18186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1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7EFF" w:rsidRDefault="00B77EFF" w:rsidP="00B77EFF">
      <w:pPr>
        <w:autoSpaceDE w:val="0"/>
        <w:autoSpaceDN w:val="0"/>
        <w:adjustRightInd w:val="0"/>
        <w:rPr>
          <w:rFonts w:ascii="TimesNewRomanPSMT" w:hAnsi="TimesNewRomanPSMT" w:cs="TimesNewRomanPSMT"/>
          <w:sz w:val="21"/>
          <w:szCs w:val="21"/>
        </w:rPr>
      </w:pPr>
      <w:proofErr w:type="gramStart"/>
      <w:r>
        <w:rPr>
          <w:rFonts w:ascii="TimesNewRomanPSMT" w:hAnsi="TimesNewRomanPSMT" w:cs="TimesNewRomanPSMT"/>
          <w:sz w:val="21"/>
          <w:szCs w:val="21"/>
        </w:rPr>
        <w:t>Case 1.</w:t>
      </w:r>
      <w:proofErr w:type="gramEnd"/>
    </w:p>
    <w:p w:rsidR="00B77EFF" w:rsidRDefault="00B77EFF" w:rsidP="00B77EFF">
      <w:pPr>
        <w:autoSpaceDE w:val="0"/>
        <w:autoSpaceDN w:val="0"/>
        <w:adjustRightInd w:val="0"/>
        <w:rPr>
          <w:rFonts w:ascii="TimesNewRomanPSMT" w:hAnsi="TimesNewRomanPSMT" w:cs="TimesNewRomanPSMT"/>
          <w:sz w:val="21"/>
          <w:szCs w:val="21"/>
        </w:rPr>
      </w:pPr>
      <w:r>
        <w:rPr>
          <w:rFonts w:ascii="TimesNewRomanPSMT" w:hAnsi="TimesNewRomanPSMT" w:cs="TimesNewRomanPSMT"/>
          <w:sz w:val="21"/>
          <w:szCs w:val="21"/>
        </w:rPr>
        <w:t>A. Forty-year-old female, presented with headache and dizziness. Histological-proven</w:t>
      </w:r>
    </w:p>
    <w:p w:rsidR="00B77EFF" w:rsidRDefault="00B77EFF" w:rsidP="00B77EFF">
      <w:pPr>
        <w:autoSpaceDE w:val="0"/>
        <w:autoSpaceDN w:val="0"/>
        <w:adjustRightInd w:val="0"/>
        <w:rPr>
          <w:rFonts w:ascii="TimesNewRomanPSMT" w:hAnsi="TimesNewRomanPSMT" w:cs="TimesNewRomanPSMT"/>
          <w:sz w:val="21"/>
          <w:szCs w:val="21"/>
        </w:rPr>
      </w:pPr>
      <w:proofErr w:type="spellStart"/>
      <w:proofErr w:type="gramStart"/>
      <w:r>
        <w:rPr>
          <w:rFonts w:ascii="TimesNewRomanPSMT" w:hAnsi="TimesNewRomanPSMT" w:cs="TimesNewRomanPSMT"/>
          <w:sz w:val="21"/>
          <w:szCs w:val="21"/>
        </w:rPr>
        <w:t>glioblastoma</w:t>
      </w:r>
      <w:proofErr w:type="spellEnd"/>
      <w:proofErr w:type="gramEnd"/>
      <w:r>
        <w:rPr>
          <w:rFonts w:ascii="TimesNewRomanPSMT" w:hAnsi="TimesNewRomanPSMT" w:cs="TimesNewRomanPSMT"/>
          <w:sz w:val="21"/>
          <w:szCs w:val="21"/>
        </w:rPr>
        <w:t>, MGMT (-), IDH1(+), 1p19q (-).</w:t>
      </w:r>
    </w:p>
    <w:p w:rsidR="00B77EFF" w:rsidRDefault="00B77EFF" w:rsidP="00B77EFF">
      <w:pPr>
        <w:autoSpaceDE w:val="0"/>
        <w:autoSpaceDN w:val="0"/>
        <w:adjustRightInd w:val="0"/>
        <w:rPr>
          <w:rFonts w:ascii="TimesNewRomanPSMT" w:hAnsi="TimesNewRomanPSMT" w:cs="TimesNewRomanPSMT"/>
          <w:sz w:val="21"/>
          <w:szCs w:val="21"/>
        </w:rPr>
      </w:pPr>
      <w:r>
        <w:rPr>
          <w:rFonts w:ascii="TimesNewRomanPSMT" w:hAnsi="TimesNewRomanPSMT" w:cs="TimesNewRomanPSMT"/>
          <w:sz w:val="21"/>
          <w:szCs w:val="21"/>
        </w:rPr>
        <w:t>B. RANO criteria diagnosed recurrence. Seventeen months after surgery and adjuvant</w:t>
      </w:r>
    </w:p>
    <w:p w:rsidR="00B77EFF" w:rsidRDefault="00B77EFF" w:rsidP="00B77EFF">
      <w:pPr>
        <w:autoSpaceDE w:val="0"/>
        <w:autoSpaceDN w:val="0"/>
        <w:adjustRightInd w:val="0"/>
        <w:rPr>
          <w:rFonts w:ascii="TimesNewRomanPSMT" w:hAnsi="TimesNewRomanPSMT" w:cs="TimesNewRomanPSMT"/>
          <w:sz w:val="21"/>
          <w:szCs w:val="21"/>
        </w:rPr>
      </w:pPr>
      <w:proofErr w:type="spellStart"/>
      <w:proofErr w:type="gramStart"/>
      <w:r>
        <w:rPr>
          <w:rFonts w:ascii="TimesNewRomanPSMT" w:hAnsi="TimesNewRomanPSMT" w:cs="TimesNewRomanPSMT"/>
          <w:sz w:val="21"/>
          <w:szCs w:val="21"/>
        </w:rPr>
        <w:t>chemoradiation</w:t>
      </w:r>
      <w:proofErr w:type="spellEnd"/>
      <w:proofErr w:type="gramEnd"/>
      <w:r>
        <w:rPr>
          <w:rFonts w:ascii="TimesNewRomanPSMT" w:hAnsi="TimesNewRomanPSMT" w:cs="TimesNewRomanPSMT"/>
          <w:sz w:val="21"/>
          <w:szCs w:val="21"/>
        </w:rPr>
        <w:t xml:space="preserve"> IMRT 56Gy/28fx and </w:t>
      </w:r>
      <w:proofErr w:type="spellStart"/>
      <w:r>
        <w:rPr>
          <w:rFonts w:ascii="TimesNewRomanPSMT" w:hAnsi="TimesNewRomanPSMT" w:cs="TimesNewRomanPSMT"/>
          <w:sz w:val="21"/>
          <w:szCs w:val="21"/>
        </w:rPr>
        <w:t>temozolomide</w:t>
      </w:r>
      <w:proofErr w:type="spellEnd"/>
      <w:r>
        <w:rPr>
          <w:rFonts w:ascii="TimesNewRomanPSMT" w:hAnsi="TimesNewRomanPSMT" w:cs="TimesNewRomanPSMT"/>
          <w:sz w:val="21"/>
          <w:szCs w:val="21"/>
        </w:rPr>
        <w:t>.</w:t>
      </w:r>
    </w:p>
    <w:p w:rsidR="00B77EFF" w:rsidRDefault="00B77EFF" w:rsidP="00B77EFF">
      <w:pPr>
        <w:autoSpaceDE w:val="0"/>
        <w:autoSpaceDN w:val="0"/>
        <w:adjustRightInd w:val="0"/>
        <w:rPr>
          <w:rFonts w:ascii="TimesNewRomanPSMT" w:hAnsi="TimesNewRomanPSMT" w:cs="TimesNewRomanPSMT"/>
          <w:sz w:val="21"/>
          <w:szCs w:val="21"/>
        </w:rPr>
      </w:pPr>
      <w:r>
        <w:rPr>
          <w:rFonts w:ascii="TimesNewRomanPSMT" w:hAnsi="TimesNewRomanPSMT" w:cs="TimesNewRomanPSMT"/>
          <w:sz w:val="21"/>
          <w:szCs w:val="21"/>
        </w:rPr>
        <w:t>C, D. Recurrence diagnosed by RANO criteria and 11C-methionine PET. Six months after</w:t>
      </w:r>
    </w:p>
    <w:p w:rsidR="00B77EFF" w:rsidRDefault="00B77EFF" w:rsidP="00B77EFF">
      <w:pPr>
        <w:autoSpaceDE w:val="0"/>
        <w:autoSpaceDN w:val="0"/>
        <w:adjustRightInd w:val="0"/>
        <w:rPr>
          <w:rFonts w:ascii="TimesNewRomanPSMT" w:hAnsi="TimesNewRomanPSMT" w:cs="TimesNewRomanPSMT"/>
          <w:sz w:val="21"/>
          <w:szCs w:val="21"/>
        </w:rPr>
      </w:pPr>
      <w:proofErr w:type="spellStart"/>
      <w:proofErr w:type="gramStart"/>
      <w:r>
        <w:rPr>
          <w:rFonts w:ascii="TimesNewRomanPSMT" w:hAnsi="TimesNewRomanPSMT" w:cs="TimesNewRomanPSMT"/>
          <w:sz w:val="21"/>
          <w:szCs w:val="21"/>
        </w:rPr>
        <w:t>CyberKnife</w:t>
      </w:r>
      <w:proofErr w:type="spellEnd"/>
      <w:r>
        <w:rPr>
          <w:rFonts w:ascii="TimesNewRomanPSMT" w:hAnsi="TimesNewRomanPSMT" w:cs="TimesNewRomanPSMT"/>
          <w:sz w:val="21"/>
          <w:szCs w:val="21"/>
        </w:rPr>
        <w:t xml:space="preserve"> 20Gy/5fx with concurrent </w:t>
      </w:r>
      <w:proofErr w:type="spellStart"/>
      <w:r>
        <w:rPr>
          <w:rFonts w:ascii="TimesNewRomanPSMT" w:hAnsi="TimesNewRomanPSMT" w:cs="TimesNewRomanPSMT"/>
          <w:sz w:val="21"/>
          <w:szCs w:val="21"/>
        </w:rPr>
        <w:t>bevacizumab</w:t>
      </w:r>
      <w:proofErr w:type="spellEnd"/>
      <w:r>
        <w:rPr>
          <w:rFonts w:ascii="TimesNewRomanPSMT" w:hAnsi="TimesNewRomanPSMT" w:cs="TimesNewRomanPSMT"/>
          <w:sz w:val="21"/>
          <w:szCs w:val="21"/>
        </w:rPr>
        <w:t>.</w:t>
      </w:r>
      <w:proofErr w:type="gramEnd"/>
    </w:p>
    <w:p w:rsidR="00B77EFF" w:rsidRDefault="00B77EFF" w:rsidP="00B77EFF">
      <w:pPr>
        <w:rPr>
          <w:rFonts w:ascii="TimesNewRomanPSMT" w:hAnsi="TimesNewRomanPSMT" w:cs="TimesNewRomanPSMT"/>
          <w:sz w:val="21"/>
          <w:szCs w:val="21"/>
        </w:rPr>
      </w:pPr>
      <w:r>
        <w:rPr>
          <w:rFonts w:ascii="TimesNewRomanPSMT" w:hAnsi="TimesNewRomanPSMT" w:cs="TimesNewRomanPSMT"/>
          <w:sz w:val="21"/>
          <w:szCs w:val="21"/>
        </w:rPr>
        <w:t>E. Histological-proven radiation necrosis after gross total resection</w:t>
      </w:r>
    </w:p>
    <w:p w:rsidR="00B77EFF" w:rsidRDefault="00B77EFF" w:rsidP="00B77EFF">
      <w:pPr>
        <w:rPr>
          <w:rFonts w:ascii="TimesNewRomanPSMT" w:hAnsi="TimesNewRomanPSMT" w:cs="TimesNewRomanPSMT"/>
          <w:sz w:val="21"/>
          <w:szCs w:val="21"/>
        </w:rPr>
      </w:pPr>
    </w:p>
    <w:p w:rsidR="00B77EFF" w:rsidRDefault="00B77EFF" w:rsidP="00B77EFF">
      <w:pPr>
        <w:rPr>
          <w:rFonts w:ascii="TimesNewRomanPSMT" w:hAnsi="TimesNewRomanPSMT" w:cs="TimesNewRomanPSMT"/>
          <w:sz w:val="21"/>
          <w:szCs w:val="21"/>
        </w:rPr>
      </w:pPr>
      <w:r>
        <w:rPr>
          <w:noProof/>
        </w:rPr>
        <w:drawing>
          <wp:inline distT="0" distB="0" distL="0" distR="0" wp14:anchorId="19B27AD8" wp14:editId="6BA9D644">
            <wp:extent cx="5943600" cy="1975485"/>
            <wp:effectExtent l="0" t="0" r="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75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7EFF" w:rsidRDefault="00B77EFF" w:rsidP="00B77EFF">
      <w:pPr>
        <w:autoSpaceDE w:val="0"/>
        <w:autoSpaceDN w:val="0"/>
        <w:adjustRightInd w:val="0"/>
        <w:rPr>
          <w:rFonts w:ascii="TimesNewRomanPSMT" w:hAnsi="TimesNewRomanPSMT" w:cs="TimesNewRomanPSMT"/>
          <w:sz w:val="21"/>
          <w:szCs w:val="21"/>
        </w:rPr>
      </w:pPr>
      <w:proofErr w:type="gramStart"/>
      <w:r>
        <w:rPr>
          <w:rFonts w:ascii="TimesNewRomanPSMT" w:hAnsi="TimesNewRomanPSMT" w:cs="TimesNewRomanPSMT"/>
          <w:sz w:val="21"/>
          <w:szCs w:val="21"/>
        </w:rPr>
        <w:t>Case 2.</w:t>
      </w:r>
      <w:proofErr w:type="gramEnd"/>
    </w:p>
    <w:p w:rsidR="00B77EFF" w:rsidRDefault="00B77EFF" w:rsidP="00B77EFF">
      <w:pPr>
        <w:autoSpaceDE w:val="0"/>
        <w:autoSpaceDN w:val="0"/>
        <w:adjustRightInd w:val="0"/>
        <w:rPr>
          <w:rFonts w:ascii="TimesNewRomanPSMT" w:hAnsi="TimesNewRomanPSMT" w:cs="TimesNewRomanPSMT"/>
          <w:sz w:val="21"/>
          <w:szCs w:val="21"/>
        </w:rPr>
      </w:pPr>
      <w:proofErr w:type="gramStart"/>
      <w:r>
        <w:rPr>
          <w:rFonts w:ascii="TimesNewRomanPSMT" w:hAnsi="TimesNewRomanPSMT" w:cs="TimesNewRomanPSMT"/>
          <w:sz w:val="21"/>
          <w:szCs w:val="21"/>
        </w:rPr>
        <w:t>A. Fifty-eight years old male.</w:t>
      </w:r>
      <w:proofErr w:type="gramEnd"/>
      <w:r>
        <w:rPr>
          <w:rFonts w:ascii="TimesNewRomanPSMT" w:hAnsi="TimesNewRomanPSMT" w:cs="TimesNewRomanPSMT"/>
          <w:sz w:val="21"/>
          <w:szCs w:val="21"/>
        </w:rPr>
        <w:t xml:space="preserve"> Histological-proven </w:t>
      </w:r>
      <w:proofErr w:type="spellStart"/>
      <w:r>
        <w:rPr>
          <w:rFonts w:ascii="TimesNewRomanPSMT" w:hAnsi="TimesNewRomanPSMT" w:cs="TimesNewRomanPSMT"/>
          <w:sz w:val="21"/>
          <w:szCs w:val="21"/>
        </w:rPr>
        <w:t>glioblastoma</w:t>
      </w:r>
      <w:proofErr w:type="spellEnd"/>
      <w:r>
        <w:rPr>
          <w:rFonts w:ascii="TimesNewRomanPSMT" w:hAnsi="TimesNewRomanPSMT" w:cs="TimesNewRomanPSMT"/>
          <w:sz w:val="21"/>
          <w:szCs w:val="21"/>
        </w:rPr>
        <w:t xml:space="preserve">, MGMT (-), </w:t>
      </w:r>
      <w:proofErr w:type="gramStart"/>
      <w:r>
        <w:rPr>
          <w:rFonts w:ascii="TimesNewRomanPSMT" w:hAnsi="TimesNewRomanPSMT" w:cs="TimesNewRomanPSMT"/>
          <w:sz w:val="21"/>
          <w:szCs w:val="21"/>
        </w:rPr>
        <w:t>IDH1(</w:t>
      </w:r>
      <w:proofErr w:type="gramEnd"/>
      <w:r>
        <w:rPr>
          <w:rFonts w:ascii="TimesNewRomanPSMT" w:hAnsi="TimesNewRomanPSMT" w:cs="TimesNewRomanPSMT"/>
          <w:sz w:val="21"/>
          <w:szCs w:val="21"/>
        </w:rPr>
        <w:t>-), 1p19q (-),</w:t>
      </w:r>
    </w:p>
    <w:p w:rsidR="00B77EFF" w:rsidRDefault="00B77EFF" w:rsidP="00B77EFF">
      <w:pPr>
        <w:autoSpaceDE w:val="0"/>
        <w:autoSpaceDN w:val="0"/>
        <w:adjustRightInd w:val="0"/>
        <w:rPr>
          <w:rFonts w:ascii="TimesNewRomanPSMT" w:hAnsi="TimesNewRomanPSMT" w:cs="TimesNewRomanPSMT"/>
          <w:sz w:val="21"/>
          <w:szCs w:val="21"/>
        </w:rPr>
      </w:pPr>
      <w:proofErr w:type="gramStart"/>
      <w:r>
        <w:rPr>
          <w:rFonts w:ascii="TimesNewRomanPSMT" w:hAnsi="TimesNewRomanPSMT" w:cs="TimesNewRomanPSMT"/>
          <w:sz w:val="21"/>
          <w:szCs w:val="21"/>
        </w:rPr>
        <w:t>TERT (+).</w:t>
      </w:r>
      <w:proofErr w:type="gramEnd"/>
    </w:p>
    <w:p w:rsidR="00B77EFF" w:rsidRDefault="00B77EFF" w:rsidP="00B77EFF">
      <w:pPr>
        <w:autoSpaceDE w:val="0"/>
        <w:autoSpaceDN w:val="0"/>
        <w:adjustRightInd w:val="0"/>
        <w:rPr>
          <w:rFonts w:ascii="TimesNewRomanPSMT" w:hAnsi="TimesNewRomanPSMT" w:cs="TimesNewRomanPSMT"/>
          <w:sz w:val="21"/>
          <w:szCs w:val="21"/>
        </w:rPr>
      </w:pPr>
      <w:r>
        <w:rPr>
          <w:rFonts w:ascii="TimesNewRomanPSMT" w:hAnsi="TimesNewRomanPSMT" w:cs="TimesNewRomanPSMT"/>
          <w:sz w:val="21"/>
          <w:szCs w:val="21"/>
        </w:rPr>
        <w:t xml:space="preserve">B. Treated with surgery and adjuvant </w:t>
      </w:r>
      <w:proofErr w:type="spellStart"/>
      <w:r>
        <w:rPr>
          <w:rFonts w:ascii="TimesNewRomanPSMT" w:hAnsi="TimesNewRomanPSMT" w:cs="TimesNewRomanPSMT"/>
          <w:sz w:val="21"/>
          <w:szCs w:val="21"/>
        </w:rPr>
        <w:t>chemoradiation</w:t>
      </w:r>
      <w:proofErr w:type="spellEnd"/>
      <w:r>
        <w:rPr>
          <w:rFonts w:ascii="TimesNewRomanPSMT" w:hAnsi="TimesNewRomanPSMT" w:cs="TimesNewRomanPSMT"/>
          <w:sz w:val="21"/>
          <w:szCs w:val="21"/>
        </w:rPr>
        <w:t xml:space="preserve"> IMRT 60Gy/30fx plus </w:t>
      </w:r>
      <w:proofErr w:type="spellStart"/>
      <w:r>
        <w:rPr>
          <w:rFonts w:ascii="TimesNewRomanPSMT" w:hAnsi="TimesNewRomanPSMT" w:cs="TimesNewRomanPSMT"/>
          <w:sz w:val="21"/>
          <w:szCs w:val="21"/>
        </w:rPr>
        <w:t>temozolomide</w:t>
      </w:r>
      <w:proofErr w:type="spellEnd"/>
      <w:r>
        <w:rPr>
          <w:rFonts w:ascii="TimesNewRomanPSMT" w:hAnsi="TimesNewRomanPSMT" w:cs="TimesNewRomanPSMT"/>
          <w:sz w:val="21"/>
          <w:szCs w:val="21"/>
        </w:rPr>
        <w:t xml:space="preserve"> and</w:t>
      </w:r>
    </w:p>
    <w:p w:rsidR="00B77EFF" w:rsidRDefault="00B77EFF" w:rsidP="00B77EFF">
      <w:pPr>
        <w:autoSpaceDE w:val="0"/>
        <w:autoSpaceDN w:val="0"/>
        <w:adjustRightInd w:val="0"/>
        <w:rPr>
          <w:rFonts w:ascii="TimesNewRomanPSMT" w:hAnsi="TimesNewRomanPSMT" w:cs="TimesNewRomanPSMT"/>
          <w:sz w:val="21"/>
          <w:szCs w:val="21"/>
        </w:rPr>
      </w:pPr>
      <w:proofErr w:type="gramStart"/>
      <w:r>
        <w:rPr>
          <w:rFonts w:ascii="TimesNewRomanPSMT" w:hAnsi="TimesNewRomanPSMT" w:cs="TimesNewRomanPSMT"/>
          <w:sz w:val="21"/>
          <w:szCs w:val="21"/>
        </w:rPr>
        <w:t>TTF.</w:t>
      </w:r>
      <w:proofErr w:type="gramEnd"/>
      <w:r>
        <w:rPr>
          <w:rFonts w:ascii="TimesNewRomanPSMT" w:hAnsi="TimesNewRomanPSMT" w:cs="TimesNewRomanPSMT"/>
          <w:sz w:val="21"/>
          <w:szCs w:val="21"/>
        </w:rPr>
        <w:t xml:space="preserve"> Four months after initial diagnosis.</w:t>
      </w:r>
    </w:p>
    <w:p w:rsidR="00B77EFF" w:rsidRDefault="00B77EFF" w:rsidP="00B77EFF">
      <w:pPr>
        <w:autoSpaceDE w:val="0"/>
        <w:autoSpaceDN w:val="0"/>
        <w:adjustRightInd w:val="0"/>
        <w:rPr>
          <w:rFonts w:ascii="TimesNewRomanPSMT" w:hAnsi="TimesNewRomanPSMT" w:cs="TimesNewRomanPSMT"/>
          <w:sz w:val="21"/>
          <w:szCs w:val="21"/>
        </w:rPr>
      </w:pPr>
      <w:r>
        <w:rPr>
          <w:rFonts w:ascii="TimesNewRomanPSMT" w:hAnsi="TimesNewRomanPSMT" w:cs="TimesNewRomanPSMT"/>
          <w:sz w:val="21"/>
          <w:szCs w:val="21"/>
        </w:rPr>
        <w:t>C. Twelve months after surgery, RANO criteria diagnosed recurrence.</w:t>
      </w:r>
    </w:p>
    <w:p w:rsidR="00B77EFF" w:rsidRDefault="00B77EFF" w:rsidP="00B77EFF">
      <w:proofErr w:type="gramStart"/>
      <w:r>
        <w:rPr>
          <w:rFonts w:ascii="TimesNewRomanPSMT" w:hAnsi="TimesNewRomanPSMT" w:cs="TimesNewRomanPSMT"/>
          <w:sz w:val="21"/>
          <w:szCs w:val="21"/>
        </w:rPr>
        <w:t xml:space="preserve">D. Three months follow-up after </w:t>
      </w:r>
      <w:proofErr w:type="spellStart"/>
      <w:r>
        <w:rPr>
          <w:rFonts w:ascii="TimesNewRomanPSMT" w:hAnsi="TimesNewRomanPSMT" w:cs="TimesNewRomanPSMT"/>
          <w:sz w:val="21"/>
          <w:szCs w:val="21"/>
        </w:rPr>
        <w:t>CyberKnife</w:t>
      </w:r>
      <w:proofErr w:type="spellEnd"/>
      <w:r>
        <w:rPr>
          <w:rFonts w:ascii="TimesNewRomanPSMT" w:hAnsi="TimesNewRomanPSMT" w:cs="TimesNewRomanPSMT"/>
          <w:sz w:val="21"/>
          <w:szCs w:val="21"/>
        </w:rPr>
        <w:t xml:space="preserve"> 25Gy/5fx with concurrent </w:t>
      </w:r>
      <w:proofErr w:type="spellStart"/>
      <w:r>
        <w:rPr>
          <w:rFonts w:ascii="TimesNewRomanPSMT" w:hAnsi="TimesNewRomanPSMT" w:cs="TimesNewRomanPSMT"/>
          <w:sz w:val="21"/>
          <w:szCs w:val="21"/>
        </w:rPr>
        <w:t>bevacizumab</w:t>
      </w:r>
      <w:proofErr w:type="spellEnd"/>
      <w:r>
        <w:rPr>
          <w:rFonts w:ascii="TimesNewRomanPSMT" w:hAnsi="TimesNewRomanPSMT" w:cs="TimesNewRomanPSMT"/>
          <w:sz w:val="21"/>
          <w:szCs w:val="21"/>
        </w:rPr>
        <w:t>.</w:t>
      </w:r>
      <w:proofErr w:type="gramEnd"/>
    </w:p>
    <w:sectPr w:rsidR="00B77E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EFF"/>
    <w:rsid w:val="0009673C"/>
    <w:rsid w:val="000F1AE7"/>
    <w:rsid w:val="0071427C"/>
    <w:rsid w:val="00A73ED3"/>
    <w:rsid w:val="00B77EFF"/>
    <w:rsid w:val="00BB23E1"/>
    <w:rsid w:val="00D63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aj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AE7"/>
  </w:style>
  <w:style w:type="paragraph" w:styleId="Heading1">
    <w:name w:val="heading 1"/>
    <w:basedOn w:val="Normal"/>
    <w:next w:val="Normal"/>
    <w:link w:val="Heading1Char"/>
    <w:uiPriority w:val="9"/>
    <w:qFormat/>
    <w:rsid w:val="000F1AE7"/>
    <w:pPr>
      <w:keepNext/>
      <w:keepLines/>
      <w:spacing w:before="240"/>
      <w:outlineLvl w:val="0"/>
    </w:pPr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F1AE7"/>
    <w:pPr>
      <w:jc w:val="center"/>
      <w:outlineLvl w:val="1"/>
    </w:pPr>
    <w:rPr>
      <w:rFonts w:eastAsiaTheme="majorEastAsia"/>
      <w:b/>
      <w:bCs/>
      <w:color w:val="000000"/>
      <w:kern w:val="28"/>
      <w:lang w:eastAsia="en-C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F1AE7"/>
    <w:pPr>
      <w:keepNext/>
      <w:keepLines/>
      <w:spacing w:before="40"/>
      <w:outlineLvl w:val="2"/>
    </w:pPr>
    <w:rPr>
      <w:rFonts w:asciiTheme="majorHAnsi" w:eastAsiaTheme="majorEastAsia" w:hAnsiTheme="majorHAns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F1AE7"/>
    <w:pPr>
      <w:keepNext/>
      <w:keepLines/>
      <w:spacing w:before="200"/>
      <w:outlineLvl w:val="3"/>
    </w:pPr>
    <w:rPr>
      <w:rFonts w:asciiTheme="majorHAnsi" w:eastAsiaTheme="majorEastAsia" w:hAnsiTheme="majorHAns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F1AE7"/>
    <w:pPr>
      <w:keepNext/>
      <w:keepLines/>
      <w:spacing w:before="200"/>
      <w:outlineLvl w:val="4"/>
    </w:pPr>
    <w:rPr>
      <w:rFonts w:asciiTheme="majorHAnsi" w:eastAsiaTheme="majorEastAsia" w:hAnsiTheme="majorHAns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F1AE7"/>
    <w:pPr>
      <w:keepNext/>
      <w:keepLines/>
      <w:spacing w:before="200"/>
      <w:outlineLvl w:val="5"/>
    </w:pPr>
    <w:rPr>
      <w:rFonts w:asciiTheme="majorHAnsi" w:eastAsiaTheme="majorEastAsia" w:hAnsiTheme="majorHAns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F1AE7"/>
    <w:pPr>
      <w:keepNext/>
      <w:keepLines/>
      <w:spacing w:before="200"/>
      <w:outlineLvl w:val="6"/>
    </w:pPr>
    <w:rPr>
      <w:rFonts w:asciiTheme="majorHAns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0F1AE7"/>
    <w:pPr>
      <w:keepNext/>
      <w:keepLines/>
      <w:spacing w:before="200"/>
      <w:outlineLvl w:val="7"/>
    </w:pPr>
    <w:rPr>
      <w:rFonts w:asciiTheme="majorHAns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0F1AE7"/>
    <w:pPr>
      <w:keepNext/>
      <w:keepLines/>
      <w:spacing w:before="200"/>
      <w:outlineLvl w:val="8"/>
    </w:pPr>
    <w:rPr>
      <w:rFonts w:asciiTheme="majorHAnsi" w:eastAsiaTheme="majorEastAsia" w:hAnsiTheme="majorHAns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1AE7"/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paragraph" w:styleId="NoSpacing">
    <w:name w:val="No Spacing"/>
    <w:uiPriority w:val="1"/>
    <w:qFormat/>
    <w:rsid w:val="000F1AE7"/>
  </w:style>
  <w:style w:type="character" w:customStyle="1" w:styleId="Heading2Char">
    <w:name w:val="Heading 2 Char"/>
    <w:basedOn w:val="DefaultParagraphFont"/>
    <w:link w:val="Heading2"/>
    <w:rsid w:val="000F1AE7"/>
    <w:rPr>
      <w:rFonts w:eastAsiaTheme="majorEastAsia"/>
      <w:b/>
      <w:bCs/>
      <w:color w:val="000000"/>
      <w:kern w:val="28"/>
      <w:lang w:eastAsia="en-CA"/>
    </w:rPr>
  </w:style>
  <w:style w:type="character" w:customStyle="1" w:styleId="Heading3Char">
    <w:name w:val="Heading 3 Char"/>
    <w:basedOn w:val="DefaultParagraphFont"/>
    <w:link w:val="Heading3"/>
    <w:uiPriority w:val="9"/>
    <w:rsid w:val="000F1AE7"/>
    <w:rPr>
      <w:rFonts w:asciiTheme="majorHAnsi" w:eastAsiaTheme="majorEastAsia" w:hAnsiTheme="majorHAnsi"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0F1AE7"/>
    <w:rPr>
      <w:rFonts w:asciiTheme="majorHAnsi" w:eastAsiaTheme="majorEastAsia" w:hAnsiTheme="majorHAns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0F1AE7"/>
    <w:rPr>
      <w:rFonts w:asciiTheme="majorHAnsi" w:eastAsiaTheme="majorEastAsia" w:hAnsiTheme="majorHAns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0F1AE7"/>
    <w:rPr>
      <w:rFonts w:asciiTheme="majorHAnsi" w:eastAsiaTheme="majorEastAsia" w:hAnsiTheme="majorHAns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0F1AE7"/>
    <w:rPr>
      <w:rFonts w:asciiTheme="majorHAns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0F1AE7"/>
    <w:rPr>
      <w:rFonts w:asciiTheme="majorHAns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0F1AE7"/>
    <w:rPr>
      <w:rFonts w:asciiTheme="majorHAns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0F1AE7"/>
    <w:pPr>
      <w:spacing w:after="200"/>
    </w:pPr>
    <w:rPr>
      <w:b/>
      <w:bCs/>
      <w:color w:val="4472C4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F1AE7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F1AE7"/>
    <w:rPr>
      <w:rFonts w:asciiTheme="majorHAnsi" w:eastAsiaTheme="majorEastAsia" w:hAnsiTheme="majorHAns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1AE7"/>
    <w:pPr>
      <w:numPr>
        <w:ilvl w:val="1"/>
      </w:numPr>
    </w:pPr>
    <w:rPr>
      <w:rFonts w:asciiTheme="majorHAnsi" w:eastAsiaTheme="majorEastAsia" w:hAnsiTheme="majorHAnsi"/>
      <w:i/>
      <w:iCs/>
      <w:color w:val="4472C4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F1AE7"/>
    <w:rPr>
      <w:rFonts w:asciiTheme="majorHAnsi" w:eastAsiaTheme="majorEastAsia" w:hAnsiTheme="majorHAnsi"/>
      <w:i/>
      <w:iCs/>
      <w:color w:val="4472C4" w:themeColor="accent1"/>
      <w:spacing w:val="15"/>
    </w:rPr>
  </w:style>
  <w:style w:type="character" w:styleId="Strong">
    <w:name w:val="Strong"/>
    <w:basedOn w:val="DefaultParagraphFont"/>
    <w:uiPriority w:val="22"/>
    <w:qFormat/>
    <w:rsid w:val="000F1AE7"/>
    <w:rPr>
      <w:b/>
      <w:bCs/>
    </w:rPr>
  </w:style>
  <w:style w:type="character" w:styleId="Emphasis">
    <w:name w:val="Emphasis"/>
    <w:basedOn w:val="DefaultParagraphFont"/>
    <w:uiPriority w:val="20"/>
    <w:qFormat/>
    <w:rsid w:val="000F1AE7"/>
    <w:rPr>
      <w:i/>
      <w:iCs/>
    </w:rPr>
  </w:style>
  <w:style w:type="paragraph" w:styleId="ListParagraph">
    <w:name w:val="List Paragraph"/>
    <w:basedOn w:val="Normal"/>
    <w:uiPriority w:val="34"/>
    <w:qFormat/>
    <w:rsid w:val="000F1AE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F1AE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F1AE7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1AE7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AE7"/>
    <w:rPr>
      <w:b/>
      <w:bCs/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0F1AE7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F1AE7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0F1AE7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F1AE7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F1AE7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0F1AE7"/>
    <w:pPr>
      <w:spacing w:before="480"/>
      <w:outlineLvl w:val="9"/>
    </w:pPr>
    <w:rPr>
      <w:b/>
      <w:b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7E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7E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aj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AE7"/>
  </w:style>
  <w:style w:type="paragraph" w:styleId="Heading1">
    <w:name w:val="heading 1"/>
    <w:basedOn w:val="Normal"/>
    <w:next w:val="Normal"/>
    <w:link w:val="Heading1Char"/>
    <w:uiPriority w:val="9"/>
    <w:qFormat/>
    <w:rsid w:val="000F1AE7"/>
    <w:pPr>
      <w:keepNext/>
      <w:keepLines/>
      <w:spacing w:before="240"/>
      <w:outlineLvl w:val="0"/>
    </w:pPr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F1AE7"/>
    <w:pPr>
      <w:jc w:val="center"/>
      <w:outlineLvl w:val="1"/>
    </w:pPr>
    <w:rPr>
      <w:rFonts w:eastAsiaTheme="majorEastAsia"/>
      <w:b/>
      <w:bCs/>
      <w:color w:val="000000"/>
      <w:kern w:val="28"/>
      <w:lang w:eastAsia="en-C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F1AE7"/>
    <w:pPr>
      <w:keepNext/>
      <w:keepLines/>
      <w:spacing w:before="40"/>
      <w:outlineLvl w:val="2"/>
    </w:pPr>
    <w:rPr>
      <w:rFonts w:asciiTheme="majorHAnsi" w:eastAsiaTheme="majorEastAsia" w:hAnsiTheme="majorHAns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F1AE7"/>
    <w:pPr>
      <w:keepNext/>
      <w:keepLines/>
      <w:spacing w:before="200"/>
      <w:outlineLvl w:val="3"/>
    </w:pPr>
    <w:rPr>
      <w:rFonts w:asciiTheme="majorHAnsi" w:eastAsiaTheme="majorEastAsia" w:hAnsiTheme="majorHAns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F1AE7"/>
    <w:pPr>
      <w:keepNext/>
      <w:keepLines/>
      <w:spacing w:before="200"/>
      <w:outlineLvl w:val="4"/>
    </w:pPr>
    <w:rPr>
      <w:rFonts w:asciiTheme="majorHAnsi" w:eastAsiaTheme="majorEastAsia" w:hAnsiTheme="majorHAns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F1AE7"/>
    <w:pPr>
      <w:keepNext/>
      <w:keepLines/>
      <w:spacing w:before="200"/>
      <w:outlineLvl w:val="5"/>
    </w:pPr>
    <w:rPr>
      <w:rFonts w:asciiTheme="majorHAnsi" w:eastAsiaTheme="majorEastAsia" w:hAnsiTheme="majorHAns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F1AE7"/>
    <w:pPr>
      <w:keepNext/>
      <w:keepLines/>
      <w:spacing w:before="200"/>
      <w:outlineLvl w:val="6"/>
    </w:pPr>
    <w:rPr>
      <w:rFonts w:asciiTheme="majorHAns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0F1AE7"/>
    <w:pPr>
      <w:keepNext/>
      <w:keepLines/>
      <w:spacing w:before="200"/>
      <w:outlineLvl w:val="7"/>
    </w:pPr>
    <w:rPr>
      <w:rFonts w:asciiTheme="majorHAns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0F1AE7"/>
    <w:pPr>
      <w:keepNext/>
      <w:keepLines/>
      <w:spacing w:before="200"/>
      <w:outlineLvl w:val="8"/>
    </w:pPr>
    <w:rPr>
      <w:rFonts w:asciiTheme="majorHAnsi" w:eastAsiaTheme="majorEastAsia" w:hAnsiTheme="majorHAns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1AE7"/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paragraph" w:styleId="NoSpacing">
    <w:name w:val="No Spacing"/>
    <w:uiPriority w:val="1"/>
    <w:qFormat/>
    <w:rsid w:val="000F1AE7"/>
  </w:style>
  <w:style w:type="character" w:customStyle="1" w:styleId="Heading2Char">
    <w:name w:val="Heading 2 Char"/>
    <w:basedOn w:val="DefaultParagraphFont"/>
    <w:link w:val="Heading2"/>
    <w:rsid w:val="000F1AE7"/>
    <w:rPr>
      <w:rFonts w:eastAsiaTheme="majorEastAsia"/>
      <w:b/>
      <w:bCs/>
      <w:color w:val="000000"/>
      <w:kern w:val="28"/>
      <w:lang w:eastAsia="en-CA"/>
    </w:rPr>
  </w:style>
  <w:style w:type="character" w:customStyle="1" w:styleId="Heading3Char">
    <w:name w:val="Heading 3 Char"/>
    <w:basedOn w:val="DefaultParagraphFont"/>
    <w:link w:val="Heading3"/>
    <w:uiPriority w:val="9"/>
    <w:rsid w:val="000F1AE7"/>
    <w:rPr>
      <w:rFonts w:asciiTheme="majorHAnsi" w:eastAsiaTheme="majorEastAsia" w:hAnsiTheme="majorHAnsi"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0F1AE7"/>
    <w:rPr>
      <w:rFonts w:asciiTheme="majorHAnsi" w:eastAsiaTheme="majorEastAsia" w:hAnsiTheme="majorHAns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0F1AE7"/>
    <w:rPr>
      <w:rFonts w:asciiTheme="majorHAnsi" w:eastAsiaTheme="majorEastAsia" w:hAnsiTheme="majorHAns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0F1AE7"/>
    <w:rPr>
      <w:rFonts w:asciiTheme="majorHAnsi" w:eastAsiaTheme="majorEastAsia" w:hAnsiTheme="majorHAns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0F1AE7"/>
    <w:rPr>
      <w:rFonts w:asciiTheme="majorHAns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0F1AE7"/>
    <w:rPr>
      <w:rFonts w:asciiTheme="majorHAns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0F1AE7"/>
    <w:rPr>
      <w:rFonts w:asciiTheme="majorHAns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0F1AE7"/>
    <w:pPr>
      <w:spacing w:after="200"/>
    </w:pPr>
    <w:rPr>
      <w:b/>
      <w:bCs/>
      <w:color w:val="4472C4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F1AE7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F1AE7"/>
    <w:rPr>
      <w:rFonts w:asciiTheme="majorHAnsi" w:eastAsiaTheme="majorEastAsia" w:hAnsiTheme="majorHAns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1AE7"/>
    <w:pPr>
      <w:numPr>
        <w:ilvl w:val="1"/>
      </w:numPr>
    </w:pPr>
    <w:rPr>
      <w:rFonts w:asciiTheme="majorHAnsi" w:eastAsiaTheme="majorEastAsia" w:hAnsiTheme="majorHAnsi"/>
      <w:i/>
      <w:iCs/>
      <w:color w:val="4472C4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F1AE7"/>
    <w:rPr>
      <w:rFonts w:asciiTheme="majorHAnsi" w:eastAsiaTheme="majorEastAsia" w:hAnsiTheme="majorHAnsi"/>
      <w:i/>
      <w:iCs/>
      <w:color w:val="4472C4" w:themeColor="accent1"/>
      <w:spacing w:val="15"/>
    </w:rPr>
  </w:style>
  <w:style w:type="character" w:styleId="Strong">
    <w:name w:val="Strong"/>
    <w:basedOn w:val="DefaultParagraphFont"/>
    <w:uiPriority w:val="22"/>
    <w:qFormat/>
    <w:rsid w:val="000F1AE7"/>
    <w:rPr>
      <w:b/>
      <w:bCs/>
    </w:rPr>
  </w:style>
  <w:style w:type="character" w:styleId="Emphasis">
    <w:name w:val="Emphasis"/>
    <w:basedOn w:val="DefaultParagraphFont"/>
    <w:uiPriority w:val="20"/>
    <w:qFormat/>
    <w:rsid w:val="000F1AE7"/>
    <w:rPr>
      <w:i/>
      <w:iCs/>
    </w:rPr>
  </w:style>
  <w:style w:type="paragraph" w:styleId="ListParagraph">
    <w:name w:val="List Paragraph"/>
    <w:basedOn w:val="Normal"/>
    <w:uiPriority w:val="34"/>
    <w:qFormat/>
    <w:rsid w:val="000F1AE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F1AE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F1AE7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1AE7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AE7"/>
    <w:rPr>
      <w:b/>
      <w:bCs/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0F1AE7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F1AE7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0F1AE7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F1AE7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F1AE7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0F1AE7"/>
    <w:pPr>
      <w:spacing w:before="480"/>
      <w:outlineLvl w:val="9"/>
    </w:pPr>
    <w:rPr>
      <w:b/>
      <w:b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7E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7E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OC37</dc:creator>
  <cp:lastModifiedBy>OC37</cp:lastModifiedBy>
  <cp:revision>1</cp:revision>
  <dcterms:created xsi:type="dcterms:W3CDTF">2021-01-30T01:07:00Z</dcterms:created>
  <dcterms:modified xsi:type="dcterms:W3CDTF">2021-01-30T01:13:00Z</dcterms:modified>
</cp:coreProperties>
</file>