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0AFD3" w14:textId="3E25F273" w:rsidR="001C421D" w:rsidRDefault="00A60F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Supplemental </w:t>
      </w:r>
      <w:r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 The prognostic value of the mRNA expressions</w:t>
      </w:r>
      <w:r>
        <w:rPr>
          <w:rFonts w:ascii="Times New Roman" w:hAnsi="Times New Roman" w:cs="Times New Roman"/>
          <w:sz w:val="24"/>
          <w:szCs w:val="24"/>
        </w:rPr>
        <w:t xml:space="preserve"> of GPC genes in </w:t>
      </w:r>
      <w:r>
        <w:rPr>
          <w:rFonts w:ascii="Times New Roman" w:hAnsi="Times New Roman" w:cs="Times New Roman" w:hint="eastAsia"/>
          <w:sz w:val="24"/>
          <w:szCs w:val="24"/>
        </w:rPr>
        <w:t>sorafenib treatment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HCC </w:t>
      </w:r>
      <w:r>
        <w:rPr>
          <w:rFonts w:ascii="Times New Roman" w:hAnsi="Times New Roman" w:cs="Times New Roman"/>
          <w:sz w:val="24"/>
          <w:szCs w:val="24"/>
        </w:rPr>
        <w:t>patients.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43"/>
        <w:gridCol w:w="1649"/>
        <w:gridCol w:w="1376"/>
        <w:gridCol w:w="1973"/>
        <w:gridCol w:w="1645"/>
      </w:tblGrid>
      <w:tr w:rsidR="001C421D" w14:paraId="11720742" w14:textId="77777777" w:rsidTr="00DB5F7A"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18" w:space="0" w:color="FFFFFF"/>
              <w:right w:val="single" w:sz="8" w:space="0" w:color="9BBB59"/>
            </w:tcBorders>
            <w:shd w:val="clear" w:color="auto" w:fill="9BBB59"/>
            <w:vAlign w:val="center"/>
          </w:tcPr>
          <w:p w14:paraId="4F45F563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Gene</w:t>
            </w:r>
          </w:p>
        </w:tc>
        <w:tc>
          <w:tcPr>
            <w:tcW w:w="1649" w:type="dxa"/>
            <w:tcBorders>
              <w:top w:val="single" w:sz="8" w:space="0" w:color="9BBB59"/>
              <w:left w:val="single" w:sz="8" w:space="0" w:color="9BBB59"/>
              <w:bottom w:val="single" w:sz="18" w:space="0" w:color="FFFFFF"/>
              <w:right w:val="single" w:sz="8" w:space="0" w:color="9BBB59"/>
            </w:tcBorders>
            <w:shd w:val="clear" w:color="auto" w:fill="9BBB59"/>
            <w:vAlign w:val="center"/>
          </w:tcPr>
          <w:p w14:paraId="49E3B899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FFFFFF"/>
                <w:sz w:val="24"/>
                <w:szCs w:val="24"/>
              </w:rPr>
              <w:t>Sorafenib</w:t>
            </w:r>
          </w:p>
        </w:tc>
        <w:tc>
          <w:tcPr>
            <w:tcW w:w="1376" w:type="dxa"/>
            <w:tcBorders>
              <w:top w:val="single" w:sz="8" w:space="0" w:color="9BBB59"/>
              <w:left w:val="single" w:sz="8" w:space="0" w:color="9BBB59"/>
              <w:bottom w:val="single" w:sz="18" w:space="0" w:color="FFFFFF"/>
              <w:right w:val="single" w:sz="8" w:space="0" w:color="9BBB59"/>
            </w:tcBorders>
            <w:shd w:val="clear" w:color="auto" w:fill="9BBB59"/>
            <w:vAlign w:val="center"/>
          </w:tcPr>
          <w:p w14:paraId="402D930F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FFFFFF"/>
                <w:sz w:val="24"/>
                <w:szCs w:val="24"/>
              </w:rPr>
              <w:t>Cases</w:t>
            </w:r>
          </w:p>
        </w:tc>
        <w:tc>
          <w:tcPr>
            <w:tcW w:w="1973" w:type="dxa"/>
            <w:tcBorders>
              <w:top w:val="single" w:sz="8" w:space="0" w:color="9BBB59"/>
              <w:left w:val="single" w:sz="8" w:space="0" w:color="9BBB59"/>
              <w:bottom w:val="single" w:sz="18" w:space="0" w:color="FFFFFF"/>
              <w:right w:val="single" w:sz="8" w:space="0" w:color="9BBB59"/>
            </w:tcBorders>
            <w:shd w:val="clear" w:color="auto" w:fill="9BBB59"/>
            <w:vAlign w:val="center"/>
          </w:tcPr>
          <w:p w14:paraId="2F6F793F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FFFFFF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R (95%CI)</w:t>
            </w:r>
          </w:p>
        </w:tc>
        <w:tc>
          <w:tcPr>
            <w:tcW w:w="1645" w:type="dxa"/>
            <w:tcBorders>
              <w:top w:val="single" w:sz="8" w:space="0" w:color="9BBB59"/>
              <w:left w:val="single" w:sz="8" w:space="0" w:color="9BBB59"/>
              <w:bottom w:val="single" w:sz="18" w:space="0" w:color="FFFFFF"/>
              <w:right w:val="single" w:sz="8" w:space="0" w:color="9BBB59"/>
            </w:tcBorders>
            <w:shd w:val="clear" w:color="auto" w:fill="9BBB59"/>
            <w:vAlign w:val="center"/>
          </w:tcPr>
          <w:p w14:paraId="628B34B6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FFFFFF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value</w:t>
            </w:r>
          </w:p>
        </w:tc>
      </w:tr>
      <w:tr w:rsidR="001C421D" w14:paraId="750681F7" w14:textId="77777777" w:rsidTr="00DB5F7A">
        <w:tc>
          <w:tcPr>
            <w:tcW w:w="1643" w:type="dxa"/>
            <w:tcBorders>
              <w:top w:val="single" w:sz="18" w:space="0" w:color="FFFFFF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5E8D19FC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GPC1</w:t>
            </w:r>
          </w:p>
        </w:tc>
        <w:tc>
          <w:tcPr>
            <w:tcW w:w="1649" w:type="dxa"/>
            <w:tcBorders>
              <w:top w:val="single" w:sz="18" w:space="0" w:color="FFFFFF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662ABC6D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treatment</w:t>
            </w:r>
          </w:p>
        </w:tc>
        <w:tc>
          <w:tcPr>
            <w:tcW w:w="1376" w:type="dxa"/>
            <w:tcBorders>
              <w:top w:val="single" w:sz="18" w:space="0" w:color="FFFFFF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108B804F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73" w:type="dxa"/>
            <w:tcBorders>
              <w:top w:val="single" w:sz="18" w:space="0" w:color="FFFFFF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52C620F4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1.76(0.59-5.28)</w:t>
            </w:r>
          </w:p>
        </w:tc>
        <w:tc>
          <w:tcPr>
            <w:tcW w:w="1645" w:type="dxa"/>
            <w:tcBorders>
              <w:top w:val="single" w:sz="18" w:space="0" w:color="FFFFFF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15EB0AB5" w14:textId="77777777" w:rsidR="001C421D" w:rsidRDefault="00A60FC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0.3051</w:t>
            </w:r>
          </w:p>
        </w:tc>
      </w:tr>
      <w:tr w:rsidR="001C421D" w14:paraId="00230545" w14:textId="77777777" w:rsidTr="00DB5F7A"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15B4D41F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GPC2</w:t>
            </w:r>
          </w:p>
        </w:tc>
        <w:tc>
          <w:tcPr>
            <w:tcW w:w="164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553A789C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treatment</w:t>
            </w:r>
          </w:p>
        </w:tc>
        <w:tc>
          <w:tcPr>
            <w:tcW w:w="137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3F31E039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7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7773C598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0.41(0.12-1.37) </w:t>
            </w:r>
          </w:p>
        </w:tc>
        <w:tc>
          <w:tcPr>
            <w:tcW w:w="164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2F703EB9" w14:textId="77777777" w:rsidR="001C421D" w:rsidRDefault="00A60FC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0.1348</w:t>
            </w:r>
          </w:p>
        </w:tc>
      </w:tr>
      <w:tr w:rsidR="001C421D" w14:paraId="52AC3892" w14:textId="77777777" w:rsidTr="00DB5F7A"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5A8DD52C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GPC3</w:t>
            </w:r>
          </w:p>
        </w:tc>
        <w:tc>
          <w:tcPr>
            <w:tcW w:w="164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0E37E02A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treatment</w:t>
            </w:r>
          </w:p>
        </w:tc>
        <w:tc>
          <w:tcPr>
            <w:tcW w:w="137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109F71B2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7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4FD96340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3.37(0.91-12.49)</w:t>
            </w:r>
          </w:p>
        </w:tc>
        <w:tc>
          <w:tcPr>
            <w:tcW w:w="164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61C160D2" w14:textId="77777777" w:rsidR="001C421D" w:rsidRDefault="00A60FC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0.0534</w:t>
            </w:r>
          </w:p>
        </w:tc>
      </w:tr>
      <w:tr w:rsidR="001C421D" w14:paraId="340BFE68" w14:textId="77777777" w:rsidTr="00DB5F7A"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3403228A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GPC4</w:t>
            </w:r>
          </w:p>
        </w:tc>
        <w:tc>
          <w:tcPr>
            <w:tcW w:w="164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7750D861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treatment</w:t>
            </w:r>
          </w:p>
        </w:tc>
        <w:tc>
          <w:tcPr>
            <w:tcW w:w="137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7389EFAE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7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0DBCDC87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1.97(0.53-7.38)</w:t>
            </w:r>
          </w:p>
        </w:tc>
        <w:tc>
          <w:tcPr>
            <w:tcW w:w="164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2164D354" w14:textId="77777777" w:rsidR="001C421D" w:rsidRDefault="00A60FC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0.3045</w:t>
            </w:r>
          </w:p>
        </w:tc>
      </w:tr>
      <w:tr w:rsidR="001C421D" w14:paraId="20444CC6" w14:textId="77777777" w:rsidTr="00DB5F7A"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4B2B9ACC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GPC5</w:t>
            </w:r>
          </w:p>
        </w:tc>
        <w:tc>
          <w:tcPr>
            <w:tcW w:w="164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62DE54BB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treatment</w:t>
            </w:r>
          </w:p>
        </w:tc>
        <w:tc>
          <w:tcPr>
            <w:tcW w:w="137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066574DC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7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7D40D71D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4.56(0.94-22.27) </w:t>
            </w:r>
          </w:p>
        </w:tc>
        <w:tc>
          <w:tcPr>
            <w:tcW w:w="164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3B896068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0.0439</w:t>
            </w:r>
          </w:p>
        </w:tc>
      </w:tr>
      <w:tr w:rsidR="001C421D" w14:paraId="230888DA" w14:textId="77777777" w:rsidTr="00DB5F7A"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77421D58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GPC6</w:t>
            </w:r>
          </w:p>
        </w:tc>
        <w:tc>
          <w:tcPr>
            <w:tcW w:w="164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3E6CBBDE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treatment</w:t>
            </w:r>
          </w:p>
        </w:tc>
        <w:tc>
          <w:tcPr>
            <w:tcW w:w="137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6C701A13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7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23A5305B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0.15(0.04-0.56) </w:t>
            </w:r>
          </w:p>
        </w:tc>
        <w:tc>
          <w:tcPr>
            <w:tcW w:w="164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133CEACD" w14:textId="77777777" w:rsidR="001C421D" w:rsidRDefault="00A60FC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0.0012</w:t>
            </w:r>
          </w:p>
        </w:tc>
      </w:tr>
    </w:tbl>
    <w:p w14:paraId="1976C686" w14:textId="77777777" w:rsidR="001C421D" w:rsidRDefault="00A60FC5">
      <w:pPr>
        <w:spacing w:line="2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Notes: GPC, glypican; HCC, hepatocellular carcinoma; HR, hazard ratio; CI, </w:t>
      </w:r>
      <w:r>
        <w:rPr>
          <w:rFonts w:ascii="Times New Roman" w:hAnsi="Times New Roman" w:cs="Times New Roman" w:hint="eastAsia"/>
          <w:sz w:val="24"/>
          <w:szCs w:val="24"/>
        </w:rPr>
        <w:t>confidence interval.</w:t>
      </w:r>
    </w:p>
    <w:p w14:paraId="7CAAC669" w14:textId="77777777" w:rsidR="001C421D" w:rsidRDefault="001C42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8AB224" w14:textId="77777777" w:rsidR="001C421D" w:rsidRDefault="001C42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E0DCA0" w14:textId="77777777" w:rsidR="001C421D" w:rsidRDefault="001C42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7CE640" w14:textId="77777777" w:rsidR="001C421D" w:rsidRDefault="001C42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C42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2A2"/>
    <w:rsid w:val="000642A2"/>
    <w:rsid w:val="00076FC9"/>
    <w:rsid w:val="001C421D"/>
    <w:rsid w:val="0043708D"/>
    <w:rsid w:val="006265C2"/>
    <w:rsid w:val="006E11DB"/>
    <w:rsid w:val="008B5E20"/>
    <w:rsid w:val="00A60FC5"/>
    <w:rsid w:val="00A87B76"/>
    <w:rsid w:val="00DB5F7A"/>
    <w:rsid w:val="04777F4E"/>
    <w:rsid w:val="1C2E17C9"/>
    <w:rsid w:val="264D37C5"/>
    <w:rsid w:val="2CF92670"/>
    <w:rsid w:val="38A334DA"/>
    <w:rsid w:val="417471B1"/>
    <w:rsid w:val="47463DBF"/>
    <w:rsid w:val="4AAB66B6"/>
    <w:rsid w:val="4F246066"/>
    <w:rsid w:val="5DC506AA"/>
    <w:rsid w:val="627870BD"/>
    <w:rsid w:val="639E34E1"/>
    <w:rsid w:val="6BA44A87"/>
    <w:rsid w:val="6FBF4A7A"/>
    <w:rsid w:val="73CD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6FF02"/>
  <w15:docId w15:val="{E17655B0-1961-46E5-92DC-61230AF6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宋体" w:hAnsi="Arial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JY W</cp:lastModifiedBy>
  <cp:revision>9</cp:revision>
  <dcterms:created xsi:type="dcterms:W3CDTF">2020-03-25T03:59:00Z</dcterms:created>
  <dcterms:modified xsi:type="dcterms:W3CDTF">2020-09-17T04:59:00Z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