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812" w:rsidRDefault="00C138DD">
      <w:pPr>
        <w:adjustRightInd w:val="0"/>
        <w:snapToGrid w:val="0"/>
        <w:spacing w:line="480" w:lineRule="auto"/>
        <w:jc w:val="left"/>
        <w:outlineLvl w:val="0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Supplement materials</w:t>
      </w:r>
    </w:p>
    <w:p w:rsidR="00A35812" w:rsidRDefault="00C138DD">
      <w:pPr>
        <w:adjustRightInd w:val="0"/>
        <w:snapToGrid w:val="0"/>
        <w:spacing w:line="480" w:lineRule="auto"/>
        <w:jc w:val="left"/>
        <w:rPr>
          <w:rFonts w:ascii="Arial" w:hAnsi="Arial" w:cs="Arial"/>
          <w:b/>
          <w:sz w:val="24"/>
        </w:rPr>
      </w:pPr>
      <w:bookmarkStart w:id="0" w:name="OLE_LINK61"/>
      <w:r>
        <w:rPr>
          <w:rFonts w:ascii="Arial" w:hAnsi="Arial" w:cs="Arial"/>
          <w:b/>
          <w:sz w:val="24"/>
        </w:rPr>
        <w:t>The mediation effect of serum metabolites on the relationship between long-term smoking exposure and esophageal squamous cell carcinoma</w:t>
      </w:r>
    </w:p>
    <w:p w:rsidR="002B6CA8" w:rsidRPr="00925C0E" w:rsidRDefault="002B6CA8" w:rsidP="002B6CA8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Arial" w:hAnsi="Arial" w:cs="Arial"/>
          <w:b/>
          <w:sz w:val="24"/>
          <w:szCs w:val="24"/>
        </w:rPr>
      </w:pPr>
      <w:proofErr w:type="spellStart"/>
      <w:r w:rsidRPr="00925C0E">
        <w:rPr>
          <w:rFonts w:ascii="Arial" w:hAnsi="Arial" w:cs="Arial"/>
          <w:sz w:val="24"/>
          <w:szCs w:val="24"/>
        </w:rPr>
        <w:t>Mengke</w:t>
      </w:r>
      <w:proofErr w:type="spellEnd"/>
      <w:r w:rsidRPr="00925C0E">
        <w:rPr>
          <w:rFonts w:ascii="Arial" w:hAnsi="Arial" w:cs="Arial"/>
          <w:sz w:val="24"/>
          <w:szCs w:val="24"/>
        </w:rPr>
        <w:t xml:space="preserve"> Wei</w:t>
      </w:r>
      <w:r w:rsidRPr="00925C0E">
        <w:rPr>
          <w:rFonts w:ascii="Arial" w:hAnsi="Arial" w:cs="Arial"/>
          <w:sz w:val="24"/>
          <w:szCs w:val="24"/>
          <w:vertAlign w:val="superscript"/>
        </w:rPr>
        <w:t>1</w:t>
      </w:r>
      <w:r w:rsidRPr="00925C0E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 w:hint="eastAsia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ihong</w:t>
      </w:r>
      <w:proofErr w:type="spellEnd"/>
      <w:r>
        <w:rPr>
          <w:rFonts w:ascii="Arial" w:hAnsi="Arial" w:cs="Arial"/>
          <w:sz w:val="24"/>
          <w:szCs w:val="24"/>
        </w:rPr>
        <w:t xml:space="preserve"> Zhao</w:t>
      </w:r>
      <w:r w:rsidRPr="00925C0E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5C0E">
        <w:rPr>
          <w:rFonts w:ascii="Arial" w:hAnsi="Arial" w:cs="Arial"/>
          <w:sz w:val="24"/>
          <w:szCs w:val="24"/>
        </w:rPr>
        <w:t>Jiali</w:t>
      </w:r>
      <w:proofErr w:type="spellEnd"/>
      <w:r w:rsidRPr="00925C0E">
        <w:rPr>
          <w:rFonts w:ascii="Arial" w:hAnsi="Arial" w:cs="Arial"/>
          <w:sz w:val="24"/>
          <w:szCs w:val="24"/>
        </w:rPr>
        <w:t xml:space="preserve"> Lv</w:t>
      </w:r>
      <w:r w:rsidRPr="00925C0E">
        <w:rPr>
          <w:rFonts w:ascii="Arial" w:hAnsi="Arial" w:cs="Arial"/>
          <w:sz w:val="24"/>
          <w:szCs w:val="24"/>
          <w:vertAlign w:val="superscript"/>
        </w:rPr>
        <w:t>1</w:t>
      </w:r>
      <w:r w:rsidRPr="00925C0E">
        <w:rPr>
          <w:rFonts w:ascii="Arial" w:hAnsi="Arial" w:cs="Arial"/>
          <w:sz w:val="24"/>
          <w:szCs w:val="24"/>
        </w:rPr>
        <w:t>, Xia Li</w:t>
      </w:r>
      <w:r w:rsidRPr="00925C0E">
        <w:rPr>
          <w:rFonts w:ascii="Arial" w:hAnsi="Arial" w:cs="Arial"/>
          <w:sz w:val="24"/>
          <w:szCs w:val="24"/>
          <w:vertAlign w:val="superscript"/>
        </w:rPr>
        <w:t>1,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925C0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5C0E">
        <w:rPr>
          <w:rFonts w:ascii="Arial" w:hAnsi="Arial" w:cs="Arial"/>
          <w:sz w:val="24"/>
          <w:szCs w:val="24"/>
        </w:rPr>
        <w:t>Guangshuai</w:t>
      </w:r>
      <w:proofErr w:type="spellEnd"/>
      <w:r w:rsidRPr="00925C0E">
        <w:rPr>
          <w:rFonts w:ascii="Arial" w:hAnsi="Arial" w:cs="Arial"/>
          <w:sz w:val="24"/>
          <w:szCs w:val="24"/>
        </w:rPr>
        <w:t xml:space="preserve"> Zhou</w:t>
      </w:r>
      <w:r w:rsidRPr="00925C0E">
        <w:rPr>
          <w:rFonts w:ascii="Arial" w:hAnsi="Arial" w:cs="Arial"/>
          <w:sz w:val="24"/>
          <w:szCs w:val="24"/>
          <w:vertAlign w:val="superscript"/>
        </w:rPr>
        <w:t>1</w:t>
      </w:r>
      <w:r w:rsidRPr="00925C0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5C0E">
        <w:rPr>
          <w:rFonts w:ascii="Arial" w:hAnsi="Arial" w:cs="Arial"/>
          <w:sz w:val="24"/>
          <w:szCs w:val="24"/>
        </w:rPr>
        <w:t>Bingbing</w:t>
      </w:r>
      <w:proofErr w:type="spellEnd"/>
      <w:r w:rsidRPr="00925C0E">
        <w:rPr>
          <w:rFonts w:ascii="Arial" w:hAnsi="Arial" w:cs="Arial"/>
          <w:sz w:val="24"/>
          <w:szCs w:val="24"/>
        </w:rPr>
        <w:t xml:space="preserve"> Fan</w:t>
      </w:r>
      <w:r w:rsidRPr="00925C0E">
        <w:rPr>
          <w:rFonts w:ascii="Arial" w:hAnsi="Arial" w:cs="Arial"/>
          <w:sz w:val="24"/>
          <w:szCs w:val="24"/>
          <w:vertAlign w:val="superscript"/>
        </w:rPr>
        <w:t>1</w:t>
      </w:r>
      <w:r w:rsidRPr="00925C0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5C0E">
        <w:rPr>
          <w:rFonts w:ascii="Arial" w:hAnsi="Arial" w:cs="Arial"/>
          <w:sz w:val="24"/>
          <w:szCs w:val="24"/>
        </w:rPr>
        <w:t>Xiaotao</w:t>
      </w:r>
      <w:proofErr w:type="spellEnd"/>
      <w:r w:rsidRPr="00925C0E">
        <w:rPr>
          <w:rFonts w:ascii="Arial" w:hAnsi="Arial" w:cs="Arial"/>
          <w:sz w:val="24"/>
          <w:szCs w:val="24"/>
        </w:rPr>
        <w:t xml:space="preserve"> Shen</w:t>
      </w:r>
      <w:r>
        <w:rPr>
          <w:rFonts w:ascii="Arial" w:hAnsi="Arial" w:cs="Arial"/>
          <w:sz w:val="24"/>
          <w:szCs w:val="24"/>
          <w:vertAlign w:val="superscript"/>
        </w:rPr>
        <w:t>4</w:t>
      </w:r>
      <w:r w:rsidRPr="00925C0E">
        <w:rPr>
          <w:rFonts w:ascii="Arial" w:hAnsi="Arial" w:cs="Arial"/>
          <w:sz w:val="24"/>
          <w:szCs w:val="24"/>
        </w:rPr>
        <w:t>, Deli Zhao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925C0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5C0E">
        <w:rPr>
          <w:rFonts w:ascii="Arial" w:hAnsi="Arial" w:cs="Arial"/>
          <w:sz w:val="24"/>
          <w:szCs w:val="24"/>
        </w:rPr>
        <w:t>Fuzhong</w:t>
      </w:r>
      <w:proofErr w:type="spellEnd"/>
      <w:r w:rsidRPr="00925C0E">
        <w:rPr>
          <w:rFonts w:ascii="Arial" w:hAnsi="Arial" w:cs="Arial"/>
          <w:sz w:val="24"/>
          <w:szCs w:val="24"/>
        </w:rPr>
        <w:t xml:space="preserve"> Xue</w:t>
      </w:r>
      <w:r w:rsidRPr="00925C0E">
        <w:rPr>
          <w:rFonts w:ascii="Arial" w:hAnsi="Arial" w:cs="Arial"/>
          <w:sz w:val="24"/>
          <w:szCs w:val="24"/>
          <w:vertAlign w:val="superscript"/>
        </w:rPr>
        <w:t>1</w:t>
      </w:r>
      <w:r w:rsidRPr="00925C0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5C0E">
        <w:rPr>
          <w:rFonts w:ascii="Arial" w:hAnsi="Arial" w:cs="Arial"/>
          <w:sz w:val="24"/>
          <w:szCs w:val="24"/>
        </w:rPr>
        <w:t>Jialin</w:t>
      </w:r>
      <w:proofErr w:type="spellEnd"/>
      <w:r w:rsidRPr="00925C0E">
        <w:rPr>
          <w:rFonts w:ascii="Arial" w:hAnsi="Arial" w:cs="Arial"/>
          <w:sz w:val="24"/>
          <w:szCs w:val="24"/>
        </w:rPr>
        <w:t xml:space="preserve"> Wang</w:t>
      </w:r>
      <w:r w:rsidR="00983ED6" w:rsidRPr="00925C0E">
        <w:rPr>
          <w:rFonts w:ascii="Arial" w:hAnsi="Arial" w:cs="Arial"/>
          <w:sz w:val="24"/>
          <w:szCs w:val="24"/>
          <w:vertAlign w:val="superscript"/>
        </w:rPr>
        <w:t>1,</w:t>
      </w:r>
      <w:r w:rsidR="00983ED6">
        <w:rPr>
          <w:rFonts w:ascii="Arial" w:hAnsi="Arial" w:cs="Arial"/>
          <w:sz w:val="24"/>
          <w:szCs w:val="24"/>
          <w:vertAlign w:val="superscript"/>
        </w:rPr>
        <w:t>3</w:t>
      </w:r>
      <w:r w:rsidRPr="00925C0E">
        <w:rPr>
          <w:rFonts w:ascii="Arial" w:hAnsi="Arial" w:cs="Arial"/>
          <w:sz w:val="24"/>
          <w:szCs w:val="24"/>
        </w:rPr>
        <w:t xml:space="preserve">, </w:t>
      </w:r>
      <w:r w:rsidRPr="00925C0E">
        <w:rPr>
          <w:rFonts w:ascii="Arial" w:hAnsi="Arial" w:cs="Arial"/>
          <w:color w:val="000000" w:themeColor="text1"/>
          <w:sz w:val="24"/>
          <w:szCs w:val="24"/>
        </w:rPr>
        <w:t>Tao Zhang</w:t>
      </w:r>
      <w:r w:rsidRPr="00925C0E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</w:p>
    <w:p w:rsidR="002B6CA8" w:rsidRDefault="002B6CA8" w:rsidP="002B6CA8">
      <w:pPr>
        <w:adjustRightInd w:val="0"/>
        <w:snapToGrid w:val="0"/>
        <w:spacing w:line="480" w:lineRule="auto"/>
        <w:jc w:val="left"/>
        <w:rPr>
          <w:rFonts w:ascii="Arial" w:hAnsi="Arial" w:cs="Arial"/>
          <w:color w:val="000000"/>
          <w:sz w:val="24"/>
          <w:szCs w:val="24"/>
        </w:rPr>
      </w:pPr>
      <w:r w:rsidRPr="00925C0E">
        <w:rPr>
          <w:rFonts w:ascii="Arial" w:hAnsi="Arial" w:cs="Arial"/>
          <w:sz w:val="24"/>
          <w:szCs w:val="24"/>
        </w:rPr>
        <w:t xml:space="preserve">1 Department of Biostatistics, School of Public Health, </w:t>
      </w:r>
      <w:proofErr w:type="spellStart"/>
      <w:r w:rsidRPr="00925C0E">
        <w:rPr>
          <w:rFonts w:ascii="Arial" w:hAnsi="Arial" w:cs="Arial"/>
          <w:sz w:val="24"/>
          <w:szCs w:val="24"/>
        </w:rPr>
        <w:t>Cheeloo</w:t>
      </w:r>
      <w:proofErr w:type="spellEnd"/>
      <w:r w:rsidRPr="00925C0E">
        <w:rPr>
          <w:rFonts w:ascii="Arial" w:hAnsi="Arial" w:cs="Arial"/>
          <w:sz w:val="24"/>
          <w:szCs w:val="24"/>
        </w:rPr>
        <w:t xml:space="preserve"> College of Medicine, Shandong University, Jinan, Shandong, 250012, China</w:t>
      </w:r>
      <w:r w:rsidRPr="00925C0E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B6CA8" w:rsidRPr="00A2110C" w:rsidRDefault="002B6CA8" w:rsidP="002B6CA8">
      <w:pPr>
        <w:adjustRightInd w:val="0"/>
        <w:snapToGrid w:val="0"/>
        <w:spacing w:line="480" w:lineRule="auto"/>
        <w:jc w:val="lef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Pr="00925C0E">
        <w:rPr>
          <w:rFonts w:ascii="Arial" w:hAnsi="Arial" w:cs="Arial"/>
          <w:color w:val="000000"/>
          <w:sz w:val="24"/>
          <w:szCs w:val="24"/>
        </w:rPr>
        <w:t xml:space="preserve"> Tumor Preventative and Therapeutic Base of Shandong Province, </w:t>
      </w:r>
      <w:proofErr w:type="spellStart"/>
      <w:r w:rsidRPr="00925C0E">
        <w:rPr>
          <w:rFonts w:ascii="Arial" w:hAnsi="Arial" w:cs="Arial"/>
          <w:color w:val="000000"/>
          <w:sz w:val="24"/>
          <w:szCs w:val="24"/>
        </w:rPr>
        <w:t>Feicheng</w:t>
      </w:r>
      <w:proofErr w:type="spellEnd"/>
      <w:r w:rsidRPr="00925C0E">
        <w:rPr>
          <w:rFonts w:ascii="Arial" w:hAnsi="Arial" w:cs="Arial"/>
          <w:color w:val="000000"/>
          <w:sz w:val="24"/>
          <w:szCs w:val="24"/>
        </w:rPr>
        <w:t xml:space="preserve"> People’s Hospital, </w:t>
      </w:r>
      <w:proofErr w:type="spellStart"/>
      <w:r w:rsidRPr="00925C0E">
        <w:rPr>
          <w:rFonts w:ascii="Arial" w:hAnsi="Arial" w:cs="Arial"/>
          <w:color w:val="000000"/>
          <w:sz w:val="24"/>
          <w:szCs w:val="24"/>
        </w:rPr>
        <w:t>Feicheng</w:t>
      </w:r>
      <w:proofErr w:type="spellEnd"/>
      <w:r w:rsidRPr="00925C0E">
        <w:rPr>
          <w:rFonts w:ascii="Arial" w:hAnsi="Arial" w:cs="Arial"/>
          <w:color w:val="000000"/>
          <w:sz w:val="24"/>
          <w:szCs w:val="24"/>
        </w:rPr>
        <w:t xml:space="preserve"> 271600, China</w:t>
      </w:r>
    </w:p>
    <w:p w:rsidR="002B6CA8" w:rsidRPr="00925C0E" w:rsidRDefault="002B6CA8" w:rsidP="002B6CA8">
      <w:pPr>
        <w:adjustRightInd w:val="0"/>
        <w:snapToGrid w:val="0"/>
        <w:spacing w:line="480" w:lineRule="auto"/>
        <w:jc w:val="left"/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</w:rPr>
        <w:t>3</w:t>
      </w:r>
      <w:r w:rsidRPr="00925C0E">
        <w:rPr>
          <w:rFonts w:ascii="Arial" w:hAnsi="Arial" w:cs="Arial"/>
          <w:color w:val="0D0D0D" w:themeColor="text1" w:themeTint="F2"/>
          <w:sz w:val="24"/>
          <w:szCs w:val="24"/>
        </w:rPr>
        <w:t xml:space="preserve"> Shandong Cancer Hospital </w:t>
      </w:r>
      <w:r>
        <w:rPr>
          <w:rFonts w:ascii="Arial" w:hAnsi="Arial" w:cs="Arial"/>
          <w:color w:val="0D0D0D" w:themeColor="text1" w:themeTint="F2"/>
          <w:sz w:val="24"/>
          <w:szCs w:val="24"/>
        </w:rPr>
        <w:t>and Institute,</w:t>
      </w:r>
      <w:r w:rsidRPr="00925C0E">
        <w:rPr>
          <w:rFonts w:ascii="Arial" w:hAnsi="Arial" w:cs="Arial"/>
          <w:color w:val="0D0D0D" w:themeColor="text1" w:themeTint="F2"/>
          <w:sz w:val="24"/>
          <w:szCs w:val="24"/>
        </w:rPr>
        <w:t xml:space="preserve"> Shandong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First</w:t>
      </w:r>
      <w:r w:rsidRPr="00925C0E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Medical </w:t>
      </w:r>
      <w:r w:rsidRPr="00925C0E">
        <w:rPr>
          <w:rFonts w:ascii="Arial" w:hAnsi="Arial" w:cs="Arial"/>
          <w:color w:val="0D0D0D" w:themeColor="text1" w:themeTint="F2"/>
          <w:sz w:val="24"/>
          <w:szCs w:val="24"/>
        </w:rPr>
        <w:t>University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and</w:t>
      </w:r>
      <w:r w:rsidRPr="0021198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925C0E">
        <w:rPr>
          <w:rFonts w:ascii="Arial" w:hAnsi="Arial" w:cs="Arial"/>
          <w:color w:val="0D0D0D" w:themeColor="text1" w:themeTint="F2"/>
          <w:sz w:val="24"/>
          <w:szCs w:val="24"/>
        </w:rPr>
        <w:t>Shandong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Academy of Medical Sciences</w:t>
      </w:r>
      <w:r w:rsidRPr="00925C0E">
        <w:rPr>
          <w:rFonts w:ascii="Arial" w:hAnsi="Arial" w:cs="Arial"/>
          <w:color w:val="0D0D0D" w:themeColor="text1" w:themeTint="F2"/>
          <w:sz w:val="24"/>
          <w:szCs w:val="24"/>
        </w:rPr>
        <w:t>, Jinan 250117, China</w:t>
      </w:r>
    </w:p>
    <w:p w:rsidR="002B6CA8" w:rsidRPr="00925C0E" w:rsidRDefault="002B6CA8" w:rsidP="002B6CA8">
      <w:pPr>
        <w:adjustRightInd w:val="0"/>
        <w:snapToGrid w:val="0"/>
        <w:spacing w:line="480" w:lineRule="auto"/>
        <w:jc w:val="lef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</w:t>
      </w:r>
      <w:r w:rsidRPr="00925C0E">
        <w:rPr>
          <w:rFonts w:ascii="Arial" w:hAnsi="Arial" w:cs="Arial"/>
          <w:color w:val="000000"/>
          <w:sz w:val="24"/>
          <w:szCs w:val="24"/>
        </w:rPr>
        <w:t xml:space="preserve"> Interdisciplinary Research Center on Biology and Chemistry, and Shanghai Institute of Organic Chemistry, Chinese Academy of Sciences, Shanghai 200032, China</w:t>
      </w:r>
    </w:p>
    <w:bookmarkEnd w:id="0"/>
    <w:p w:rsidR="006C468B" w:rsidRPr="00E54772" w:rsidRDefault="006C468B" w:rsidP="006C468B">
      <w:pPr>
        <w:adjustRightInd w:val="0"/>
        <w:snapToGrid w:val="0"/>
        <w:spacing w:line="480" w:lineRule="auto"/>
        <w:jc w:val="left"/>
        <w:rPr>
          <w:rFonts w:ascii="Arial" w:eastAsia="Arial Unicode MS" w:hAnsi="Arial" w:cs="Arial"/>
          <w:sz w:val="24"/>
          <w:szCs w:val="24"/>
        </w:rPr>
      </w:pPr>
    </w:p>
    <w:p w:rsidR="006C468B" w:rsidRPr="00925C0E" w:rsidRDefault="006C468B" w:rsidP="006C468B">
      <w:pPr>
        <w:tabs>
          <w:tab w:val="left" w:pos="0"/>
        </w:tabs>
        <w:suppressAutoHyphens/>
        <w:adjustRightInd w:val="0"/>
        <w:snapToGrid w:val="0"/>
        <w:spacing w:line="480" w:lineRule="auto"/>
        <w:jc w:val="left"/>
        <w:rPr>
          <w:rFonts w:ascii="Arial" w:hAnsi="Arial" w:cs="Arial"/>
          <w:b/>
          <w:sz w:val="24"/>
          <w:szCs w:val="24"/>
        </w:rPr>
      </w:pPr>
      <w:r w:rsidRPr="00925C0E">
        <w:rPr>
          <w:rFonts w:ascii="Arial" w:hAnsi="Arial" w:cs="Arial"/>
          <w:b/>
          <w:sz w:val="24"/>
          <w:szCs w:val="24"/>
        </w:rPr>
        <w:t>Correspon</w:t>
      </w:r>
      <w:r w:rsidRPr="00E54772">
        <w:rPr>
          <w:rFonts w:ascii="Arial" w:hAnsi="Arial" w:cs="Arial"/>
          <w:b/>
          <w:sz w:val="24"/>
          <w:szCs w:val="24"/>
        </w:rPr>
        <w:t>ding author:</w:t>
      </w:r>
    </w:p>
    <w:p w:rsidR="006C468B" w:rsidRPr="00925C0E" w:rsidRDefault="006C468B" w:rsidP="006C468B">
      <w:pPr>
        <w:tabs>
          <w:tab w:val="left" w:pos="0"/>
          <w:tab w:val="left" w:pos="720"/>
        </w:tabs>
        <w:suppressAutoHyphens/>
        <w:adjustRightInd w:val="0"/>
        <w:snapToGrid w:val="0"/>
        <w:spacing w:line="480" w:lineRule="auto"/>
        <w:jc w:val="left"/>
        <w:rPr>
          <w:rFonts w:ascii="Arial" w:hAnsi="Arial" w:cs="Arial"/>
          <w:sz w:val="24"/>
          <w:szCs w:val="24"/>
        </w:rPr>
      </w:pPr>
      <w:r w:rsidRPr="00925C0E">
        <w:rPr>
          <w:rFonts w:ascii="Arial" w:hAnsi="Arial" w:cs="Arial"/>
          <w:color w:val="000000" w:themeColor="text1"/>
          <w:sz w:val="24"/>
          <w:szCs w:val="24"/>
        </w:rPr>
        <w:t>Tao Zhang</w:t>
      </w:r>
      <w:r w:rsidRPr="00925C0E">
        <w:rPr>
          <w:rFonts w:ascii="Arial" w:hAnsi="Arial" w:cs="Arial"/>
          <w:sz w:val="24"/>
          <w:szCs w:val="24"/>
        </w:rPr>
        <w:t>, MD, PhD</w:t>
      </w:r>
    </w:p>
    <w:p w:rsidR="006C468B" w:rsidRPr="00925C0E" w:rsidRDefault="006C468B" w:rsidP="006C468B">
      <w:pPr>
        <w:tabs>
          <w:tab w:val="left" w:pos="0"/>
          <w:tab w:val="left" w:pos="720"/>
        </w:tabs>
        <w:suppressAutoHyphens/>
        <w:adjustRightInd w:val="0"/>
        <w:snapToGrid w:val="0"/>
        <w:spacing w:line="480" w:lineRule="auto"/>
        <w:jc w:val="left"/>
        <w:rPr>
          <w:rFonts w:ascii="Arial" w:hAnsi="Arial" w:cs="Arial"/>
          <w:sz w:val="24"/>
          <w:szCs w:val="24"/>
        </w:rPr>
      </w:pPr>
      <w:r w:rsidRPr="00925C0E">
        <w:rPr>
          <w:rFonts w:ascii="Arial" w:hAnsi="Arial" w:cs="Arial"/>
          <w:sz w:val="24"/>
          <w:szCs w:val="24"/>
        </w:rPr>
        <w:t xml:space="preserve">Department of Biostatistics, School of Public Health, </w:t>
      </w:r>
      <w:proofErr w:type="spellStart"/>
      <w:r w:rsidRPr="00925C0E">
        <w:rPr>
          <w:rFonts w:ascii="Arial" w:hAnsi="Arial" w:cs="Arial"/>
          <w:sz w:val="24"/>
          <w:szCs w:val="24"/>
        </w:rPr>
        <w:t>Cheeloo</w:t>
      </w:r>
      <w:proofErr w:type="spellEnd"/>
      <w:r w:rsidRPr="00925C0E">
        <w:rPr>
          <w:rFonts w:ascii="Arial" w:hAnsi="Arial" w:cs="Arial"/>
          <w:sz w:val="24"/>
          <w:szCs w:val="24"/>
        </w:rPr>
        <w:t xml:space="preserve"> College of Medicine, Shandong University, Jinan, Shandong, 250012, China</w:t>
      </w:r>
    </w:p>
    <w:p w:rsidR="006C468B" w:rsidRPr="00925C0E" w:rsidRDefault="006C468B" w:rsidP="006C468B">
      <w:pPr>
        <w:tabs>
          <w:tab w:val="left" w:pos="0"/>
        </w:tabs>
        <w:suppressAutoHyphens/>
        <w:adjustRightInd w:val="0"/>
        <w:snapToGrid w:val="0"/>
        <w:spacing w:line="480" w:lineRule="auto"/>
        <w:jc w:val="left"/>
        <w:rPr>
          <w:rFonts w:ascii="Arial" w:hAnsi="Arial" w:cs="Arial"/>
          <w:sz w:val="24"/>
          <w:szCs w:val="24"/>
        </w:rPr>
      </w:pPr>
      <w:r w:rsidRPr="00925C0E">
        <w:rPr>
          <w:rFonts w:ascii="Arial" w:hAnsi="Arial" w:cs="Arial"/>
          <w:sz w:val="24"/>
          <w:szCs w:val="24"/>
        </w:rPr>
        <w:t xml:space="preserve">PO Box 100, 44 </w:t>
      </w:r>
      <w:proofErr w:type="spellStart"/>
      <w:r w:rsidRPr="00925C0E">
        <w:rPr>
          <w:rFonts w:ascii="Arial" w:hAnsi="Arial" w:cs="Arial"/>
          <w:sz w:val="24"/>
          <w:szCs w:val="24"/>
        </w:rPr>
        <w:t>Wenhua</w:t>
      </w:r>
      <w:proofErr w:type="spellEnd"/>
      <w:r w:rsidRPr="00925C0E">
        <w:rPr>
          <w:rFonts w:ascii="Arial" w:hAnsi="Arial" w:cs="Arial"/>
          <w:sz w:val="24"/>
          <w:szCs w:val="24"/>
        </w:rPr>
        <w:t xml:space="preserve"> Xi Rd, Jinan 250012, China.</w:t>
      </w:r>
    </w:p>
    <w:p w:rsidR="006C468B" w:rsidRPr="00925C0E" w:rsidRDefault="006C468B" w:rsidP="006C468B">
      <w:pPr>
        <w:tabs>
          <w:tab w:val="left" w:pos="0"/>
        </w:tabs>
        <w:suppressAutoHyphens/>
        <w:adjustRightInd w:val="0"/>
        <w:snapToGrid w:val="0"/>
        <w:spacing w:line="480" w:lineRule="auto"/>
        <w:jc w:val="left"/>
        <w:rPr>
          <w:rFonts w:ascii="Arial" w:hAnsi="Arial" w:cs="Arial"/>
          <w:sz w:val="24"/>
          <w:szCs w:val="24"/>
        </w:rPr>
      </w:pPr>
      <w:r w:rsidRPr="00925C0E">
        <w:rPr>
          <w:rFonts w:ascii="Arial" w:hAnsi="Arial" w:cs="Arial"/>
          <w:sz w:val="24"/>
          <w:szCs w:val="24"/>
        </w:rPr>
        <w:t>Fax: 0531-88382140</w:t>
      </w:r>
    </w:p>
    <w:p w:rsidR="003E61FA" w:rsidRDefault="006C468B" w:rsidP="000121B3">
      <w:pPr>
        <w:tabs>
          <w:tab w:val="left" w:pos="0"/>
        </w:tabs>
        <w:suppressAutoHyphens/>
        <w:adjustRightInd w:val="0"/>
        <w:snapToGrid w:val="0"/>
        <w:spacing w:line="480" w:lineRule="auto"/>
        <w:jc w:val="left"/>
        <w:rPr>
          <w:rStyle w:val="a9"/>
          <w:rFonts w:ascii="Arial" w:hAnsi="Arial" w:cs="Arial"/>
          <w:sz w:val="24"/>
          <w:szCs w:val="24"/>
        </w:rPr>
      </w:pPr>
      <w:r w:rsidRPr="00925C0E">
        <w:rPr>
          <w:rFonts w:ascii="Arial" w:hAnsi="Arial" w:cs="Arial"/>
          <w:sz w:val="24"/>
          <w:szCs w:val="24"/>
        </w:rPr>
        <w:t>Email: taozhang@sdu.edu.cn</w:t>
      </w:r>
    </w:p>
    <w:p w:rsidR="000121B3" w:rsidRDefault="000121B3" w:rsidP="000121B3">
      <w:pPr>
        <w:tabs>
          <w:tab w:val="left" w:pos="0"/>
        </w:tabs>
        <w:suppressAutoHyphens/>
        <w:adjustRightInd w:val="0"/>
        <w:snapToGrid w:val="0"/>
        <w:spacing w:line="480" w:lineRule="auto"/>
        <w:jc w:val="left"/>
        <w:rPr>
          <w:rFonts w:ascii="Arial" w:hAnsi="Arial" w:cs="Arial"/>
          <w:color w:val="0000FF"/>
          <w:sz w:val="24"/>
          <w:szCs w:val="24"/>
          <w:u w:val="single"/>
        </w:rPr>
      </w:pPr>
      <w:bookmarkStart w:id="1" w:name="_GoBack"/>
      <w:bookmarkEnd w:id="1"/>
    </w:p>
    <w:p w:rsidR="000121B3" w:rsidRDefault="000121B3" w:rsidP="000121B3">
      <w:pPr>
        <w:tabs>
          <w:tab w:val="left" w:pos="0"/>
        </w:tabs>
        <w:suppressAutoHyphens/>
        <w:adjustRightInd w:val="0"/>
        <w:snapToGrid w:val="0"/>
        <w:spacing w:line="480" w:lineRule="auto"/>
        <w:jc w:val="left"/>
        <w:rPr>
          <w:rFonts w:ascii="Arial" w:hAnsi="Arial" w:cs="Arial"/>
          <w:color w:val="0000FF"/>
          <w:sz w:val="24"/>
          <w:szCs w:val="24"/>
          <w:u w:val="single"/>
        </w:rPr>
      </w:pPr>
    </w:p>
    <w:p w:rsidR="000121B3" w:rsidRDefault="000121B3" w:rsidP="000121B3">
      <w:pPr>
        <w:tabs>
          <w:tab w:val="left" w:pos="0"/>
        </w:tabs>
        <w:suppressAutoHyphens/>
        <w:adjustRightInd w:val="0"/>
        <w:snapToGrid w:val="0"/>
        <w:spacing w:line="480" w:lineRule="auto"/>
        <w:jc w:val="left"/>
        <w:rPr>
          <w:rFonts w:ascii="Arial" w:hAnsi="Arial" w:cs="Arial"/>
          <w:color w:val="0000FF"/>
          <w:sz w:val="24"/>
          <w:szCs w:val="24"/>
          <w:u w:val="single"/>
        </w:rPr>
      </w:pPr>
    </w:p>
    <w:p w:rsidR="000121B3" w:rsidRPr="000121B3" w:rsidRDefault="000121B3" w:rsidP="000121B3">
      <w:pPr>
        <w:tabs>
          <w:tab w:val="left" w:pos="0"/>
        </w:tabs>
        <w:suppressAutoHyphens/>
        <w:adjustRightInd w:val="0"/>
        <w:snapToGrid w:val="0"/>
        <w:spacing w:line="480" w:lineRule="auto"/>
        <w:jc w:val="left"/>
        <w:rPr>
          <w:rFonts w:ascii="Arial" w:hAnsi="Arial" w:cs="Arial" w:hint="eastAsia"/>
          <w:color w:val="0000FF"/>
          <w:sz w:val="24"/>
          <w:szCs w:val="24"/>
          <w:u w:val="single"/>
        </w:rPr>
      </w:pPr>
    </w:p>
    <w:p w:rsidR="00A35812" w:rsidRDefault="00C138DD">
      <w:pPr>
        <w:adjustRightInd w:val="0"/>
        <w:snapToGrid w:val="0"/>
        <w:spacing w:beforeLines="100" w:before="312" w:line="480" w:lineRule="auto"/>
        <w:jc w:val="left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Sample preparation</w:t>
      </w:r>
    </w:p>
    <w:p w:rsidR="00A35812" w:rsidRDefault="00C138DD">
      <w:pPr>
        <w:spacing w:line="480" w:lineRule="auto"/>
        <w:ind w:firstLineChars="250" w:firstLine="630"/>
        <w:jc w:val="left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Serum samples were thawed at 4 </w:t>
      </w:r>
      <w:r>
        <w:rPr>
          <w:rFonts w:ascii="Arial" w:eastAsia="Malgun Gothic Semilight" w:hAnsi="Arial" w:cs="Arial"/>
          <w:sz w:val="24"/>
          <w:szCs w:val="24"/>
        </w:rPr>
        <w:t>˚</w:t>
      </w:r>
      <w:r>
        <w:rPr>
          <w:rFonts w:ascii="Arial" w:eastAsia="Arial Unicode MS" w:hAnsi="Arial" w:cs="Arial"/>
          <w:sz w:val="24"/>
          <w:szCs w:val="24"/>
        </w:rPr>
        <w:t xml:space="preserve">C on ice. Then 50 </w:t>
      </w:r>
      <w:proofErr w:type="spellStart"/>
      <w:r>
        <w:rPr>
          <w:rFonts w:ascii="Arial" w:eastAsia="Malgun Gothic Semilight" w:hAnsi="Arial" w:cs="Arial"/>
          <w:sz w:val="24"/>
          <w:szCs w:val="24"/>
        </w:rPr>
        <w:t>μ</w:t>
      </w:r>
      <w:r>
        <w:rPr>
          <w:rFonts w:ascii="Arial" w:eastAsia="Arial Unicode MS" w:hAnsi="Arial" w:cs="Arial"/>
          <w:sz w:val="24"/>
          <w:szCs w:val="24"/>
        </w:rPr>
        <w:t>L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of serum sample was taken and placed in a 96-well plate, then extracted with 150 </w:t>
      </w:r>
      <w:proofErr w:type="spellStart"/>
      <w:r>
        <w:rPr>
          <w:rFonts w:ascii="Arial" w:eastAsia="Malgun Gothic Semilight" w:hAnsi="Arial" w:cs="Arial"/>
          <w:sz w:val="24"/>
          <w:szCs w:val="24"/>
        </w:rPr>
        <w:t>μ</w:t>
      </w:r>
      <w:r>
        <w:rPr>
          <w:rFonts w:ascii="Arial" w:eastAsia="Arial Unicode MS" w:hAnsi="Arial" w:cs="Arial"/>
          <w:sz w:val="24"/>
          <w:szCs w:val="24"/>
        </w:rPr>
        <w:t>L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of MeOH (which was kept at -20 </w:t>
      </w:r>
      <w:r>
        <w:rPr>
          <w:rFonts w:ascii="Arial" w:eastAsia="Malgun Gothic Semilight" w:hAnsi="Arial" w:cs="Arial"/>
          <w:sz w:val="24"/>
          <w:szCs w:val="24"/>
        </w:rPr>
        <w:t>˚</w:t>
      </w:r>
      <w:r>
        <w:rPr>
          <w:rFonts w:ascii="Arial" w:eastAsia="Arial Unicode MS" w:hAnsi="Arial" w:cs="Arial"/>
          <w:sz w:val="24"/>
          <w:szCs w:val="24"/>
        </w:rPr>
        <w:t xml:space="preserve">C before extraction) using Bravo liquid handling system (Agilent Technologies, USA), and followed by vortex for 30 s and incubation for 2 h at -20 </w:t>
      </w:r>
      <w:r>
        <w:rPr>
          <w:rFonts w:ascii="Arial" w:eastAsia="Malgun Gothic Semilight" w:hAnsi="Arial" w:cs="Arial"/>
          <w:sz w:val="24"/>
          <w:szCs w:val="24"/>
        </w:rPr>
        <w:t>˚</w:t>
      </w:r>
      <w:r>
        <w:rPr>
          <w:rFonts w:ascii="Arial" w:eastAsia="Arial Unicode MS" w:hAnsi="Arial" w:cs="Arial"/>
          <w:sz w:val="24"/>
          <w:szCs w:val="24"/>
        </w:rPr>
        <w:t xml:space="preserve">C to precipitate proteins. The 96-well plate was then centrifuged at 4000 rpm for 20 min at 4 </w:t>
      </w:r>
      <w:r>
        <w:rPr>
          <w:rFonts w:ascii="Arial" w:eastAsia="Malgun Gothic Semilight" w:hAnsi="Arial" w:cs="Arial"/>
          <w:sz w:val="24"/>
          <w:szCs w:val="24"/>
        </w:rPr>
        <w:t>˚</w:t>
      </w:r>
      <w:r>
        <w:rPr>
          <w:rFonts w:ascii="Arial" w:eastAsia="Arial Unicode MS" w:hAnsi="Arial" w:cs="Arial"/>
          <w:sz w:val="24"/>
          <w:szCs w:val="24"/>
        </w:rPr>
        <w:t xml:space="preserve">C. The resulting supernatants were transferred to LC–MS vials and stored at -80 </w:t>
      </w:r>
      <w:r>
        <w:rPr>
          <w:rFonts w:ascii="Malgun Gothic Semilight" w:eastAsia="Malgun Gothic Semilight" w:hAnsi="Malgun Gothic Semilight" w:cs="Malgun Gothic Semilight" w:hint="eastAsia"/>
          <w:sz w:val="24"/>
          <w:szCs w:val="24"/>
        </w:rPr>
        <w:t>˚</w:t>
      </w:r>
      <w:r>
        <w:rPr>
          <w:rFonts w:ascii="Arial" w:eastAsia="Arial Unicode MS" w:hAnsi="Arial" w:cs="Arial"/>
          <w:sz w:val="24"/>
          <w:szCs w:val="24"/>
        </w:rPr>
        <w:t>C</w:t>
      </w:r>
      <w:r>
        <w:rPr>
          <w:rFonts w:ascii="Arial" w:eastAsia="Arial Unicode MS" w:hAnsi="Arial" w:cs="Arial" w:hint="eastAsia"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>until the UHPLC-QTOF/MS analysis.</w:t>
      </w:r>
    </w:p>
    <w:p w:rsidR="00A35812" w:rsidRDefault="00C138DD">
      <w:pPr>
        <w:adjustRightInd w:val="0"/>
        <w:snapToGrid w:val="0"/>
        <w:spacing w:beforeLines="100" w:before="312" w:line="480" w:lineRule="auto"/>
        <w:jc w:val="left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UHPLC-QTOF/MS analysis</w:t>
      </w:r>
    </w:p>
    <w:p w:rsidR="00A35812" w:rsidRDefault="00C138DD">
      <w:pPr>
        <w:spacing w:line="480" w:lineRule="auto"/>
        <w:ind w:firstLineChars="250" w:firstLine="630"/>
        <w:jc w:val="left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The serum samples were randomly injected for the UHPLC-QTOF/MS analysis. Quality control (QC) samples were prepared by pooling aliquots of all serum samples that were representative of the serum samples under analysis, and used for data normalization. Blank samples (75 % ACN in water) and QC samples were injected every eight samples during acquisition.</w:t>
      </w:r>
    </w:p>
    <w:p w:rsidR="00A35812" w:rsidRDefault="00C138DD">
      <w:pPr>
        <w:spacing w:line="480" w:lineRule="auto"/>
        <w:ind w:firstLineChars="250" w:firstLine="630"/>
        <w:jc w:val="left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The UHPLC-QTOF/MS analyses were performed using a UHPLC system (1290 series, Agilent Technologies, USA) coupled to a quadruple time-of-flight (QTOF) mass spectrometer (Agilent 6550 </w:t>
      </w:r>
      <w:proofErr w:type="spellStart"/>
      <w:r>
        <w:rPr>
          <w:rFonts w:ascii="Arial" w:eastAsia="Arial Unicode MS" w:hAnsi="Arial" w:cs="Arial"/>
          <w:sz w:val="24"/>
          <w:szCs w:val="24"/>
        </w:rPr>
        <w:t>iFunnel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Q-TOF, Agilent Technologies, USA). Waters ACQUITY UHPLC HSS T3 columns [particle size, 1.8 </w:t>
      </w:r>
      <w:proofErr w:type="spellStart"/>
      <w:r>
        <w:rPr>
          <w:rFonts w:ascii="Arial" w:eastAsia="Malgun Gothic Semilight" w:hAnsi="Arial" w:cs="Arial"/>
          <w:sz w:val="24"/>
          <w:szCs w:val="24"/>
        </w:rPr>
        <w:t>μ</w:t>
      </w:r>
      <w:r>
        <w:rPr>
          <w:rFonts w:ascii="Arial" w:eastAsia="Arial Unicode MS" w:hAnsi="Arial" w:cs="Arial"/>
          <w:sz w:val="24"/>
          <w:szCs w:val="24"/>
        </w:rPr>
        <w:t>m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; 100 mm (length) </w:t>
      </w:r>
      <w:r>
        <w:rPr>
          <w:rFonts w:ascii="Arial" w:eastAsia="Malgun Gothic Semilight" w:hAnsi="Arial" w:cs="Arial"/>
          <w:sz w:val="24"/>
          <w:szCs w:val="24"/>
        </w:rPr>
        <w:t>Χ</w:t>
      </w:r>
      <w:r>
        <w:rPr>
          <w:rFonts w:ascii="Arial" w:eastAsia="Arial Unicode MS" w:hAnsi="Arial" w:cs="Arial"/>
          <w:sz w:val="24"/>
          <w:szCs w:val="24"/>
        </w:rPr>
        <w:t xml:space="preserve"> 2.1 mm (i.d.)] were used for the LC separation and the column temperature was kept as 25 </w:t>
      </w:r>
      <w:r>
        <w:rPr>
          <w:rFonts w:ascii="Arial" w:eastAsia="Malgun Gothic Semilight" w:hAnsi="Arial" w:cs="Arial"/>
          <w:sz w:val="24"/>
          <w:szCs w:val="24"/>
        </w:rPr>
        <w:t>˚</w:t>
      </w:r>
      <w:r>
        <w:rPr>
          <w:rFonts w:ascii="Arial" w:eastAsia="Arial Unicode MS" w:hAnsi="Arial" w:cs="Arial"/>
          <w:sz w:val="24"/>
          <w:szCs w:val="24"/>
        </w:rPr>
        <w:t xml:space="preserve">C. The flow rate was 0.5 mL/min and the sample injection volume </w:t>
      </w:r>
      <w:proofErr w:type="gramStart"/>
      <w:r>
        <w:rPr>
          <w:rFonts w:ascii="Arial" w:eastAsia="Arial Unicode MS" w:hAnsi="Arial" w:cs="Arial"/>
          <w:sz w:val="24"/>
          <w:szCs w:val="24"/>
        </w:rPr>
        <w:t>was</w:t>
      </w:r>
      <w:proofErr w:type="gramEnd"/>
      <w:r>
        <w:rPr>
          <w:rFonts w:ascii="Arial" w:eastAsia="Arial Unicode MS" w:hAnsi="Arial" w:cs="Arial"/>
          <w:sz w:val="24"/>
          <w:szCs w:val="24"/>
        </w:rPr>
        <w:t xml:space="preserve"> 6 </w:t>
      </w:r>
      <w:proofErr w:type="spellStart"/>
      <w:r>
        <w:rPr>
          <w:rFonts w:ascii="Arial" w:eastAsia="Malgun Gothic Semilight" w:hAnsi="Arial" w:cs="Arial"/>
          <w:sz w:val="24"/>
          <w:szCs w:val="24"/>
        </w:rPr>
        <w:t>μ</w:t>
      </w:r>
      <w:r>
        <w:rPr>
          <w:rFonts w:ascii="Arial" w:eastAsia="Arial Unicode MS" w:hAnsi="Arial" w:cs="Arial"/>
          <w:sz w:val="24"/>
          <w:szCs w:val="24"/>
        </w:rPr>
        <w:t>L</w:t>
      </w:r>
      <w:proofErr w:type="spellEnd"/>
      <w:r>
        <w:rPr>
          <w:rFonts w:ascii="Arial" w:eastAsia="Arial Unicode MS" w:hAnsi="Arial" w:cs="Arial"/>
          <w:sz w:val="24"/>
          <w:szCs w:val="24"/>
        </w:rPr>
        <w:t>. The mobile phases A was 0.1 % FA in water in positive mode (ESI+) or 0.5 mM NH</w:t>
      </w:r>
      <w:r>
        <w:rPr>
          <w:rFonts w:ascii="Arial" w:eastAsia="Arial Unicode MS" w:hAnsi="Arial" w:cs="Arial"/>
          <w:sz w:val="24"/>
          <w:szCs w:val="24"/>
          <w:vertAlign w:val="subscript"/>
        </w:rPr>
        <w:t>4</w:t>
      </w:r>
      <w:r>
        <w:rPr>
          <w:rFonts w:ascii="Arial" w:eastAsia="Arial Unicode MS" w:hAnsi="Arial" w:cs="Arial"/>
          <w:sz w:val="24"/>
          <w:szCs w:val="24"/>
        </w:rPr>
        <w:t xml:space="preserve">F in water in negative mode (ESI-), and B was 0.1 % FA in ACN in positive mode or 100 % ACN in negative mode. The linear gradient was set as follows: 0–1 min: 1 % B, 1–8 min: 1 % B to 100 % B, 8–10 min: 100 % B, 10–10.1 </w:t>
      </w:r>
      <w:r>
        <w:rPr>
          <w:rFonts w:ascii="Arial" w:eastAsia="Arial Unicode MS" w:hAnsi="Arial" w:cs="Arial"/>
          <w:sz w:val="24"/>
          <w:szCs w:val="24"/>
        </w:rPr>
        <w:lastRenderedPageBreak/>
        <w:t xml:space="preserve">min: 100 % B to 1 % B, 10.1–12 min: 1 % B. The acquisition rate was set as 4 spectra/s and the TOF mass range was set as m/z 50–1200 Da. The parameters of MS data acquisition were set as follows: sheath gas temperature, 400 </w:t>
      </w:r>
      <w:r>
        <w:rPr>
          <w:rFonts w:ascii="Arial" w:eastAsia="Malgun Gothic Semilight" w:hAnsi="Arial" w:cs="Arial"/>
          <w:sz w:val="24"/>
          <w:szCs w:val="24"/>
        </w:rPr>
        <w:t>˚</w:t>
      </w:r>
      <w:r>
        <w:rPr>
          <w:rFonts w:ascii="Arial" w:eastAsia="Arial Unicode MS" w:hAnsi="Arial" w:cs="Arial"/>
          <w:sz w:val="24"/>
          <w:szCs w:val="24"/>
        </w:rPr>
        <w:t xml:space="preserve">C; dry gas temperature, 250 </w:t>
      </w:r>
      <w:r>
        <w:rPr>
          <w:rFonts w:ascii="Arial" w:eastAsia="Malgun Gothic Semilight" w:hAnsi="Arial" w:cs="Arial"/>
          <w:sz w:val="24"/>
          <w:szCs w:val="24"/>
        </w:rPr>
        <w:t>˚</w:t>
      </w:r>
      <w:r>
        <w:rPr>
          <w:rFonts w:ascii="Arial" w:eastAsia="Arial Unicode MS" w:hAnsi="Arial" w:cs="Arial"/>
          <w:sz w:val="24"/>
          <w:szCs w:val="24"/>
        </w:rPr>
        <w:t>C; sheath gas flow, 12 L/min; dry gas flow, 16 L/min; capillary voltage, 3000 V in positive mode or -3000 V in negative mode, respectively; nozzle voltage, 0 V; and nebulizer pressure, 20 psi in positive or 40 psi in negative mode, respectively.</w:t>
      </w:r>
    </w:p>
    <w:p w:rsidR="00A35812" w:rsidRDefault="00C138DD">
      <w:pPr>
        <w:spacing w:line="480" w:lineRule="auto"/>
        <w:ind w:firstLineChars="250" w:firstLine="630"/>
        <w:jc w:val="left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Tandem mass spectrometry (MS/MS) data acquisition was performed using another quadruple time-of-flight mass spectrometer (Triple TOF 5600+, AB SCIEX, USA). QC samples were used for MS/MS data acquisition. To expand the coverage of MS/MS spectra, the mass range were divided into four segments: 50–300 Da, 290–600 Da, 590–900 Da, 890–1200 Da. The acquired MS/MS spectra were matched against in-house tandem MS spectral library for metabolite identification. The source parameters were set as follows: GAS1, 60; GAS2: 60; CUR: 30; TEM: 600 </w:t>
      </w:r>
      <w:r>
        <w:rPr>
          <w:rFonts w:ascii="Arial" w:eastAsia="Malgun Gothic Semilight" w:hAnsi="Arial" w:cs="Arial"/>
          <w:sz w:val="24"/>
          <w:szCs w:val="24"/>
        </w:rPr>
        <w:t>˚</w:t>
      </w:r>
      <w:r>
        <w:rPr>
          <w:rFonts w:ascii="Arial" w:eastAsia="Arial Unicode MS" w:hAnsi="Arial" w:cs="Arial"/>
          <w:sz w:val="24"/>
          <w:szCs w:val="24"/>
        </w:rPr>
        <w:t>C; ISVF: 5500 V and -4500 V in positive and negative modes, respectively.</w:t>
      </w:r>
    </w:p>
    <w:p w:rsidR="00A35812" w:rsidRDefault="00C138DD">
      <w:pPr>
        <w:adjustRightInd w:val="0"/>
        <w:snapToGrid w:val="0"/>
        <w:spacing w:beforeLines="100" w:before="312" w:line="480" w:lineRule="auto"/>
        <w:jc w:val="left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Data preprocessing and annotation</w:t>
      </w:r>
    </w:p>
    <w:p w:rsidR="00A35812" w:rsidRDefault="00C138DD">
      <w:pPr>
        <w:spacing w:line="480" w:lineRule="auto"/>
        <w:ind w:firstLineChars="250" w:firstLine="630"/>
        <w:jc w:val="left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MS raw data </w:t>
      </w:r>
      <w:proofErr w:type="gramStart"/>
      <w:r>
        <w:rPr>
          <w:rFonts w:ascii="Arial" w:eastAsia="Arial Unicode MS" w:hAnsi="Arial" w:cs="Arial"/>
          <w:sz w:val="24"/>
          <w:szCs w:val="24"/>
        </w:rPr>
        <w:t>(.d</w:t>
      </w:r>
      <w:proofErr w:type="gramEnd"/>
      <w:r>
        <w:rPr>
          <w:rFonts w:ascii="Arial" w:eastAsia="Arial Unicode MS" w:hAnsi="Arial" w:cs="Arial"/>
          <w:sz w:val="24"/>
          <w:szCs w:val="24"/>
        </w:rPr>
        <w:t xml:space="preserve">) files were converted to the </w:t>
      </w:r>
      <w:proofErr w:type="spellStart"/>
      <w:r>
        <w:rPr>
          <w:rFonts w:ascii="Arial" w:eastAsia="Arial Unicode MS" w:hAnsi="Arial" w:cs="Arial"/>
          <w:sz w:val="24"/>
          <w:szCs w:val="24"/>
        </w:rPr>
        <w:t>mzXML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format using </w:t>
      </w:r>
      <w:proofErr w:type="spellStart"/>
      <w:r>
        <w:rPr>
          <w:rFonts w:ascii="Arial" w:eastAsia="Arial Unicode MS" w:hAnsi="Arial" w:cs="Arial"/>
          <w:sz w:val="24"/>
          <w:szCs w:val="24"/>
        </w:rPr>
        <w:t>ProteoWizard</w:t>
      </w:r>
      <w:proofErr w:type="spellEnd"/>
      <w:r>
        <w:rPr>
          <w:rFonts w:ascii="Arial" w:eastAsia="Arial Unicode MS" w:hAnsi="Arial" w:cs="Arial"/>
          <w:sz w:val="24"/>
          <w:szCs w:val="24"/>
        </w:rPr>
        <w:t>, and processed by R package XCMS (version 3.2). The preprocessing results generated a data matrix that consisted of the retention time (RT), mass-to-charge ratio (m/z) values, and peak intensity. R package CAMERA was used for peak annotation after XCMS data processing. Metabolic features detected less than 80% in all the QC samples were discarded. Only monoisotopic peaks annotated by CAMERA were selected for the subsequent statistical analyses.</w:t>
      </w:r>
    </w:p>
    <w:p w:rsidR="00A35812" w:rsidRDefault="00C138DD">
      <w:pPr>
        <w:adjustRightInd w:val="0"/>
        <w:snapToGrid w:val="0"/>
        <w:spacing w:beforeLines="100" w:before="312" w:line="480" w:lineRule="auto"/>
        <w:jc w:val="left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Metabolite identification</w:t>
      </w:r>
    </w:p>
    <w:p w:rsidR="00A35812" w:rsidRDefault="00C138DD">
      <w:pPr>
        <w:adjustRightInd w:val="0"/>
        <w:snapToGrid w:val="0"/>
        <w:spacing w:line="480" w:lineRule="auto"/>
        <w:ind w:firstLineChars="200" w:firstLine="480"/>
        <w:jc w:val="left"/>
        <w:outlineLvl w:val="0"/>
        <w:rPr>
          <w:rFonts w:ascii="Arial" w:hAnsi="Arial" w:cs="Arial"/>
          <w:color w:val="000000" w:themeColor="text1"/>
          <w:kern w:val="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Tandem mass spectrometry (MS/MS) spectra data for metabolites were acquired using AB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Sciex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TripleTOF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5600+. </w:t>
      </w:r>
      <w:r>
        <w:rPr>
          <w:rFonts w:ascii="Arial" w:hAnsi="Arial" w:cs="Arial"/>
          <w:color w:val="000000" w:themeColor="text1"/>
          <w:kern w:val="0"/>
          <w:sz w:val="24"/>
          <w:szCs w:val="24"/>
        </w:rPr>
        <w:t>The acquired MS/MS spectra were matched against our in-house standard MS/MS spectral library and metabolite standards. The MS/MS spectra match score was calculated using dot-product algorithm ranging from 0-1. The cutoff for match score was set as 0.8. The MS/MS spectra match results were further manually checked to confirm the identification. All the m/z errors are less than 25 ppm and all the RT errors are less than 18 seconds.</w:t>
      </w:r>
    </w:p>
    <w:p w:rsidR="00A35812" w:rsidRDefault="00C138DD">
      <w:pPr>
        <w:adjustRightInd w:val="0"/>
        <w:snapToGrid w:val="0"/>
        <w:spacing w:line="480" w:lineRule="auto"/>
        <w:ind w:firstLineChars="200" w:firstLine="480"/>
        <w:jc w:val="left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There are two lipids that were identified through manual analysis of accurate mass and MS/MS spectra. In brief, characteristic ion of phosphatidylcholine (184.0739, positive mode) was found in both MS/MS spectra, therefore, the two metabolites were identified as phosphatidylcholine (PC). The search of accurate mass against all PC lipids identifies the two lipids as </w:t>
      </w:r>
      <w:r>
        <w:rPr>
          <w:rFonts w:ascii="Arial" w:hAnsi="Arial" w:cs="Arial"/>
          <w:sz w:val="24"/>
          <w:szCs w:val="24"/>
        </w:rPr>
        <w:t>PC</w:t>
      </w:r>
      <w:r w:rsidR="000121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(14:0/0:0) and PC</w:t>
      </w:r>
      <w:r w:rsidR="000121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(16:0/18:2).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Then the chemical structures of other fragments were also inferred to further confirm the structure of </w:t>
      </w:r>
      <w:r>
        <w:rPr>
          <w:rFonts w:ascii="Arial" w:hAnsi="Arial" w:cs="Arial"/>
          <w:sz w:val="24"/>
          <w:szCs w:val="24"/>
        </w:rPr>
        <w:t>PC</w:t>
      </w:r>
      <w:r w:rsidR="000121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(14:0/0:0) and PC</w:t>
      </w:r>
      <w:r w:rsidR="000121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(16:0/18:2)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35812" w:rsidRDefault="00C138DD">
      <w:pPr>
        <w:adjustRightInd w:val="0"/>
        <w:snapToGrid w:val="0"/>
        <w:spacing w:line="480" w:lineRule="auto"/>
        <w:ind w:firstLineChars="200" w:firstLine="480"/>
        <w:jc w:val="lef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Secondly, the biomarkers whose MS/MS spectra were not matched in our in-house databases or cannot be interpreted by MS/MS spectra, were searched against online databases of HMDB (</w:t>
      </w:r>
      <w:hyperlink r:id="rId7" w:history="1">
        <w:r>
          <w:rPr>
            <w:rStyle w:val="a9"/>
            <w:rFonts w:ascii="Arial" w:hAnsi="Arial" w:cs="Arial"/>
            <w:color w:val="000000" w:themeColor="text1"/>
            <w:sz w:val="24"/>
            <w:szCs w:val="24"/>
          </w:rPr>
          <w:t>www.hmdb.ca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>), METLIN (</w:t>
      </w:r>
      <w:hyperlink r:id="rId8" w:history="1">
        <w:r>
          <w:rPr>
            <w:rStyle w:val="a9"/>
            <w:rFonts w:ascii="Arial" w:hAnsi="Arial" w:cs="Arial"/>
            <w:color w:val="000000" w:themeColor="text1"/>
            <w:sz w:val="24"/>
            <w:szCs w:val="24"/>
          </w:rPr>
          <w:t>http://metlin.scripps.edu/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>) and KEGG (</w:t>
      </w:r>
      <w:hyperlink r:id="rId9" w:history="1">
        <w:r>
          <w:rPr>
            <w:rStyle w:val="a9"/>
            <w:rFonts w:ascii="Arial" w:hAnsi="Arial" w:cs="Arial"/>
            <w:color w:val="000000" w:themeColor="text1"/>
            <w:sz w:val="24"/>
            <w:szCs w:val="24"/>
          </w:rPr>
          <w:t>http://www.genome.jp/kegg/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>). The mass tolerance between the measured m/z values and the exact masses of the components of interest was set to within 30 ppm. The potential biomarkers were identified according to their molecular weights.</w:t>
      </w:r>
    </w:p>
    <w:p w:rsidR="006C468B" w:rsidRPr="000121B3" w:rsidRDefault="000121B3">
      <w:pPr>
        <w:widowControl/>
        <w:jc w:val="left"/>
        <w:rPr>
          <w:rFonts w:ascii="Arial" w:hAnsi="Arial" w:cs="Arial" w:hint="eastAsia"/>
          <w:color w:val="000000" w:themeColor="text1"/>
          <w:sz w:val="28"/>
          <w:szCs w:val="28"/>
        </w:rPr>
      </w:pPr>
      <w:r>
        <w:rPr>
          <w:rFonts w:ascii="Arial" w:hAnsi="Arial" w:cs="Arial" w:hint="eastAsia"/>
          <w:color w:val="000000" w:themeColor="text1"/>
          <w:sz w:val="28"/>
          <w:szCs w:val="28"/>
        </w:rPr>
        <w:t xml:space="preserve"> </w:t>
      </w:r>
    </w:p>
    <w:sectPr w:rsidR="006C468B" w:rsidRPr="000121B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3AA" w:rsidRDefault="004D53AA" w:rsidP="00711E0A">
      <w:r>
        <w:separator/>
      </w:r>
    </w:p>
  </w:endnote>
  <w:endnote w:type="continuationSeparator" w:id="0">
    <w:p w:rsidR="004D53AA" w:rsidRDefault="004D53AA" w:rsidP="0071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3AA" w:rsidRDefault="004D53AA" w:rsidP="00711E0A">
      <w:r>
        <w:separator/>
      </w:r>
    </w:p>
  </w:footnote>
  <w:footnote w:type="continuationSeparator" w:id="0">
    <w:p w:rsidR="004D53AA" w:rsidRDefault="004D53AA" w:rsidP="00711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Y_MEDREF_DOCUID" w:val="{54F10DE4-DEB2-4EBD-9938-C79EF6AA2A29}"/>
    <w:docVar w:name="KY_MEDREF_VERSION" w:val="3"/>
  </w:docVars>
  <w:rsids>
    <w:rsidRoot w:val="00004C34"/>
    <w:rsid w:val="00004C34"/>
    <w:rsid w:val="000121B3"/>
    <w:rsid w:val="000D416B"/>
    <w:rsid w:val="001542F4"/>
    <w:rsid w:val="00187339"/>
    <w:rsid w:val="001C0177"/>
    <w:rsid w:val="002B3FEA"/>
    <w:rsid w:val="002B6CA8"/>
    <w:rsid w:val="002D5E33"/>
    <w:rsid w:val="002E4EAE"/>
    <w:rsid w:val="00311B4E"/>
    <w:rsid w:val="003331F1"/>
    <w:rsid w:val="003825D3"/>
    <w:rsid w:val="003E61FA"/>
    <w:rsid w:val="004A6E01"/>
    <w:rsid w:val="004D53AA"/>
    <w:rsid w:val="004E2422"/>
    <w:rsid w:val="005272EA"/>
    <w:rsid w:val="00611EAA"/>
    <w:rsid w:val="006C468B"/>
    <w:rsid w:val="00711E0A"/>
    <w:rsid w:val="0074360F"/>
    <w:rsid w:val="007E6338"/>
    <w:rsid w:val="007E6DF2"/>
    <w:rsid w:val="008E2B2C"/>
    <w:rsid w:val="00921F83"/>
    <w:rsid w:val="00922A49"/>
    <w:rsid w:val="00983ED6"/>
    <w:rsid w:val="00992257"/>
    <w:rsid w:val="00A04ECD"/>
    <w:rsid w:val="00A10ECD"/>
    <w:rsid w:val="00A35812"/>
    <w:rsid w:val="00A6440F"/>
    <w:rsid w:val="00AE4DDE"/>
    <w:rsid w:val="00AF179A"/>
    <w:rsid w:val="00B36B00"/>
    <w:rsid w:val="00B95BA1"/>
    <w:rsid w:val="00C138DD"/>
    <w:rsid w:val="00C13F67"/>
    <w:rsid w:val="00C56BFD"/>
    <w:rsid w:val="00C73609"/>
    <w:rsid w:val="00D10A80"/>
    <w:rsid w:val="00D76380"/>
    <w:rsid w:val="00EA3CEC"/>
    <w:rsid w:val="00FB3BA1"/>
    <w:rsid w:val="0B620EA1"/>
    <w:rsid w:val="2AE94CD7"/>
    <w:rsid w:val="2B53790F"/>
    <w:rsid w:val="34374727"/>
    <w:rsid w:val="59793123"/>
    <w:rsid w:val="5ED46B9C"/>
    <w:rsid w:val="63E0318F"/>
    <w:rsid w:val="6612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9A1B8"/>
  <w15:docId w15:val="{1E05F0A3-38B7-4A02-B0E4-EFE89E25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uiPriority w:val="99"/>
    <w:unhideWhenUsed/>
    <w:qFormat/>
    <w:pPr>
      <w:spacing w:after="120"/>
      <w:ind w:left="360"/>
      <w:jc w:val="left"/>
    </w:pPr>
    <w:rPr>
      <w:rFonts w:ascii="Courier" w:eastAsia="宋体" w:hAnsi="Courier" w:cs="Times New Roman"/>
      <w:snapToGrid w:val="0"/>
      <w:kern w:val="0"/>
      <w:sz w:val="16"/>
      <w:szCs w:val="16"/>
      <w:lang w:eastAsia="en-US"/>
    </w:rPr>
  </w:style>
  <w:style w:type="character" w:styleId="a9">
    <w:name w:val="Hyperlink"/>
    <w:uiPriority w:val="99"/>
    <w:unhideWhenUsed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30">
    <w:name w:val="正文文本缩进 3 字符"/>
    <w:basedOn w:val="a0"/>
    <w:link w:val="3"/>
    <w:uiPriority w:val="99"/>
    <w:qFormat/>
    <w:rPr>
      <w:rFonts w:ascii="Courier" w:eastAsia="宋体" w:hAnsi="Courier" w:cs="Times New Roman"/>
      <w:snapToGrid w:val="0"/>
      <w:kern w:val="0"/>
      <w:sz w:val="16"/>
      <w:szCs w:val="16"/>
      <w:lang w:eastAsia="en-US"/>
    </w:rPr>
  </w:style>
  <w:style w:type="character" w:styleId="aa">
    <w:name w:val="Unresolved Mention"/>
    <w:basedOn w:val="a0"/>
    <w:uiPriority w:val="99"/>
    <w:semiHidden/>
    <w:unhideWhenUsed/>
    <w:rsid w:val="00012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lin.scripps.e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mdb.c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enome.jp/kegg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925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wmk</dc:creator>
  <cp:lastModifiedBy>62683</cp:lastModifiedBy>
  <cp:revision>15</cp:revision>
  <dcterms:created xsi:type="dcterms:W3CDTF">2020-07-18T05:43:00Z</dcterms:created>
  <dcterms:modified xsi:type="dcterms:W3CDTF">2020-09-25T07:30:00Z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