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F35B9" w14:textId="029D5CBC" w:rsidR="00572AEF" w:rsidRPr="004B3080" w:rsidRDefault="00C20439" w:rsidP="0030770D">
      <w:r w:rsidRPr="004B3080">
        <w:t xml:space="preserve">Supplemental </w:t>
      </w:r>
      <w:r w:rsidR="00AF627F" w:rsidRPr="004B3080">
        <w:t>Table I</w:t>
      </w:r>
    </w:p>
    <w:tbl>
      <w:tblPr>
        <w:tblStyle w:val="TableGrid"/>
        <w:tblW w:w="0" w:type="auto"/>
        <w:tblLook w:val="04A0" w:firstRow="1" w:lastRow="0" w:firstColumn="1" w:lastColumn="0" w:noHBand="0" w:noVBand="1"/>
      </w:tblPr>
      <w:tblGrid>
        <w:gridCol w:w="1096"/>
        <w:gridCol w:w="2153"/>
        <w:gridCol w:w="1232"/>
        <w:gridCol w:w="2075"/>
        <w:gridCol w:w="2394"/>
        <w:gridCol w:w="1619"/>
        <w:gridCol w:w="2273"/>
        <w:gridCol w:w="1548"/>
      </w:tblGrid>
      <w:tr w:rsidR="0086568D" w:rsidRPr="004B3080" w14:paraId="29616419" w14:textId="77777777" w:rsidTr="00C23420">
        <w:tc>
          <w:tcPr>
            <w:tcW w:w="0" w:type="auto"/>
          </w:tcPr>
          <w:p w14:paraId="061FB3D2" w14:textId="7BE8CF46" w:rsidR="00F47A53" w:rsidRPr="004B3080" w:rsidRDefault="00F47A53" w:rsidP="0030770D">
            <w:pPr>
              <w:rPr>
                <w:sz w:val="20"/>
                <w:szCs w:val="20"/>
              </w:rPr>
            </w:pPr>
            <w:r w:rsidRPr="004B3080">
              <w:rPr>
                <w:sz w:val="20"/>
                <w:szCs w:val="20"/>
              </w:rPr>
              <w:t xml:space="preserve">Study </w:t>
            </w:r>
          </w:p>
        </w:tc>
        <w:tc>
          <w:tcPr>
            <w:tcW w:w="2153" w:type="dxa"/>
          </w:tcPr>
          <w:p w14:paraId="09422967" w14:textId="3601B6A7" w:rsidR="00F47A53" w:rsidRPr="004B3080" w:rsidRDefault="00F47A53" w:rsidP="0030770D">
            <w:pPr>
              <w:rPr>
                <w:sz w:val="20"/>
                <w:szCs w:val="20"/>
              </w:rPr>
            </w:pPr>
            <w:r w:rsidRPr="004B3080">
              <w:rPr>
                <w:sz w:val="20"/>
                <w:szCs w:val="20"/>
              </w:rPr>
              <w:t xml:space="preserve">Variable </w:t>
            </w:r>
          </w:p>
        </w:tc>
        <w:tc>
          <w:tcPr>
            <w:tcW w:w="1233" w:type="dxa"/>
          </w:tcPr>
          <w:p w14:paraId="4A3B0B0A" w14:textId="6570B403" w:rsidR="00F47A53" w:rsidRPr="004B3080" w:rsidRDefault="00F47A53" w:rsidP="0030770D">
            <w:pPr>
              <w:rPr>
                <w:sz w:val="20"/>
                <w:szCs w:val="20"/>
              </w:rPr>
            </w:pPr>
            <w:r w:rsidRPr="004B3080">
              <w:rPr>
                <w:sz w:val="20"/>
                <w:szCs w:val="20"/>
              </w:rPr>
              <w:t>Threshold</w:t>
            </w:r>
          </w:p>
        </w:tc>
        <w:tc>
          <w:tcPr>
            <w:tcW w:w="2075" w:type="dxa"/>
          </w:tcPr>
          <w:p w14:paraId="5623686E" w14:textId="183400ED" w:rsidR="00F47A53" w:rsidRPr="004B3080" w:rsidRDefault="006B055D" w:rsidP="0030770D">
            <w:pPr>
              <w:rPr>
                <w:sz w:val="20"/>
                <w:szCs w:val="20"/>
              </w:rPr>
            </w:pPr>
            <w:r w:rsidRPr="004B3080">
              <w:rPr>
                <w:sz w:val="20"/>
                <w:szCs w:val="20"/>
              </w:rPr>
              <w:t>Time</w:t>
            </w:r>
          </w:p>
        </w:tc>
        <w:tc>
          <w:tcPr>
            <w:tcW w:w="2397" w:type="dxa"/>
          </w:tcPr>
          <w:p w14:paraId="276A3016" w14:textId="0F86A118" w:rsidR="00F47A53" w:rsidRPr="004B3080" w:rsidRDefault="00F47A53" w:rsidP="0030770D">
            <w:pPr>
              <w:rPr>
                <w:sz w:val="20"/>
                <w:szCs w:val="20"/>
              </w:rPr>
            </w:pPr>
            <w:r w:rsidRPr="004B3080">
              <w:rPr>
                <w:sz w:val="20"/>
                <w:szCs w:val="20"/>
              </w:rPr>
              <w:t>Outcome</w:t>
            </w:r>
          </w:p>
        </w:tc>
        <w:tc>
          <w:tcPr>
            <w:tcW w:w="1620" w:type="dxa"/>
          </w:tcPr>
          <w:p w14:paraId="2FC37397" w14:textId="0EAB4D85" w:rsidR="00F47A53" w:rsidRPr="004B3080" w:rsidRDefault="006B055D" w:rsidP="0030770D">
            <w:pPr>
              <w:rPr>
                <w:sz w:val="20"/>
                <w:szCs w:val="20"/>
              </w:rPr>
            </w:pPr>
            <w:r w:rsidRPr="004B3080">
              <w:rPr>
                <w:sz w:val="20"/>
                <w:szCs w:val="20"/>
              </w:rPr>
              <w:t>n</w:t>
            </w:r>
          </w:p>
        </w:tc>
        <w:tc>
          <w:tcPr>
            <w:tcW w:w="2277" w:type="dxa"/>
          </w:tcPr>
          <w:p w14:paraId="78363926" w14:textId="4071AAD2" w:rsidR="00F47A53" w:rsidRPr="004B3080" w:rsidRDefault="006B055D" w:rsidP="0030770D">
            <w:pPr>
              <w:rPr>
                <w:sz w:val="20"/>
                <w:szCs w:val="20"/>
              </w:rPr>
            </w:pPr>
            <w:r w:rsidRPr="004B3080">
              <w:rPr>
                <w:sz w:val="20"/>
                <w:szCs w:val="20"/>
              </w:rPr>
              <w:t>HR</w:t>
            </w:r>
          </w:p>
        </w:tc>
        <w:tc>
          <w:tcPr>
            <w:tcW w:w="0" w:type="auto"/>
          </w:tcPr>
          <w:p w14:paraId="533B6A14" w14:textId="2D42D504" w:rsidR="00F47A53" w:rsidRPr="004B3080" w:rsidRDefault="00E44C16" w:rsidP="0030770D">
            <w:pPr>
              <w:rPr>
                <w:sz w:val="20"/>
                <w:szCs w:val="20"/>
              </w:rPr>
            </w:pPr>
            <w:r w:rsidRPr="004B3080">
              <w:rPr>
                <w:sz w:val="20"/>
                <w:szCs w:val="20"/>
              </w:rPr>
              <w:t>drug</w:t>
            </w:r>
            <w:r w:rsidR="000E411E" w:rsidRPr="004B3080">
              <w:rPr>
                <w:sz w:val="20"/>
                <w:szCs w:val="20"/>
              </w:rPr>
              <w:t>s</w:t>
            </w:r>
          </w:p>
        </w:tc>
      </w:tr>
      <w:tr w:rsidR="0086568D" w:rsidRPr="004B3080" w14:paraId="7B82DBA3" w14:textId="77777777" w:rsidTr="00C23420">
        <w:tc>
          <w:tcPr>
            <w:tcW w:w="0" w:type="auto"/>
          </w:tcPr>
          <w:p w14:paraId="04CEBF11" w14:textId="667DF813" w:rsidR="007A19BC" w:rsidRPr="004B3080" w:rsidRDefault="007A19BC" w:rsidP="0030770D">
            <w:pPr>
              <w:rPr>
                <w:sz w:val="20"/>
                <w:szCs w:val="20"/>
              </w:rPr>
            </w:pPr>
            <w:r w:rsidRPr="004B3080">
              <w:rPr>
                <w:sz w:val="20"/>
                <w:szCs w:val="20"/>
              </w:rPr>
              <w:t>Kiriu et al 2017</w:t>
            </w:r>
            <w:sdt>
              <w:sdtPr>
                <w:rPr>
                  <w:sz w:val="20"/>
                  <w:szCs w:val="20"/>
                </w:rPr>
                <w:alias w:val="SmartCite Citation"/>
                <w:tag w:val="4e0192db-b678-400e-ba1d-e378d3262964:69907a05-822b-4415-9bab-79c27ff9d661"/>
                <w:id w:val="-337463547"/>
                <w:placeholder>
                  <w:docPart w:val="DefaultPlaceholder_-1854013440"/>
                </w:placeholder>
              </w:sdtPr>
              <w:sdtEndPr/>
              <w:sdtContent>
                <w:r w:rsidR="00C96079" w:rsidRPr="004B3080">
                  <w:rPr>
                    <w:rFonts w:eastAsia="Times New Roman"/>
                    <w:vertAlign w:val="superscript"/>
                  </w:rPr>
                  <w:t>1</w:t>
                </w:r>
              </w:sdtContent>
            </w:sdt>
          </w:p>
        </w:tc>
        <w:tc>
          <w:tcPr>
            <w:tcW w:w="2153" w:type="dxa"/>
          </w:tcPr>
          <w:p w14:paraId="0A849B50" w14:textId="0512DD6A" w:rsidR="007A19BC" w:rsidRPr="004B3080" w:rsidRDefault="005724BF" w:rsidP="0030770D">
            <w:pPr>
              <w:rPr>
                <w:sz w:val="20"/>
                <w:szCs w:val="20"/>
              </w:rPr>
            </w:pPr>
            <w:r w:rsidRPr="004B3080">
              <w:rPr>
                <w:rFonts w:cstheme="minorHAnsi"/>
                <w:sz w:val="20"/>
                <w:szCs w:val="20"/>
              </w:rPr>
              <w:t>Δ</w:t>
            </w:r>
            <w:r w:rsidR="006F086A" w:rsidRPr="004B3080">
              <w:rPr>
                <w:sz w:val="20"/>
                <w:szCs w:val="20"/>
              </w:rPr>
              <w:t xml:space="preserve">NLR </w:t>
            </w:r>
          </w:p>
        </w:tc>
        <w:tc>
          <w:tcPr>
            <w:tcW w:w="1233" w:type="dxa"/>
          </w:tcPr>
          <w:p w14:paraId="1C46FF04" w14:textId="3909B678" w:rsidR="007A19BC" w:rsidRPr="004B3080" w:rsidRDefault="00620176" w:rsidP="0030770D">
            <w:pPr>
              <w:rPr>
                <w:rFonts w:cstheme="minorHAnsi"/>
                <w:sz w:val="20"/>
                <w:szCs w:val="20"/>
              </w:rPr>
            </w:pPr>
            <w:r w:rsidRPr="004B3080">
              <w:rPr>
                <w:rFonts w:cstheme="minorHAnsi"/>
                <w:sz w:val="20"/>
                <w:szCs w:val="20"/>
              </w:rPr>
              <w:t xml:space="preserve">&gt;30% </w:t>
            </w:r>
            <w:r w:rsidR="005724BF" w:rsidRPr="004B3080">
              <w:rPr>
                <w:rFonts w:cstheme="minorHAnsi"/>
                <w:sz w:val="20"/>
                <w:szCs w:val="20"/>
              </w:rPr>
              <w:t>change in</w:t>
            </w:r>
            <w:r w:rsidRPr="004B3080">
              <w:rPr>
                <w:rFonts w:cstheme="minorHAnsi"/>
                <w:sz w:val="20"/>
                <w:szCs w:val="20"/>
              </w:rPr>
              <w:t xml:space="preserve"> NLR</w:t>
            </w:r>
          </w:p>
        </w:tc>
        <w:tc>
          <w:tcPr>
            <w:tcW w:w="2075" w:type="dxa"/>
          </w:tcPr>
          <w:p w14:paraId="790177CC" w14:textId="36C561C9" w:rsidR="007A19BC" w:rsidRPr="004B3080" w:rsidRDefault="00620176" w:rsidP="0030770D">
            <w:pPr>
              <w:rPr>
                <w:sz w:val="20"/>
                <w:szCs w:val="20"/>
              </w:rPr>
            </w:pPr>
            <w:r w:rsidRPr="004B3080">
              <w:rPr>
                <w:sz w:val="20"/>
                <w:szCs w:val="20"/>
              </w:rPr>
              <w:t>after first cycle;</w:t>
            </w:r>
          </w:p>
          <w:p w14:paraId="6AB203B5" w14:textId="681559C7" w:rsidR="00620176" w:rsidRPr="004B3080" w:rsidRDefault="00620176" w:rsidP="0030770D">
            <w:pPr>
              <w:rPr>
                <w:sz w:val="20"/>
                <w:szCs w:val="20"/>
              </w:rPr>
            </w:pPr>
            <w:r w:rsidRPr="004B3080">
              <w:rPr>
                <w:sz w:val="20"/>
                <w:szCs w:val="20"/>
              </w:rPr>
              <w:t>and second cycle</w:t>
            </w:r>
          </w:p>
        </w:tc>
        <w:tc>
          <w:tcPr>
            <w:tcW w:w="2397" w:type="dxa"/>
          </w:tcPr>
          <w:p w14:paraId="4A452CFE" w14:textId="1E870283" w:rsidR="007A19BC" w:rsidRPr="004B3080" w:rsidRDefault="00620176" w:rsidP="0030770D">
            <w:pPr>
              <w:rPr>
                <w:sz w:val="20"/>
                <w:szCs w:val="20"/>
              </w:rPr>
            </w:pPr>
            <w:r w:rsidRPr="004B3080">
              <w:rPr>
                <w:sz w:val="20"/>
                <w:szCs w:val="20"/>
              </w:rPr>
              <w:t>shorter TTF</w:t>
            </w:r>
          </w:p>
        </w:tc>
        <w:tc>
          <w:tcPr>
            <w:tcW w:w="1620" w:type="dxa"/>
          </w:tcPr>
          <w:p w14:paraId="5ADBD7E0" w14:textId="61AD1663" w:rsidR="007A19BC" w:rsidRPr="004B3080" w:rsidRDefault="006F086A" w:rsidP="0030770D">
            <w:pPr>
              <w:rPr>
                <w:sz w:val="20"/>
                <w:szCs w:val="20"/>
              </w:rPr>
            </w:pPr>
            <w:r w:rsidRPr="004B3080">
              <w:rPr>
                <w:sz w:val="20"/>
                <w:szCs w:val="20"/>
              </w:rPr>
              <w:t>19</w:t>
            </w:r>
          </w:p>
        </w:tc>
        <w:tc>
          <w:tcPr>
            <w:tcW w:w="2277" w:type="dxa"/>
          </w:tcPr>
          <w:p w14:paraId="4450A5E3" w14:textId="4946A8C5" w:rsidR="007A19BC" w:rsidRPr="004B3080" w:rsidRDefault="00620176" w:rsidP="0030770D">
            <w:pPr>
              <w:rPr>
                <w:sz w:val="20"/>
                <w:szCs w:val="20"/>
              </w:rPr>
            </w:pPr>
            <w:r w:rsidRPr="004B3080">
              <w:rPr>
                <w:sz w:val="20"/>
                <w:szCs w:val="20"/>
              </w:rPr>
              <w:t>p = 0.014;</w:t>
            </w:r>
          </w:p>
          <w:p w14:paraId="3EF590C8" w14:textId="59B67F83" w:rsidR="00620176" w:rsidRPr="004B3080" w:rsidRDefault="00620176" w:rsidP="0030770D">
            <w:pPr>
              <w:rPr>
                <w:sz w:val="20"/>
                <w:szCs w:val="20"/>
              </w:rPr>
            </w:pPr>
            <w:r w:rsidRPr="004B3080">
              <w:rPr>
                <w:sz w:val="20"/>
                <w:szCs w:val="20"/>
              </w:rPr>
              <w:t>p &lt; 0.001</w:t>
            </w:r>
          </w:p>
        </w:tc>
        <w:tc>
          <w:tcPr>
            <w:tcW w:w="0" w:type="auto"/>
          </w:tcPr>
          <w:p w14:paraId="6DC00B6A" w14:textId="6B2E107A" w:rsidR="007A19BC" w:rsidRPr="004B3080" w:rsidRDefault="00E12237" w:rsidP="0030770D">
            <w:pPr>
              <w:rPr>
                <w:sz w:val="20"/>
                <w:szCs w:val="20"/>
              </w:rPr>
            </w:pPr>
            <w:r w:rsidRPr="004B3080">
              <w:rPr>
                <w:sz w:val="20"/>
                <w:szCs w:val="20"/>
              </w:rPr>
              <w:t>nivolumab</w:t>
            </w:r>
          </w:p>
        </w:tc>
      </w:tr>
      <w:tr w:rsidR="00D0707C" w:rsidRPr="004B3080" w14:paraId="53F0C532" w14:textId="77777777" w:rsidTr="00C23420">
        <w:tc>
          <w:tcPr>
            <w:tcW w:w="0" w:type="auto"/>
          </w:tcPr>
          <w:p w14:paraId="10FA9D8F" w14:textId="7AB97B60" w:rsidR="00D0707C" w:rsidRPr="004B3080" w:rsidRDefault="00D0707C" w:rsidP="0030770D">
            <w:pPr>
              <w:rPr>
                <w:sz w:val="20"/>
                <w:szCs w:val="20"/>
              </w:rPr>
            </w:pPr>
            <w:r w:rsidRPr="004B3080">
              <w:rPr>
                <w:sz w:val="20"/>
                <w:szCs w:val="20"/>
              </w:rPr>
              <w:t>Diem et al 2017</w:t>
            </w:r>
            <w:sdt>
              <w:sdtPr>
                <w:rPr>
                  <w:sz w:val="20"/>
                  <w:szCs w:val="20"/>
                </w:rPr>
                <w:alias w:val="SmartCite Citation"/>
                <w:tag w:val="4e0192db-b678-400e-ba1d-e378d3262964:96ae61b3-a51f-4f39-b744-7324cd599aee"/>
                <w:id w:val="193656043"/>
                <w:placeholder>
                  <w:docPart w:val="DefaultPlaceholder_-1854013440"/>
                </w:placeholder>
              </w:sdtPr>
              <w:sdtEndPr/>
              <w:sdtContent>
                <w:r w:rsidR="00C96079" w:rsidRPr="004B3080">
                  <w:rPr>
                    <w:rFonts w:eastAsia="Times New Roman"/>
                    <w:vertAlign w:val="superscript"/>
                  </w:rPr>
                  <w:t>2</w:t>
                </w:r>
              </w:sdtContent>
            </w:sdt>
          </w:p>
        </w:tc>
        <w:tc>
          <w:tcPr>
            <w:tcW w:w="2153" w:type="dxa"/>
          </w:tcPr>
          <w:p w14:paraId="797B2E78" w14:textId="4114ECE8" w:rsidR="00D0707C" w:rsidRPr="004B3080" w:rsidRDefault="007018DE" w:rsidP="0030770D">
            <w:pPr>
              <w:rPr>
                <w:sz w:val="20"/>
                <w:szCs w:val="20"/>
              </w:rPr>
            </w:pPr>
            <w:r w:rsidRPr="004B3080">
              <w:rPr>
                <w:sz w:val="20"/>
                <w:szCs w:val="20"/>
              </w:rPr>
              <w:t>NLR</w:t>
            </w:r>
          </w:p>
        </w:tc>
        <w:tc>
          <w:tcPr>
            <w:tcW w:w="1233" w:type="dxa"/>
          </w:tcPr>
          <w:p w14:paraId="05B2A24A" w14:textId="31F54AB8" w:rsidR="00D0707C" w:rsidRPr="004B3080" w:rsidRDefault="00AA378E" w:rsidP="0030770D">
            <w:pPr>
              <w:rPr>
                <w:rFonts w:cstheme="minorHAnsi"/>
                <w:sz w:val="20"/>
                <w:szCs w:val="20"/>
              </w:rPr>
            </w:pPr>
            <w:r w:rsidRPr="004B3080">
              <w:rPr>
                <w:rFonts w:cstheme="minorHAnsi"/>
                <w:sz w:val="20"/>
                <w:szCs w:val="20"/>
              </w:rPr>
              <w:t>Elevated NLR</w:t>
            </w:r>
          </w:p>
        </w:tc>
        <w:tc>
          <w:tcPr>
            <w:tcW w:w="2075" w:type="dxa"/>
          </w:tcPr>
          <w:p w14:paraId="3108AB8E" w14:textId="3F3298F0" w:rsidR="00D0707C" w:rsidRPr="004B3080" w:rsidRDefault="00D44D57" w:rsidP="0030770D">
            <w:pPr>
              <w:rPr>
                <w:sz w:val="20"/>
                <w:szCs w:val="20"/>
              </w:rPr>
            </w:pPr>
            <w:r w:rsidRPr="004B3080">
              <w:rPr>
                <w:sz w:val="20"/>
                <w:szCs w:val="20"/>
              </w:rPr>
              <w:t>Pre-treatment NLR</w:t>
            </w:r>
          </w:p>
        </w:tc>
        <w:tc>
          <w:tcPr>
            <w:tcW w:w="2397" w:type="dxa"/>
          </w:tcPr>
          <w:p w14:paraId="0C285780" w14:textId="5C8F6169" w:rsidR="001F071D" w:rsidRPr="004B3080" w:rsidRDefault="007018DE" w:rsidP="0030770D">
            <w:r w:rsidRPr="004B3080">
              <w:rPr>
                <w:sz w:val="20"/>
                <w:szCs w:val="20"/>
              </w:rPr>
              <w:t>worse OS</w:t>
            </w:r>
            <w:r w:rsidR="00614235" w:rsidRPr="004B3080">
              <w:rPr>
                <w:sz w:val="20"/>
                <w:szCs w:val="20"/>
              </w:rPr>
              <w:t>;</w:t>
            </w:r>
          </w:p>
          <w:p w14:paraId="6D18BFAB" w14:textId="133E6AAE" w:rsidR="00D0707C" w:rsidRPr="004B3080" w:rsidRDefault="001F071D" w:rsidP="0030770D">
            <w:pPr>
              <w:rPr>
                <w:sz w:val="20"/>
                <w:szCs w:val="20"/>
              </w:rPr>
            </w:pPr>
            <w:r w:rsidRPr="004B3080">
              <w:rPr>
                <w:sz w:val="20"/>
                <w:szCs w:val="20"/>
              </w:rPr>
              <w:t>lower response rates</w:t>
            </w:r>
          </w:p>
          <w:p w14:paraId="34AA22AE" w14:textId="21F5C87A" w:rsidR="001F071D" w:rsidRPr="004B3080" w:rsidRDefault="001F071D" w:rsidP="0030770D">
            <w:pPr>
              <w:rPr>
                <w:sz w:val="20"/>
                <w:szCs w:val="20"/>
              </w:rPr>
            </w:pPr>
          </w:p>
        </w:tc>
        <w:tc>
          <w:tcPr>
            <w:tcW w:w="1620" w:type="dxa"/>
          </w:tcPr>
          <w:p w14:paraId="7E013A9C" w14:textId="2A6841E3" w:rsidR="00D0707C" w:rsidRPr="004B3080" w:rsidRDefault="00D0707C" w:rsidP="0030770D">
            <w:pPr>
              <w:rPr>
                <w:sz w:val="20"/>
                <w:szCs w:val="20"/>
              </w:rPr>
            </w:pPr>
            <w:r w:rsidRPr="004B3080">
              <w:rPr>
                <w:sz w:val="20"/>
                <w:szCs w:val="20"/>
              </w:rPr>
              <w:t>52</w:t>
            </w:r>
          </w:p>
        </w:tc>
        <w:tc>
          <w:tcPr>
            <w:tcW w:w="2277" w:type="dxa"/>
          </w:tcPr>
          <w:p w14:paraId="4F92FB99" w14:textId="116F8244" w:rsidR="00D0707C" w:rsidRPr="004B3080" w:rsidRDefault="00614235" w:rsidP="0030770D">
            <w:pPr>
              <w:rPr>
                <w:sz w:val="20"/>
                <w:szCs w:val="20"/>
              </w:rPr>
            </w:pPr>
            <w:r w:rsidRPr="004B3080">
              <w:rPr>
                <w:sz w:val="20"/>
                <w:szCs w:val="20"/>
              </w:rPr>
              <w:t>3.64, p&lt;0.001;</w:t>
            </w:r>
          </w:p>
          <w:p w14:paraId="7DE519E8" w14:textId="261C4B05" w:rsidR="00614235" w:rsidRPr="004B3080" w:rsidRDefault="00614235" w:rsidP="0030770D">
            <w:pPr>
              <w:rPr>
                <w:sz w:val="20"/>
                <w:szCs w:val="20"/>
              </w:rPr>
            </w:pPr>
            <w:r w:rsidRPr="004B3080">
              <w:rPr>
                <w:sz w:val="20"/>
                <w:szCs w:val="20"/>
              </w:rPr>
              <w:t>0.17, p=0.013</w:t>
            </w:r>
          </w:p>
          <w:p w14:paraId="103264DE" w14:textId="189CB9DC" w:rsidR="00614235" w:rsidRPr="004B3080" w:rsidRDefault="00614235" w:rsidP="0030770D">
            <w:pPr>
              <w:rPr>
                <w:sz w:val="20"/>
                <w:szCs w:val="20"/>
              </w:rPr>
            </w:pPr>
          </w:p>
        </w:tc>
        <w:tc>
          <w:tcPr>
            <w:tcW w:w="0" w:type="auto"/>
          </w:tcPr>
          <w:p w14:paraId="7854453A" w14:textId="4CCAAE14" w:rsidR="00D0707C" w:rsidRPr="004B3080" w:rsidRDefault="00AA378E" w:rsidP="0030770D">
            <w:pPr>
              <w:rPr>
                <w:sz w:val="20"/>
                <w:szCs w:val="20"/>
              </w:rPr>
            </w:pPr>
            <w:r w:rsidRPr="004B3080">
              <w:rPr>
                <w:sz w:val="20"/>
                <w:szCs w:val="20"/>
              </w:rPr>
              <w:t>nivolumab</w:t>
            </w:r>
          </w:p>
        </w:tc>
      </w:tr>
      <w:tr w:rsidR="0086568D" w:rsidRPr="004B3080" w14:paraId="4130B1E9" w14:textId="77777777" w:rsidTr="00C23420">
        <w:tc>
          <w:tcPr>
            <w:tcW w:w="0" w:type="auto"/>
          </w:tcPr>
          <w:p w14:paraId="1849DCF7" w14:textId="2705ECAD" w:rsidR="00F47A53" w:rsidRPr="004B3080" w:rsidRDefault="00AE1012" w:rsidP="0030770D">
            <w:pPr>
              <w:rPr>
                <w:sz w:val="20"/>
                <w:szCs w:val="20"/>
              </w:rPr>
            </w:pPr>
            <w:r w:rsidRPr="004B3080">
              <w:rPr>
                <w:sz w:val="20"/>
                <w:szCs w:val="20"/>
              </w:rPr>
              <w:t>Takeda et al 2018</w:t>
            </w:r>
            <w:sdt>
              <w:sdtPr>
                <w:rPr>
                  <w:sz w:val="20"/>
                  <w:szCs w:val="20"/>
                </w:rPr>
                <w:alias w:val="SmartCite Citation"/>
                <w:tag w:val="4e0192db-b678-400e-ba1d-e378d3262964:1776ab4e-9167-4d24-a331-b472d63b2ebb"/>
                <w:id w:val="1375281386"/>
                <w:placeholder>
                  <w:docPart w:val="DefaultPlaceholder_-1854013440"/>
                </w:placeholder>
              </w:sdtPr>
              <w:sdtEndPr/>
              <w:sdtContent>
                <w:r w:rsidR="00C96079" w:rsidRPr="004B3080">
                  <w:rPr>
                    <w:rFonts w:eastAsia="Times New Roman"/>
                    <w:vertAlign w:val="superscript"/>
                  </w:rPr>
                  <w:t>3</w:t>
                </w:r>
              </w:sdtContent>
            </w:sdt>
          </w:p>
        </w:tc>
        <w:tc>
          <w:tcPr>
            <w:tcW w:w="2153" w:type="dxa"/>
          </w:tcPr>
          <w:p w14:paraId="64AEA6F3" w14:textId="09B23424" w:rsidR="00F47A53" w:rsidRPr="004B3080" w:rsidRDefault="005F5777" w:rsidP="0030770D">
            <w:pPr>
              <w:rPr>
                <w:sz w:val="20"/>
                <w:szCs w:val="20"/>
              </w:rPr>
            </w:pPr>
            <w:r w:rsidRPr="004B3080">
              <w:rPr>
                <w:sz w:val="20"/>
                <w:szCs w:val="20"/>
              </w:rPr>
              <w:t>N</w:t>
            </w:r>
            <w:r w:rsidR="00311B0B" w:rsidRPr="004B3080">
              <w:rPr>
                <w:sz w:val="20"/>
                <w:szCs w:val="20"/>
              </w:rPr>
              <w:t>LR</w:t>
            </w:r>
          </w:p>
        </w:tc>
        <w:tc>
          <w:tcPr>
            <w:tcW w:w="1233" w:type="dxa"/>
          </w:tcPr>
          <w:p w14:paraId="1B47B376" w14:textId="3A20ADA0" w:rsidR="00F47A53" w:rsidRPr="004B3080" w:rsidRDefault="00E44C16" w:rsidP="0030770D">
            <w:pPr>
              <w:rPr>
                <w:sz w:val="20"/>
                <w:szCs w:val="20"/>
              </w:rPr>
            </w:pPr>
            <w:r w:rsidRPr="004B3080">
              <w:rPr>
                <w:rFonts w:cstheme="minorHAnsi"/>
                <w:sz w:val="20"/>
                <w:szCs w:val="20"/>
              </w:rPr>
              <w:t>≥</w:t>
            </w:r>
            <w:r w:rsidR="007025F7" w:rsidRPr="004B3080">
              <w:rPr>
                <w:sz w:val="20"/>
                <w:szCs w:val="20"/>
              </w:rPr>
              <w:t>5</w:t>
            </w:r>
          </w:p>
        </w:tc>
        <w:tc>
          <w:tcPr>
            <w:tcW w:w="2075" w:type="dxa"/>
          </w:tcPr>
          <w:p w14:paraId="28BC8106" w14:textId="3B98FEE8" w:rsidR="00F47A53" w:rsidRPr="004B3080" w:rsidRDefault="007025F7" w:rsidP="0030770D">
            <w:pPr>
              <w:rPr>
                <w:sz w:val="20"/>
                <w:szCs w:val="20"/>
              </w:rPr>
            </w:pPr>
            <w:r w:rsidRPr="004B3080">
              <w:rPr>
                <w:sz w:val="20"/>
                <w:szCs w:val="20"/>
              </w:rPr>
              <w:t>4 weeks</w:t>
            </w:r>
          </w:p>
        </w:tc>
        <w:tc>
          <w:tcPr>
            <w:tcW w:w="2397" w:type="dxa"/>
          </w:tcPr>
          <w:p w14:paraId="62AE7DC6" w14:textId="6986488B" w:rsidR="00F47A53" w:rsidRPr="004B3080" w:rsidRDefault="006B71D1" w:rsidP="0030770D">
            <w:pPr>
              <w:rPr>
                <w:sz w:val="20"/>
                <w:szCs w:val="20"/>
              </w:rPr>
            </w:pPr>
            <w:r w:rsidRPr="004B3080">
              <w:rPr>
                <w:sz w:val="20"/>
                <w:szCs w:val="20"/>
              </w:rPr>
              <w:t xml:space="preserve">Shorter </w:t>
            </w:r>
            <w:r w:rsidR="007025F7" w:rsidRPr="004B3080">
              <w:rPr>
                <w:sz w:val="20"/>
                <w:szCs w:val="20"/>
              </w:rPr>
              <w:t>PFS</w:t>
            </w:r>
          </w:p>
        </w:tc>
        <w:tc>
          <w:tcPr>
            <w:tcW w:w="1620" w:type="dxa"/>
          </w:tcPr>
          <w:p w14:paraId="5B1BF06A" w14:textId="19B9E97D" w:rsidR="00F47A53" w:rsidRPr="004B3080" w:rsidRDefault="007025F7" w:rsidP="0030770D">
            <w:pPr>
              <w:rPr>
                <w:sz w:val="20"/>
                <w:szCs w:val="20"/>
              </w:rPr>
            </w:pPr>
            <w:r w:rsidRPr="004B3080">
              <w:rPr>
                <w:sz w:val="20"/>
                <w:szCs w:val="20"/>
              </w:rPr>
              <w:t>26</w:t>
            </w:r>
          </w:p>
        </w:tc>
        <w:tc>
          <w:tcPr>
            <w:tcW w:w="2277" w:type="dxa"/>
          </w:tcPr>
          <w:p w14:paraId="59E30A64" w14:textId="0EF3B250" w:rsidR="00F47A53" w:rsidRPr="004B3080" w:rsidRDefault="005B0D7F" w:rsidP="0030770D">
            <w:pPr>
              <w:rPr>
                <w:sz w:val="20"/>
                <w:szCs w:val="20"/>
              </w:rPr>
            </w:pPr>
            <w:r w:rsidRPr="004B3080">
              <w:rPr>
                <w:sz w:val="20"/>
                <w:szCs w:val="20"/>
              </w:rPr>
              <w:t>5.995</w:t>
            </w:r>
          </w:p>
        </w:tc>
        <w:tc>
          <w:tcPr>
            <w:tcW w:w="0" w:type="auto"/>
          </w:tcPr>
          <w:p w14:paraId="76129024" w14:textId="7EA03DAC" w:rsidR="00F47A53" w:rsidRPr="004B3080" w:rsidRDefault="00E258C2" w:rsidP="0030770D">
            <w:pPr>
              <w:rPr>
                <w:sz w:val="20"/>
                <w:szCs w:val="20"/>
              </w:rPr>
            </w:pPr>
            <w:r w:rsidRPr="004B3080">
              <w:rPr>
                <w:sz w:val="20"/>
                <w:szCs w:val="20"/>
              </w:rPr>
              <w:t>nivolumab</w:t>
            </w:r>
          </w:p>
        </w:tc>
      </w:tr>
      <w:tr w:rsidR="00773D7E" w:rsidRPr="004B3080" w14:paraId="5E5BE093" w14:textId="77777777" w:rsidTr="00C23420">
        <w:tc>
          <w:tcPr>
            <w:tcW w:w="0" w:type="auto"/>
          </w:tcPr>
          <w:p w14:paraId="77C7AE40" w14:textId="5F470B7B" w:rsidR="00773D7E" w:rsidRPr="004B3080" w:rsidRDefault="0029784F" w:rsidP="0030770D">
            <w:pPr>
              <w:rPr>
                <w:sz w:val="20"/>
                <w:szCs w:val="20"/>
              </w:rPr>
            </w:pPr>
            <w:proofErr w:type="spellStart"/>
            <w:r w:rsidRPr="004B3080">
              <w:rPr>
                <w:sz w:val="20"/>
                <w:szCs w:val="20"/>
              </w:rPr>
              <w:t>Shiroyama</w:t>
            </w:r>
            <w:proofErr w:type="spellEnd"/>
            <w:r w:rsidRPr="004B3080">
              <w:rPr>
                <w:sz w:val="20"/>
                <w:szCs w:val="20"/>
              </w:rPr>
              <w:t xml:space="preserve"> et al 2018</w:t>
            </w:r>
            <w:sdt>
              <w:sdtPr>
                <w:rPr>
                  <w:sz w:val="20"/>
                  <w:szCs w:val="20"/>
                </w:rPr>
                <w:alias w:val="SmartCite Citation"/>
                <w:tag w:val="4e0192db-b678-400e-ba1d-e378d3262964:1ad1efbe-0791-4c3e-a712-5cc7503db85c"/>
                <w:id w:val="1132529631"/>
                <w:placeholder>
                  <w:docPart w:val="DefaultPlaceholder_-1854013440"/>
                </w:placeholder>
              </w:sdtPr>
              <w:sdtEndPr/>
              <w:sdtContent>
                <w:r w:rsidR="00C96079" w:rsidRPr="004B3080">
                  <w:rPr>
                    <w:rFonts w:eastAsia="Times New Roman"/>
                    <w:vertAlign w:val="superscript"/>
                  </w:rPr>
                  <w:t>4</w:t>
                </w:r>
              </w:sdtContent>
            </w:sdt>
          </w:p>
        </w:tc>
        <w:tc>
          <w:tcPr>
            <w:tcW w:w="2153" w:type="dxa"/>
          </w:tcPr>
          <w:p w14:paraId="08E8542C" w14:textId="5242FD18" w:rsidR="007772E6" w:rsidRPr="004B3080" w:rsidRDefault="007772E6" w:rsidP="0030770D">
            <w:pPr>
              <w:rPr>
                <w:sz w:val="20"/>
                <w:szCs w:val="20"/>
              </w:rPr>
            </w:pPr>
            <w:r w:rsidRPr="004B3080">
              <w:rPr>
                <w:sz w:val="20"/>
                <w:szCs w:val="20"/>
              </w:rPr>
              <w:t>NLR</w:t>
            </w:r>
            <w:bookmarkStart w:id="0" w:name="_GoBack"/>
            <w:bookmarkEnd w:id="0"/>
          </w:p>
          <w:p w14:paraId="0D9B7812" w14:textId="087EF0CB" w:rsidR="007772E6" w:rsidRPr="004B3080" w:rsidRDefault="007772E6" w:rsidP="0030770D">
            <w:pPr>
              <w:rPr>
                <w:sz w:val="20"/>
                <w:szCs w:val="20"/>
              </w:rPr>
            </w:pPr>
            <w:r w:rsidRPr="004B3080">
              <w:rPr>
                <w:sz w:val="20"/>
                <w:szCs w:val="20"/>
              </w:rPr>
              <w:t>(ECOG ≥2)</w:t>
            </w:r>
          </w:p>
          <w:p w14:paraId="4274B3D4" w14:textId="7DAD6CC6" w:rsidR="00773D7E" w:rsidRPr="004B3080" w:rsidRDefault="007772E6" w:rsidP="0030770D">
            <w:pPr>
              <w:rPr>
                <w:sz w:val="20"/>
                <w:szCs w:val="20"/>
              </w:rPr>
            </w:pPr>
            <w:r w:rsidRPr="004B3080">
              <w:rPr>
                <w:sz w:val="20"/>
                <w:szCs w:val="20"/>
              </w:rPr>
              <w:t>(albumin &lt;3.7 g/dL) (ALI &lt;18)</w:t>
            </w:r>
          </w:p>
        </w:tc>
        <w:tc>
          <w:tcPr>
            <w:tcW w:w="1233" w:type="dxa"/>
          </w:tcPr>
          <w:p w14:paraId="1223991F" w14:textId="75E79B94" w:rsidR="00773D7E" w:rsidRPr="004B3080" w:rsidRDefault="007772E6" w:rsidP="0030770D">
            <w:pPr>
              <w:rPr>
                <w:rFonts w:cstheme="minorHAnsi"/>
                <w:sz w:val="20"/>
                <w:szCs w:val="20"/>
              </w:rPr>
            </w:pPr>
            <w:r w:rsidRPr="004B3080">
              <w:rPr>
                <w:sz w:val="20"/>
                <w:szCs w:val="20"/>
              </w:rPr>
              <w:t>≥4</w:t>
            </w:r>
          </w:p>
        </w:tc>
        <w:tc>
          <w:tcPr>
            <w:tcW w:w="2075" w:type="dxa"/>
          </w:tcPr>
          <w:p w14:paraId="7AB5EA36" w14:textId="5A1EA8D6" w:rsidR="00773D7E" w:rsidRPr="004B3080" w:rsidRDefault="0029784F" w:rsidP="0030770D">
            <w:pPr>
              <w:rPr>
                <w:sz w:val="20"/>
                <w:szCs w:val="20"/>
              </w:rPr>
            </w:pPr>
            <w:r w:rsidRPr="004B3080">
              <w:rPr>
                <w:sz w:val="20"/>
                <w:szCs w:val="20"/>
              </w:rPr>
              <w:t>Pretreatment</w:t>
            </w:r>
          </w:p>
        </w:tc>
        <w:tc>
          <w:tcPr>
            <w:tcW w:w="2397" w:type="dxa"/>
          </w:tcPr>
          <w:p w14:paraId="28DF6B37" w14:textId="77777777" w:rsidR="00773D7E" w:rsidRPr="004B3080" w:rsidRDefault="008F4FDE" w:rsidP="0030770D">
            <w:pPr>
              <w:rPr>
                <w:sz w:val="20"/>
                <w:szCs w:val="20"/>
              </w:rPr>
            </w:pPr>
            <w:r w:rsidRPr="004B3080">
              <w:rPr>
                <w:sz w:val="20"/>
                <w:szCs w:val="20"/>
              </w:rPr>
              <w:t>Shorter PFS</w:t>
            </w:r>
            <w:r w:rsidR="00DE6994" w:rsidRPr="004B3080">
              <w:rPr>
                <w:sz w:val="20"/>
                <w:szCs w:val="20"/>
              </w:rPr>
              <w:t>;</w:t>
            </w:r>
          </w:p>
          <w:p w14:paraId="2FE72369" w14:textId="031143AB" w:rsidR="00DE6994" w:rsidRPr="004B3080" w:rsidRDefault="00DE6994" w:rsidP="0030770D">
            <w:pPr>
              <w:rPr>
                <w:sz w:val="20"/>
                <w:szCs w:val="20"/>
              </w:rPr>
            </w:pPr>
            <w:r w:rsidRPr="004B3080">
              <w:rPr>
                <w:sz w:val="20"/>
                <w:szCs w:val="20"/>
              </w:rPr>
              <w:t>Early progression</w:t>
            </w:r>
          </w:p>
        </w:tc>
        <w:tc>
          <w:tcPr>
            <w:tcW w:w="1620" w:type="dxa"/>
          </w:tcPr>
          <w:p w14:paraId="51464E7B" w14:textId="1DF32089" w:rsidR="00773D7E" w:rsidRPr="004B3080" w:rsidRDefault="007772E6" w:rsidP="0030770D">
            <w:pPr>
              <w:rPr>
                <w:sz w:val="20"/>
                <w:szCs w:val="20"/>
              </w:rPr>
            </w:pPr>
            <w:r w:rsidRPr="004B3080">
              <w:rPr>
                <w:sz w:val="20"/>
                <w:szCs w:val="20"/>
              </w:rPr>
              <w:t>201 (Japan)</w:t>
            </w:r>
          </w:p>
        </w:tc>
        <w:tc>
          <w:tcPr>
            <w:tcW w:w="2277" w:type="dxa"/>
          </w:tcPr>
          <w:p w14:paraId="21271EC7" w14:textId="77777777" w:rsidR="00773D7E" w:rsidRPr="004B3080" w:rsidRDefault="008F4FDE" w:rsidP="0030770D">
            <w:pPr>
              <w:rPr>
                <w:sz w:val="20"/>
                <w:szCs w:val="20"/>
              </w:rPr>
            </w:pPr>
            <w:r w:rsidRPr="004B3080">
              <w:rPr>
                <w:sz w:val="20"/>
                <w:szCs w:val="20"/>
              </w:rPr>
              <w:t>1.46, p=</w:t>
            </w:r>
            <w:r w:rsidR="001207C6" w:rsidRPr="004B3080">
              <w:rPr>
                <w:sz w:val="20"/>
                <w:szCs w:val="20"/>
              </w:rPr>
              <w:t>0.02</w:t>
            </w:r>
            <w:r w:rsidR="00DE6994" w:rsidRPr="004B3080">
              <w:rPr>
                <w:sz w:val="20"/>
                <w:szCs w:val="20"/>
              </w:rPr>
              <w:t>;</w:t>
            </w:r>
          </w:p>
          <w:p w14:paraId="113DAEA3" w14:textId="05375738" w:rsidR="00DE6994" w:rsidRPr="004B3080" w:rsidRDefault="00DE6994" w:rsidP="0030770D">
            <w:pPr>
              <w:rPr>
                <w:sz w:val="20"/>
                <w:szCs w:val="20"/>
              </w:rPr>
            </w:pPr>
            <w:r w:rsidRPr="004B3080">
              <w:rPr>
                <w:sz w:val="20"/>
                <w:szCs w:val="20"/>
              </w:rPr>
              <w:t>OR=2.28, p=0.005</w:t>
            </w:r>
          </w:p>
        </w:tc>
        <w:tc>
          <w:tcPr>
            <w:tcW w:w="0" w:type="auto"/>
          </w:tcPr>
          <w:p w14:paraId="0661508D" w14:textId="77777777" w:rsidR="00773D7E" w:rsidRPr="004B3080" w:rsidRDefault="00773D7E" w:rsidP="0030770D">
            <w:pPr>
              <w:rPr>
                <w:sz w:val="20"/>
                <w:szCs w:val="20"/>
              </w:rPr>
            </w:pPr>
          </w:p>
        </w:tc>
      </w:tr>
      <w:tr w:rsidR="0086568D" w:rsidRPr="004B3080" w14:paraId="19B87309" w14:textId="77777777" w:rsidTr="00C23420">
        <w:tc>
          <w:tcPr>
            <w:tcW w:w="0" w:type="auto"/>
          </w:tcPr>
          <w:p w14:paraId="042602CD" w14:textId="490E1359" w:rsidR="00F47A53" w:rsidRPr="004B3080" w:rsidRDefault="00E258C2" w:rsidP="0030770D">
            <w:pPr>
              <w:rPr>
                <w:sz w:val="20"/>
                <w:szCs w:val="20"/>
              </w:rPr>
            </w:pPr>
            <w:r w:rsidRPr="004B3080">
              <w:rPr>
                <w:sz w:val="20"/>
                <w:szCs w:val="20"/>
              </w:rPr>
              <w:t>Shu et al 2018</w:t>
            </w:r>
            <w:sdt>
              <w:sdtPr>
                <w:rPr>
                  <w:sz w:val="20"/>
                  <w:szCs w:val="20"/>
                </w:rPr>
                <w:alias w:val="SmartCite Citation"/>
                <w:tag w:val="4e0192db-b678-400e-ba1d-e378d3262964:5a9c62ed-44a8-4331-83ec-3f632496e141"/>
                <w:id w:val="1458379214"/>
                <w:placeholder>
                  <w:docPart w:val="DefaultPlaceholder_-1854013440"/>
                </w:placeholder>
              </w:sdtPr>
              <w:sdtEndPr/>
              <w:sdtContent>
                <w:r w:rsidR="00C96079" w:rsidRPr="004B3080">
                  <w:rPr>
                    <w:rFonts w:eastAsia="Times New Roman"/>
                    <w:vertAlign w:val="superscript"/>
                  </w:rPr>
                  <w:t>5</w:t>
                </w:r>
              </w:sdtContent>
            </w:sdt>
          </w:p>
        </w:tc>
        <w:tc>
          <w:tcPr>
            <w:tcW w:w="2153" w:type="dxa"/>
          </w:tcPr>
          <w:p w14:paraId="41462D11" w14:textId="47F1B720" w:rsidR="00F47A53" w:rsidRPr="004B3080" w:rsidRDefault="006B71D1" w:rsidP="0030770D">
            <w:pPr>
              <w:rPr>
                <w:sz w:val="20"/>
                <w:szCs w:val="20"/>
              </w:rPr>
            </w:pPr>
            <w:r w:rsidRPr="004B3080">
              <w:rPr>
                <w:sz w:val="20"/>
                <w:szCs w:val="20"/>
              </w:rPr>
              <w:t>N</w:t>
            </w:r>
            <w:r w:rsidR="00B802BD" w:rsidRPr="004B3080">
              <w:rPr>
                <w:sz w:val="20"/>
                <w:szCs w:val="20"/>
              </w:rPr>
              <w:t>LR</w:t>
            </w:r>
          </w:p>
        </w:tc>
        <w:tc>
          <w:tcPr>
            <w:tcW w:w="1233" w:type="dxa"/>
          </w:tcPr>
          <w:p w14:paraId="3C3BC0AA" w14:textId="71DAF471" w:rsidR="00F47A53" w:rsidRPr="004B3080" w:rsidRDefault="006B71D1" w:rsidP="0030770D">
            <w:pPr>
              <w:rPr>
                <w:sz w:val="20"/>
                <w:szCs w:val="20"/>
              </w:rPr>
            </w:pPr>
            <w:r w:rsidRPr="004B3080">
              <w:rPr>
                <w:rFonts w:cstheme="minorHAnsi"/>
                <w:sz w:val="20"/>
                <w:szCs w:val="20"/>
              </w:rPr>
              <w:t>≥</w:t>
            </w:r>
            <w:r w:rsidRPr="004B3080">
              <w:rPr>
                <w:sz w:val="20"/>
                <w:szCs w:val="20"/>
              </w:rPr>
              <w:t>5</w:t>
            </w:r>
          </w:p>
        </w:tc>
        <w:tc>
          <w:tcPr>
            <w:tcW w:w="2075" w:type="dxa"/>
          </w:tcPr>
          <w:p w14:paraId="5B5B0B47" w14:textId="14CD04BB" w:rsidR="00F47A53" w:rsidRPr="004B3080" w:rsidRDefault="006B71D1" w:rsidP="0030770D">
            <w:pPr>
              <w:rPr>
                <w:sz w:val="20"/>
                <w:szCs w:val="20"/>
              </w:rPr>
            </w:pPr>
            <w:r w:rsidRPr="004B3080">
              <w:rPr>
                <w:sz w:val="20"/>
                <w:szCs w:val="20"/>
              </w:rPr>
              <w:t>6 weeks</w:t>
            </w:r>
          </w:p>
        </w:tc>
        <w:tc>
          <w:tcPr>
            <w:tcW w:w="2397" w:type="dxa"/>
          </w:tcPr>
          <w:p w14:paraId="4D06BFBD" w14:textId="77777777" w:rsidR="00F47A53" w:rsidRPr="004B3080" w:rsidRDefault="006B71D1" w:rsidP="0030770D">
            <w:pPr>
              <w:rPr>
                <w:sz w:val="20"/>
                <w:szCs w:val="20"/>
              </w:rPr>
            </w:pPr>
            <w:r w:rsidRPr="004B3080">
              <w:rPr>
                <w:sz w:val="20"/>
                <w:szCs w:val="20"/>
              </w:rPr>
              <w:t>Shorter PRS</w:t>
            </w:r>
          </w:p>
          <w:p w14:paraId="4ECC949C" w14:textId="2695FD7E" w:rsidR="000E411E" w:rsidRPr="004B3080" w:rsidRDefault="000E411E" w:rsidP="0030770D">
            <w:pPr>
              <w:rPr>
                <w:sz w:val="20"/>
                <w:szCs w:val="20"/>
              </w:rPr>
            </w:pPr>
            <w:r w:rsidRPr="004B3080">
              <w:rPr>
                <w:sz w:val="20"/>
                <w:szCs w:val="20"/>
              </w:rPr>
              <w:t>Shorter OS</w:t>
            </w:r>
          </w:p>
        </w:tc>
        <w:tc>
          <w:tcPr>
            <w:tcW w:w="1620" w:type="dxa"/>
          </w:tcPr>
          <w:p w14:paraId="196DFB24" w14:textId="7885FA2B" w:rsidR="00F47A53" w:rsidRPr="004B3080" w:rsidRDefault="001B7308" w:rsidP="0030770D">
            <w:pPr>
              <w:rPr>
                <w:sz w:val="20"/>
                <w:szCs w:val="20"/>
              </w:rPr>
            </w:pPr>
            <w:r w:rsidRPr="004B3080">
              <w:rPr>
                <w:sz w:val="20"/>
                <w:szCs w:val="20"/>
              </w:rPr>
              <w:t>54</w:t>
            </w:r>
          </w:p>
        </w:tc>
        <w:tc>
          <w:tcPr>
            <w:tcW w:w="2277" w:type="dxa"/>
          </w:tcPr>
          <w:p w14:paraId="52DC763B" w14:textId="3F6C590F" w:rsidR="00F47A53" w:rsidRPr="004B3080" w:rsidRDefault="000E411E" w:rsidP="0030770D">
            <w:pPr>
              <w:rPr>
                <w:sz w:val="20"/>
                <w:szCs w:val="20"/>
              </w:rPr>
            </w:pPr>
            <w:r w:rsidRPr="004B3080">
              <w:rPr>
                <w:sz w:val="20"/>
                <w:szCs w:val="20"/>
              </w:rPr>
              <w:t>15.1</w:t>
            </w:r>
            <w:r w:rsidR="00FB04F8" w:rsidRPr="004B3080">
              <w:rPr>
                <w:sz w:val="20"/>
                <w:szCs w:val="20"/>
              </w:rPr>
              <w:t>,</w:t>
            </w:r>
            <w:r w:rsidRPr="004B3080">
              <w:rPr>
                <w:sz w:val="20"/>
                <w:szCs w:val="20"/>
              </w:rPr>
              <w:t xml:space="preserve"> </w:t>
            </w:r>
            <w:r w:rsidR="006B71D1" w:rsidRPr="004B3080">
              <w:rPr>
                <w:sz w:val="20"/>
                <w:szCs w:val="20"/>
              </w:rPr>
              <w:t>p &lt; 0.001</w:t>
            </w:r>
            <w:r w:rsidR="00FB04F8" w:rsidRPr="004B3080">
              <w:rPr>
                <w:sz w:val="20"/>
                <w:szCs w:val="20"/>
              </w:rPr>
              <w:t>;</w:t>
            </w:r>
          </w:p>
          <w:p w14:paraId="2B485F15" w14:textId="317A6473" w:rsidR="00B01527" w:rsidRPr="004B3080" w:rsidRDefault="00B01527" w:rsidP="0030770D">
            <w:pPr>
              <w:rPr>
                <w:sz w:val="20"/>
                <w:szCs w:val="20"/>
              </w:rPr>
            </w:pPr>
            <w:r w:rsidRPr="004B3080">
              <w:rPr>
                <w:sz w:val="20"/>
                <w:szCs w:val="20"/>
              </w:rPr>
              <w:t>3.9</w:t>
            </w:r>
            <w:r w:rsidR="00FB04F8" w:rsidRPr="004B3080">
              <w:rPr>
                <w:sz w:val="20"/>
                <w:szCs w:val="20"/>
              </w:rPr>
              <w:t>,</w:t>
            </w:r>
            <w:r w:rsidRPr="004B3080">
              <w:rPr>
                <w:sz w:val="20"/>
                <w:szCs w:val="20"/>
              </w:rPr>
              <w:t xml:space="preserve"> </w:t>
            </w:r>
            <w:r w:rsidR="001B7308" w:rsidRPr="004B3080">
              <w:rPr>
                <w:sz w:val="20"/>
                <w:szCs w:val="20"/>
              </w:rPr>
              <w:t>p</w:t>
            </w:r>
            <w:r w:rsidRPr="004B3080">
              <w:rPr>
                <w:sz w:val="20"/>
                <w:szCs w:val="20"/>
              </w:rPr>
              <w:t>=0.0</w:t>
            </w:r>
            <w:r w:rsidR="00AF0A88" w:rsidRPr="004B3080">
              <w:rPr>
                <w:sz w:val="20"/>
                <w:szCs w:val="20"/>
              </w:rPr>
              <w:t>03</w:t>
            </w:r>
          </w:p>
        </w:tc>
        <w:tc>
          <w:tcPr>
            <w:tcW w:w="0" w:type="auto"/>
          </w:tcPr>
          <w:p w14:paraId="588F6C5B" w14:textId="6D56C69B" w:rsidR="001B7308" w:rsidRPr="004B3080" w:rsidRDefault="005B74AF" w:rsidP="001B7308">
            <w:pPr>
              <w:rPr>
                <w:sz w:val="20"/>
                <w:szCs w:val="20"/>
              </w:rPr>
            </w:pPr>
            <w:r w:rsidRPr="004B3080">
              <w:rPr>
                <w:sz w:val="20"/>
                <w:szCs w:val="20"/>
              </w:rPr>
              <w:t xml:space="preserve">nivolumab </w:t>
            </w:r>
            <w:r w:rsidR="001B7308" w:rsidRPr="004B3080">
              <w:rPr>
                <w:sz w:val="20"/>
                <w:szCs w:val="20"/>
              </w:rPr>
              <w:t>or</w:t>
            </w:r>
          </w:p>
          <w:p w14:paraId="12747BA7" w14:textId="243B5AE8" w:rsidR="00F47A53" w:rsidRPr="004B3080" w:rsidRDefault="005B74AF" w:rsidP="005B74AF">
            <w:pPr>
              <w:rPr>
                <w:sz w:val="20"/>
                <w:szCs w:val="20"/>
              </w:rPr>
            </w:pPr>
            <w:r w:rsidRPr="004B3080">
              <w:rPr>
                <w:sz w:val="20"/>
                <w:szCs w:val="20"/>
              </w:rPr>
              <w:t>pembrolizumab</w:t>
            </w:r>
          </w:p>
        </w:tc>
      </w:tr>
      <w:tr w:rsidR="0086568D" w:rsidRPr="004B3080" w14:paraId="4E1490F3" w14:textId="77777777" w:rsidTr="00C23420">
        <w:tc>
          <w:tcPr>
            <w:tcW w:w="0" w:type="auto"/>
          </w:tcPr>
          <w:p w14:paraId="5421F10B" w14:textId="17C934A0" w:rsidR="00F47A53" w:rsidRPr="004B3080" w:rsidRDefault="00B802BD" w:rsidP="0030770D">
            <w:pPr>
              <w:rPr>
                <w:sz w:val="20"/>
                <w:szCs w:val="20"/>
              </w:rPr>
            </w:pPr>
            <w:r w:rsidRPr="004B3080">
              <w:rPr>
                <w:sz w:val="20"/>
                <w:szCs w:val="20"/>
              </w:rPr>
              <w:t>Fukui et</w:t>
            </w:r>
            <w:r w:rsidR="00004E58" w:rsidRPr="004B3080">
              <w:rPr>
                <w:sz w:val="20"/>
                <w:szCs w:val="20"/>
              </w:rPr>
              <w:t xml:space="preserve"> </w:t>
            </w:r>
            <w:r w:rsidRPr="004B3080">
              <w:rPr>
                <w:sz w:val="20"/>
                <w:szCs w:val="20"/>
              </w:rPr>
              <w:t xml:space="preserve">al </w:t>
            </w:r>
            <w:r w:rsidR="005A4912" w:rsidRPr="004B3080">
              <w:rPr>
                <w:sz w:val="20"/>
                <w:szCs w:val="20"/>
              </w:rPr>
              <w:t xml:space="preserve">2019 or </w:t>
            </w:r>
            <w:r w:rsidRPr="004B3080">
              <w:rPr>
                <w:sz w:val="20"/>
                <w:szCs w:val="20"/>
              </w:rPr>
              <w:t>2018</w:t>
            </w:r>
            <w:sdt>
              <w:sdtPr>
                <w:rPr>
                  <w:sz w:val="20"/>
                  <w:szCs w:val="20"/>
                </w:rPr>
                <w:alias w:val="SmartCite Citation"/>
                <w:tag w:val="4e0192db-b678-400e-ba1d-e378d3262964:a2d39997-c0f3-4420-8217-094fbe48dc34"/>
                <w:id w:val="214251540"/>
                <w:placeholder>
                  <w:docPart w:val="DefaultPlaceholder_-1854013440"/>
                </w:placeholder>
              </w:sdtPr>
              <w:sdtEndPr/>
              <w:sdtContent>
                <w:r w:rsidR="00C96079" w:rsidRPr="004B3080">
                  <w:rPr>
                    <w:rFonts w:eastAsia="Times New Roman"/>
                    <w:vertAlign w:val="superscript"/>
                  </w:rPr>
                  <w:t>6</w:t>
                </w:r>
              </w:sdtContent>
            </w:sdt>
          </w:p>
        </w:tc>
        <w:tc>
          <w:tcPr>
            <w:tcW w:w="2153" w:type="dxa"/>
          </w:tcPr>
          <w:p w14:paraId="3529057E" w14:textId="01A30AD3" w:rsidR="00F47A53" w:rsidRPr="004B3080" w:rsidRDefault="00B802BD" w:rsidP="0030770D">
            <w:pPr>
              <w:rPr>
                <w:sz w:val="20"/>
                <w:szCs w:val="20"/>
              </w:rPr>
            </w:pPr>
            <w:r w:rsidRPr="004B3080">
              <w:rPr>
                <w:sz w:val="20"/>
                <w:szCs w:val="20"/>
              </w:rPr>
              <w:t>NLR</w:t>
            </w:r>
          </w:p>
        </w:tc>
        <w:tc>
          <w:tcPr>
            <w:tcW w:w="1233" w:type="dxa"/>
          </w:tcPr>
          <w:p w14:paraId="01C48C18" w14:textId="654A3B9D" w:rsidR="00F47A53" w:rsidRPr="004B3080" w:rsidRDefault="00FB521C" w:rsidP="0030770D">
            <w:pPr>
              <w:rPr>
                <w:sz w:val="20"/>
                <w:szCs w:val="20"/>
              </w:rPr>
            </w:pPr>
            <w:r w:rsidRPr="004B3080">
              <w:rPr>
                <w:rFonts w:cstheme="minorHAnsi"/>
                <w:sz w:val="20"/>
                <w:szCs w:val="20"/>
              </w:rPr>
              <w:t>≥</w:t>
            </w:r>
            <w:r w:rsidRPr="004B3080">
              <w:rPr>
                <w:sz w:val="20"/>
                <w:szCs w:val="20"/>
              </w:rPr>
              <w:t>5</w:t>
            </w:r>
          </w:p>
        </w:tc>
        <w:tc>
          <w:tcPr>
            <w:tcW w:w="2075" w:type="dxa"/>
          </w:tcPr>
          <w:p w14:paraId="6C3F159C" w14:textId="3DEBC189" w:rsidR="00F47A53" w:rsidRPr="004B3080" w:rsidRDefault="00C978F5" w:rsidP="0030770D">
            <w:pPr>
              <w:rPr>
                <w:sz w:val="20"/>
                <w:szCs w:val="20"/>
              </w:rPr>
            </w:pPr>
            <w:r w:rsidRPr="004B3080">
              <w:rPr>
                <w:sz w:val="20"/>
                <w:szCs w:val="20"/>
              </w:rPr>
              <w:t>Pretreatment</w:t>
            </w:r>
          </w:p>
        </w:tc>
        <w:tc>
          <w:tcPr>
            <w:tcW w:w="2397" w:type="dxa"/>
          </w:tcPr>
          <w:p w14:paraId="4B2CF7E9" w14:textId="75939491" w:rsidR="00F47A53" w:rsidRPr="004B3080" w:rsidRDefault="00C32AAD" w:rsidP="0030770D">
            <w:pPr>
              <w:rPr>
                <w:sz w:val="20"/>
                <w:szCs w:val="20"/>
              </w:rPr>
            </w:pPr>
            <w:r w:rsidRPr="004B3080">
              <w:rPr>
                <w:sz w:val="20"/>
                <w:szCs w:val="20"/>
              </w:rPr>
              <w:t>Poor</w:t>
            </w:r>
            <w:r w:rsidR="00574C83" w:rsidRPr="004B3080">
              <w:rPr>
                <w:sz w:val="20"/>
                <w:szCs w:val="20"/>
              </w:rPr>
              <w:t>er OS</w:t>
            </w:r>
            <w:r w:rsidRPr="004B3080">
              <w:rPr>
                <w:sz w:val="20"/>
                <w:szCs w:val="20"/>
              </w:rPr>
              <w:t xml:space="preserve"> prognosis</w:t>
            </w:r>
          </w:p>
        </w:tc>
        <w:tc>
          <w:tcPr>
            <w:tcW w:w="1620" w:type="dxa"/>
          </w:tcPr>
          <w:p w14:paraId="172F8854" w14:textId="5C3B803E" w:rsidR="00F47A53" w:rsidRPr="004B3080" w:rsidRDefault="00FB521C" w:rsidP="0030770D">
            <w:pPr>
              <w:rPr>
                <w:sz w:val="20"/>
                <w:szCs w:val="20"/>
              </w:rPr>
            </w:pPr>
            <w:r w:rsidRPr="004B3080">
              <w:rPr>
                <w:sz w:val="20"/>
                <w:szCs w:val="20"/>
              </w:rPr>
              <w:t>52</w:t>
            </w:r>
          </w:p>
        </w:tc>
        <w:tc>
          <w:tcPr>
            <w:tcW w:w="2277" w:type="dxa"/>
          </w:tcPr>
          <w:p w14:paraId="158DBA76" w14:textId="771EE7CC" w:rsidR="00F47A53" w:rsidRPr="004B3080" w:rsidRDefault="00C32AAD" w:rsidP="0030770D">
            <w:pPr>
              <w:rPr>
                <w:sz w:val="20"/>
                <w:szCs w:val="20"/>
              </w:rPr>
            </w:pPr>
            <w:r w:rsidRPr="004B3080">
              <w:rPr>
                <w:sz w:val="20"/>
                <w:szCs w:val="20"/>
              </w:rPr>
              <w:t>4.52</w:t>
            </w:r>
            <w:r w:rsidR="00C978F5" w:rsidRPr="004B3080">
              <w:rPr>
                <w:sz w:val="20"/>
                <w:szCs w:val="20"/>
              </w:rPr>
              <w:t>, p=</w:t>
            </w:r>
            <w:r w:rsidRPr="004B3080">
              <w:rPr>
                <w:sz w:val="20"/>
                <w:szCs w:val="20"/>
              </w:rPr>
              <w:t>.013</w:t>
            </w:r>
          </w:p>
        </w:tc>
        <w:tc>
          <w:tcPr>
            <w:tcW w:w="0" w:type="auto"/>
          </w:tcPr>
          <w:p w14:paraId="79370054" w14:textId="7CC19C83" w:rsidR="00F47A53" w:rsidRPr="004B3080" w:rsidRDefault="00B802BD" w:rsidP="0030770D">
            <w:pPr>
              <w:rPr>
                <w:sz w:val="20"/>
                <w:szCs w:val="20"/>
              </w:rPr>
            </w:pPr>
            <w:r w:rsidRPr="004B3080">
              <w:rPr>
                <w:sz w:val="20"/>
                <w:szCs w:val="20"/>
              </w:rPr>
              <w:t>nivolumab</w:t>
            </w:r>
          </w:p>
        </w:tc>
      </w:tr>
      <w:tr w:rsidR="0086568D" w:rsidRPr="004B3080" w14:paraId="5E519C1C" w14:textId="77777777" w:rsidTr="00C23420">
        <w:tc>
          <w:tcPr>
            <w:tcW w:w="0" w:type="auto"/>
          </w:tcPr>
          <w:p w14:paraId="5EF201AC" w14:textId="4C8394C0" w:rsidR="00F47A53" w:rsidRPr="004B3080" w:rsidRDefault="003C3C90" w:rsidP="0030770D">
            <w:pPr>
              <w:rPr>
                <w:sz w:val="20"/>
                <w:szCs w:val="20"/>
              </w:rPr>
            </w:pPr>
            <w:proofErr w:type="spellStart"/>
            <w:r w:rsidRPr="004B3080">
              <w:rPr>
                <w:sz w:val="20"/>
                <w:szCs w:val="20"/>
              </w:rPr>
              <w:t>Zhuo</w:t>
            </w:r>
            <w:proofErr w:type="spellEnd"/>
            <w:r w:rsidRPr="004B3080">
              <w:rPr>
                <w:sz w:val="20"/>
                <w:szCs w:val="20"/>
              </w:rPr>
              <w:t xml:space="preserve"> </w:t>
            </w:r>
            <w:r w:rsidR="00F16F5E" w:rsidRPr="004B3080">
              <w:rPr>
                <w:sz w:val="20"/>
                <w:szCs w:val="20"/>
              </w:rPr>
              <w:t>et al</w:t>
            </w:r>
            <w:r w:rsidRPr="004B3080">
              <w:rPr>
                <w:sz w:val="20"/>
                <w:szCs w:val="20"/>
              </w:rPr>
              <w:t xml:space="preserve"> 2018</w:t>
            </w:r>
            <w:sdt>
              <w:sdtPr>
                <w:rPr>
                  <w:sz w:val="20"/>
                  <w:szCs w:val="20"/>
                </w:rPr>
                <w:alias w:val="SmartCite Citation"/>
                <w:tag w:val="4e0192db-b678-400e-ba1d-e378d3262964:692641f5-f457-41e0-a2ec-70810041ff03"/>
                <w:id w:val="-685912312"/>
                <w:placeholder>
                  <w:docPart w:val="DefaultPlaceholder_-1854013440"/>
                </w:placeholder>
              </w:sdtPr>
              <w:sdtEndPr/>
              <w:sdtContent>
                <w:r w:rsidR="00C96079" w:rsidRPr="004B3080">
                  <w:rPr>
                    <w:rFonts w:eastAsia="Times New Roman"/>
                    <w:vertAlign w:val="superscript"/>
                  </w:rPr>
                  <w:t>7</w:t>
                </w:r>
              </w:sdtContent>
            </w:sdt>
            <w:r w:rsidR="00F16F5E" w:rsidRPr="004B3080">
              <w:rPr>
                <w:sz w:val="20"/>
                <w:szCs w:val="20"/>
              </w:rPr>
              <w:t xml:space="preserve"> </w:t>
            </w:r>
          </w:p>
        </w:tc>
        <w:tc>
          <w:tcPr>
            <w:tcW w:w="2153" w:type="dxa"/>
          </w:tcPr>
          <w:p w14:paraId="053710CF" w14:textId="50D0BEE5" w:rsidR="00F47A53" w:rsidRPr="004B3080" w:rsidRDefault="00AE6D9D" w:rsidP="0030770D">
            <w:pPr>
              <w:rPr>
                <w:sz w:val="20"/>
                <w:szCs w:val="20"/>
              </w:rPr>
            </w:pPr>
            <w:r w:rsidRPr="004B3080">
              <w:rPr>
                <w:sz w:val="20"/>
                <w:szCs w:val="20"/>
              </w:rPr>
              <w:t xml:space="preserve">Blood routine test </w:t>
            </w:r>
          </w:p>
        </w:tc>
        <w:tc>
          <w:tcPr>
            <w:tcW w:w="1233" w:type="dxa"/>
          </w:tcPr>
          <w:p w14:paraId="2C8C8933" w14:textId="77777777" w:rsidR="00F47A53" w:rsidRPr="004B3080" w:rsidRDefault="00F47A53" w:rsidP="0030770D">
            <w:pPr>
              <w:rPr>
                <w:sz w:val="20"/>
                <w:szCs w:val="20"/>
              </w:rPr>
            </w:pPr>
          </w:p>
        </w:tc>
        <w:tc>
          <w:tcPr>
            <w:tcW w:w="2075" w:type="dxa"/>
          </w:tcPr>
          <w:p w14:paraId="2678459E" w14:textId="7F65B370" w:rsidR="00F47A53" w:rsidRPr="004B3080" w:rsidRDefault="00F12461" w:rsidP="0030770D">
            <w:pPr>
              <w:rPr>
                <w:sz w:val="20"/>
                <w:szCs w:val="20"/>
              </w:rPr>
            </w:pPr>
            <w:r w:rsidRPr="004B3080">
              <w:rPr>
                <w:sz w:val="20"/>
                <w:szCs w:val="20"/>
              </w:rPr>
              <w:t>Post treatment</w:t>
            </w:r>
          </w:p>
        </w:tc>
        <w:tc>
          <w:tcPr>
            <w:tcW w:w="2397" w:type="dxa"/>
          </w:tcPr>
          <w:p w14:paraId="6F137AF0" w14:textId="277A28A8" w:rsidR="00F47A53" w:rsidRPr="004B3080" w:rsidRDefault="00F12461" w:rsidP="0030770D">
            <w:pPr>
              <w:rPr>
                <w:sz w:val="20"/>
                <w:szCs w:val="20"/>
              </w:rPr>
            </w:pPr>
            <w:r w:rsidRPr="004B3080">
              <w:rPr>
                <w:sz w:val="20"/>
                <w:szCs w:val="20"/>
              </w:rPr>
              <w:t xml:space="preserve">slight elevation of WBC; lymphocyte ratio was increased slightly in </w:t>
            </w:r>
            <w:proofErr w:type="gramStart"/>
            <w:r w:rsidRPr="004B3080">
              <w:rPr>
                <w:sz w:val="20"/>
                <w:szCs w:val="20"/>
              </w:rPr>
              <w:t>disease controlled</w:t>
            </w:r>
            <w:proofErr w:type="gramEnd"/>
            <w:r w:rsidRPr="004B3080">
              <w:rPr>
                <w:sz w:val="20"/>
                <w:szCs w:val="20"/>
              </w:rPr>
              <w:t xml:space="preserve"> patients but decreased prominently in disease progressed patients in response to therapy</w:t>
            </w:r>
          </w:p>
        </w:tc>
        <w:tc>
          <w:tcPr>
            <w:tcW w:w="1620" w:type="dxa"/>
          </w:tcPr>
          <w:p w14:paraId="59604066" w14:textId="7B6534AF" w:rsidR="00F47A53" w:rsidRPr="004B3080" w:rsidRDefault="00F16F5E" w:rsidP="0030770D">
            <w:pPr>
              <w:rPr>
                <w:sz w:val="20"/>
                <w:szCs w:val="20"/>
              </w:rPr>
            </w:pPr>
            <w:r w:rsidRPr="004B3080">
              <w:rPr>
                <w:sz w:val="20"/>
                <w:szCs w:val="20"/>
              </w:rPr>
              <w:t>10</w:t>
            </w:r>
          </w:p>
        </w:tc>
        <w:tc>
          <w:tcPr>
            <w:tcW w:w="2277" w:type="dxa"/>
          </w:tcPr>
          <w:p w14:paraId="5C936298" w14:textId="77777777" w:rsidR="00F47A53" w:rsidRPr="004B3080" w:rsidRDefault="00F47A53" w:rsidP="0030770D">
            <w:pPr>
              <w:rPr>
                <w:sz w:val="20"/>
                <w:szCs w:val="20"/>
              </w:rPr>
            </w:pPr>
          </w:p>
        </w:tc>
        <w:tc>
          <w:tcPr>
            <w:tcW w:w="0" w:type="auto"/>
          </w:tcPr>
          <w:p w14:paraId="1D3A3D62" w14:textId="4BAE3C53" w:rsidR="00F47A53" w:rsidRPr="004B3080" w:rsidRDefault="007772F7" w:rsidP="0030770D">
            <w:pPr>
              <w:rPr>
                <w:sz w:val="20"/>
                <w:szCs w:val="20"/>
              </w:rPr>
            </w:pPr>
            <w:r w:rsidRPr="004B3080">
              <w:rPr>
                <w:sz w:val="20"/>
                <w:szCs w:val="20"/>
              </w:rPr>
              <w:t>atezolizumab</w:t>
            </w:r>
          </w:p>
        </w:tc>
      </w:tr>
      <w:tr w:rsidR="0086568D" w:rsidRPr="004B3080" w14:paraId="21D0A75B" w14:textId="77777777" w:rsidTr="00C23420">
        <w:tc>
          <w:tcPr>
            <w:tcW w:w="0" w:type="auto"/>
          </w:tcPr>
          <w:p w14:paraId="5ED62960" w14:textId="1EECD84B" w:rsidR="00DE3030" w:rsidRPr="004B3080" w:rsidRDefault="002F64BB" w:rsidP="0030770D">
            <w:pPr>
              <w:rPr>
                <w:sz w:val="20"/>
                <w:szCs w:val="20"/>
              </w:rPr>
            </w:pPr>
            <w:r w:rsidRPr="004B3080">
              <w:rPr>
                <w:sz w:val="20"/>
                <w:szCs w:val="20"/>
              </w:rPr>
              <w:t>Park et al</w:t>
            </w:r>
            <w:r w:rsidR="00C40780" w:rsidRPr="004B3080">
              <w:rPr>
                <w:sz w:val="20"/>
                <w:szCs w:val="20"/>
              </w:rPr>
              <w:t xml:space="preserve"> 2017</w:t>
            </w:r>
            <w:sdt>
              <w:sdtPr>
                <w:rPr>
                  <w:sz w:val="20"/>
                  <w:szCs w:val="20"/>
                </w:rPr>
                <w:alias w:val="SmartCite Citation"/>
                <w:tag w:val="4e0192db-b678-400e-ba1d-e378d3262964:9d8fab2e-1689-4fb0-bf56-20807cf4d291"/>
                <w:id w:val="-2093459192"/>
                <w:placeholder>
                  <w:docPart w:val="DefaultPlaceholder_-1854013440"/>
                </w:placeholder>
              </w:sdtPr>
              <w:sdtEndPr/>
              <w:sdtContent>
                <w:r w:rsidR="00C96079" w:rsidRPr="004B3080">
                  <w:rPr>
                    <w:rFonts w:eastAsia="Times New Roman"/>
                    <w:vertAlign w:val="superscript"/>
                  </w:rPr>
                  <w:t>8</w:t>
                </w:r>
              </w:sdtContent>
            </w:sdt>
          </w:p>
        </w:tc>
        <w:tc>
          <w:tcPr>
            <w:tcW w:w="2153" w:type="dxa"/>
          </w:tcPr>
          <w:p w14:paraId="58FE42E8" w14:textId="1C43E1C4" w:rsidR="00DE3030" w:rsidRPr="004B3080" w:rsidRDefault="00AA043C" w:rsidP="0030770D">
            <w:pPr>
              <w:rPr>
                <w:sz w:val="20"/>
                <w:szCs w:val="20"/>
              </w:rPr>
            </w:pPr>
            <w:r w:rsidRPr="004B3080">
              <w:rPr>
                <w:sz w:val="20"/>
                <w:szCs w:val="20"/>
              </w:rPr>
              <w:t xml:space="preserve">NLR </w:t>
            </w:r>
            <w:r w:rsidR="00947FDF" w:rsidRPr="004B3080">
              <w:rPr>
                <w:sz w:val="20"/>
                <w:szCs w:val="20"/>
              </w:rPr>
              <w:t xml:space="preserve">&amp; </w:t>
            </w:r>
            <w:r w:rsidR="002E24BD" w:rsidRPr="004B3080">
              <w:rPr>
                <w:rFonts w:cstheme="minorHAnsi"/>
                <w:sz w:val="20"/>
                <w:szCs w:val="20"/>
              </w:rPr>
              <w:t>Δ</w:t>
            </w:r>
            <w:r w:rsidR="0053233E" w:rsidRPr="004B3080">
              <w:rPr>
                <w:sz w:val="20"/>
                <w:szCs w:val="20"/>
              </w:rPr>
              <w:t>NLR</w:t>
            </w:r>
          </w:p>
        </w:tc>
        <w:tc>
          <w:tcPr>
            <w:tcW w:w="1233" w:type="dxa"/>
          </w:tcPr>
          <w:p w14:paraId="2D59A1DD" w14:textId="1ADCAACA" w:rsidR="00DE3030" w:rsidRPr="004B3080" w:rsidRDefault="003F0334" w:rsidP="0030770D">
            <w:pPr>
              <w:rPr>
                <w:sz w:val="20"/>
                <w:szCs w:val="20"/>
              </w:rPr>
            </w:pPr>
            <w:r w:rsidRPr="004B3080">
              <w:rPr>
                <w:sz w:val="20"/>
                <w:szCs w:val="20"/>
              </w:rPr>
              <w:t>NLR</w:t>
            </w:r>
            <w:r w:rsidRPr="004B3080">
              <w:rPr>
                <w:rFonts w:cstheme="minorHAnsi"/>
                <w:sz w:val="20"/>
                <w:szCs w:val="20"/>
              </w:rPr>
              <w:t>≥5&amp; ΔNLR≥0</w:t>
            </w:r>
          </w:p>
        </w:tc>
        <w:tc>
          <w:tcPr>
            <w:tcW w:w="2075" w:type="dxa"/>
          </w:tcPr>
          <w:p w14:paraId="62A35E1F" w14:textId="6E6B04C3" w:rsidR="00DE3030" w:rsidRPr="004B3080" w:rsidRDefault="003F0334" w:rsidP="0030770D">
            <w:pPr>
              <w:rPr>
                <w:sz w:val="20"/>
                <w:szCs w:val="20"/>
              </w:rPr>
            </w:pPr>
            <w:r w:rsidRPr="004B3080">
              <w:rPr>
                <w:sz w:val="20"/>
                <w:szCs w:val="20"/>
              </w:rPr>
              <w:t xml:space="preserve">Baseline + </w:t>
            </w:r>
            <w:proofErr w:type="gramStart"/>
            <w:r w:rsidRPr="004B3080">
              <w:rPr>
                <w:sz w:val="20"/>
                <w:szCs w:val="20"/>
              </w:rPr>
              <w:t xml:space="preserve">Change </w:t>
            </w:r>
            <w:r w:rsidR="00F035E9" w:rsidRPr="004B3080">
              <w:rPr>
                <w:sz w:val="20"/>
                <w:szCs w:val="20"/>
              </w:rPr>
              <w:t xml:space="preserve"> after</w:t>
            </w:r>
            <w:proofErr w:type="gramEnd"/>
            <w:r w:rsidR="00F035E9" w:rsidRPr="004B3080">
              <w:rPr>
                <w:sz w:val="20"/>
                <w:szCs w:val="20"/>
              </w:rPr>
              <w:t xml:space="preserve"> first treatment</w:t>
            </w:r>
          </w:p>
        </w:tc>
        <w:tc>
          <w:tcPr>
            <w:tcW w:w="2397" w:type="dxa"/>
          </w:tcPr>
          <w:p w14:paraId="305EA600" w14:textId="1AC5DDB0" w:rsidR="00DE3030" w:rsidRPr="004B3080" w:rsidRDefault="002F64BB" w:rsidP="0030770D">
            <w:pPr>
              <w:rPr>
                <w:sz w:val="20"/>
                <w:szCs w:val="20"/>
              </w:rPr>
            </w:pPr>
            <w:r w:rsidRPr="004B3080">
              <w:rPr>
                <w:sz w:val="20"/>
                <w:szCs w:val="20"/>
              </w:rPr>
              <w:t xml:space="preserve">Shorter </w:t>
            </w:r>
            <w:r w:rsidR="00076A66" w:rsidRPr="004B3080">
              <w:rPr>
                <w:sz w:val="20"/>
                <w:szCs w:val="20"/>
              </w:rPr>
              <w:t>PFS</w:t>
            </w:r>
          </w:p>
        </w:tc>
        <w:tc>
          <w:tcPr>
            <w:tcW w:w="1620" w:type="dxa"/>
          </w:tcPr>
          <w:p w14:paraId="3A132691" w14:textId="3DBAF180" w:rsidR="00DE3030" w:rsidRPr="004B3080" w:rsidRDefault="00AA043C" w:rsidP="0030770D">
            <w:pPr>
              <w:rPr>
                <w:sz w:val="20"/>
                <w:szCs w:val="20"/>
              </w:rPr>
            </w:pPr>
            <w:r w:rsidRPr="004B3080">
              <w:rPr>
                <w:sz w:val="20"/>
                <w:szCs w:val="20"/>
              </w:rPr>
              <w:t>159</w:t>
            </w:r>
          </w:p>
        </w:tc>
        <w:tc>
          <w:tcPr>
            <w:tcW w:w="2277" w:type="dxa"/>
          </w:tcPr>
          <w:p w14:paraId="0BBB56FB" w14:textId="10E91EA9" w:rsidR="00DE3030" w:rsidRPr="004B3080" w:rsidRDefault="00AA043C" w:rsidP="0030770D">
            <w:pPr>
              <w:rPr>
                <w:sz w:val="20"/>
                <w:szCs w:val="20"/>
              </w:rPr>
            </w:pPr>
            <w:r w:rsidRPr="004B3080">
              <w:rPr>
                <w:sz w:val="20"/>
                <w:szCs w:val="20"/>
              </w:rPr>
              <w:t>3.12</w:t>
            </w:r>
            <w:r w:rsidR="00FA65F7" w:rsidRPr="004B3080">
              <w:rPr>
                <w:sz w:val="20"/>
                <w:szCs w:val="20"/>
              </w:rPr>
              <w:t>,</w:t>
            </w:r>
            <w:r w:rsidRPr="004B3080">
              <w:rPr>
                <w:sz w:val="20"/>
                <w:szCs w:val="20"/>
              </w:rPr>
              <w:t xml:space="preserve"> p&lt;.0001</w:t>
            </w:r>
          </w:p>
        </w:tc>
        <w:tc>
          <w:tcPr>
            <w:tcW w:w="0" w:type="auto"/>
          </w:tcPr>
          <w:p w14:paraId="2D04878B" w14:textId="417FC0FE" w:rsidR="00DE3030" w:rsidRPr="004B3080" w:rsidRDefault="00005721" w:rsidP="0030770D">
            <w:pPr>
              <w:rPr>
                <w:sz w:val="20"/>
                <w:szCs w:val="20"/>
              </w:rPr>
            </w:pPr>
            <w:r w:rsidRPr="004B3080">
              <w:rPr>
                <w:sz w:val="20"/>
                <w:szCs w:val="20"/>
              </w:rPr>
              <w:t>nivolumab</w:t>
            </w:r>
          </w:p>
        </w:tc>
      </w:tr>
      <w:tr w:rsidR="0086568D" w:rsidRPr="004B3080" w14:paraId="46A57465" w14:textId="77777777" w:rsidTr="00C23420">
        <w:tc>
          <w:tcPr>
            <w:tcW w:w="0" w:type="auto"/>
          </w:tcPr>
          <w:p w14:paraId="1E363192" w14:textId="02A2DD5B" w:rsidR="00DE3030" w:rsidRPr="004B3080" w:rsidRDefault="007B17B9" w:rsidP="0030770D">
            <w:pPr>
              <w:rPr>
                <w:sz w:val="20"/>
                <w:szCs w:val="20"/>
              </w:rPr>
            </w:pPr>
            <w:proofErr w:type="spellStart"/>
            <w:r w:rsidRPr="004B3080">
              <w:rPr>
                <w:sz w:val="20"/>
                <w:szCs w:val="20"/>
              </w:rPr>
              <w:t>Me</w:t>
            </w:r>
            <w:r w:rsidR="00906AE7" w:rsidRPr="004B3080">
              <w:rPr>
                <w:sz w:val="20"/>
                <w:szCs w:val="20"/>
              </w:rPr>
              <w:t>zqu</w:t>
            </w:r>
            <w:r w:rsidR="00BE3878" w:rsidRPr="004B3080">
              <w:rPr>
                <w:sz w:val="20"/>
                <w:szCs w:val="20"/>
              </w:rPr>
              <w:t>it</w:t>
            </w:r>
            <w:r w:rsidR="00906AE7" w:rsidRPr="004B3080">
              <w:rPr>
                <w:sz w:val="20"/>
                <w:szCs w:val="20"/>
              </w:rPr>
              <w:t>a</w:t>
            </w:r>
            <w:proofErr w:type="spellEnd"/>
            <w:r w:rsidR="00906AE7" w:rsidRPr="004B3080">
              <w:rPr>
                <w:sz w:val="20"/>
                <w:szCs w:val="20"/>
              </w:rPr>
              <w:t xml:space="preserve"> et al 2018</w:t>
            </w:r>
            <w:sdt>
              <w:sdtPr>
                <w:rPr>
                  <w:sz w:val="20"/>
                  <w:szCs w:val="20"/>
                </w:rPr>
                <w:alias w:val="SmartCite Citation"/>
                <w:tag w:val="4e0192db-b678-400e-ba1d-e378d3262964:9e289965-a50f-4772-ad7a-30de951313ed"/>
                <w:id w:val="555352036"/>
                <w:placeholder>
                  <w:docPart w:val="DefaultPlaceholder_-1854013440"/>
                </w:placeholder>
              </w:sdtPr>
              <w:sdtEndPr/>
              <w:sdtContent>
                <w:r w:rsidR="00C96079" w:rsidRPr="004B3080">
                  <w:rPr>
                    <w:rFonts w:eastAsia="Times New Roman"/>
                    <w:vertAlign w:val="superscript"/>
                  </w:rPr>
                  <w:t>9</w:t>
                </w:r>
              </w:sdtContent>
            </w:sdt>
          </w:p>
        </w:tc>
        <w:tc>
          <w:tcPr>
            <w:tcW w:w="2153" w:type="dxa"/>
          </w:tcPr>
          <w:p w14:paraId="20187FA3" w14:textId="0C3BAF4C" w:rsidR="00DE3030" w:rsidRPr="004B3080" w:rsidRDefault="0025042D" w:rsidP="0030770D">
            <w:pPr>
              <w:rPr>
                <w:sz w:val="20"/>
                <w:szCs w:val="20"/>
              </w:rPr>
            </w:pPr>
            <w:r w:rsidRPr="004B3080">
              <w:rPr>
                <w:sz w:val="20"/>
                <w:szCs w:val="20"/>
              </w:rPr>
              <w:t>neutrophils</w:t>
            </w:r>
            <w:proofErr w:type="gramStart"/>
            <w:r w:rsidRPr="004B3080">
              <w:rPr>
                <w:sz w:val="20"/>
                <w:szCs w:val="20"/>
              </w:rPr>
              <w:t>/(</w:t>
            </w:r>
            <w:proofErr w:type="gramEnd"/>
            <w:r w:rsidRPr="004B3080">
              <w:rPr>
                <w:sz w:val="20"/>
                <w:szCs w:val="20"/>
              </w:rPr>
              <w:t>leukocytes minus neutrophils) ratio (</w:t>
            </w:r>
            <w:proofErr w:type="spellStart"/>
            <w:r w:rsidRPr="004B3080">
              <w:rPr>
                <w:sz w:val="20"/>
                <w:szCs w:val="20"/>
              </w:rPr>
              <w:t>dNLR</w:t>
            </w:r>
            <w:proofErr w:type="spellEnd"/>
            <w:r w:rsidRPr="004B3080">
              <w:rPr>
                <w:sz w:val="20"/>
                <w:szCs w:val="20"/>
              </w:rPr>
              <w:t>)</w:t>
            </w:r>
            <w:r w:rsidR="00E355F0" w:rsidRPr="004B3080">
              <w:rPr>
                <w:sz w:val="20"/>
                <w:szCs w:val="20"/>
              </w:rPr>
              <w:t xml:space="preserve"> &amp; LIPI score</w:t>
            </w:r>
          </w:p>
        </w:tc>
        <w:tc>
          <w:tcPr>
            <w:tcW w:w="1233" w:type="dxa"/>
          </w:tcPr>
          <w:p w14:paraId="66E562A2" w14:textId="2FEE246F" w:rsidR="00DE3030" w:rsidRPr="004B3080" w:rsidRDefault="00110319" w:rsidP="0030770D">
            <w:pPr>
              <w:rPr>
                <w:sz w:val="20"/>
                <w:szCs w:val="20"/>
              </w:rPr>
            </w:pPr>
            <w:r w:rsidRPr="004B3080">
              <w:rPr>
                <w:sz w:val="20"/>
                <w:szCs w:val="20"/>
              </w:rPr>
              <w:t>dNLR</w:t>
            </w:r>
            <w:r w:rsidR="00A17D10" w:rsidRPr="004B3080">
              <w:rPr>
                <w:rFonts w:cstheme="minorHAnsi"/>
                <w:sz w:val="20"/>
                <w:szCs w:val="20"/>
              </w:rPr>
              <w:t>≥3</w:t>
            </w:r>
            <w:r w:rsidR="004173EC" w:rsidRPr="004B3080">
              <w:rPr>
                <w:rFonts w:cstheme="minorHAnsi"/>
                <w:sz w:val="20"/>
                <w:szCs w:val="20"/>
              </w:rPr>
              <w:t xml:space="preserve"> </w:t>
            </w:r>
          </w:p>
        </w:tc>
        <w:tc>
          <w:tcPr>
            <w:tcW w:w="2075" w:type="dxa"/>
          </w:tcPr>
          <w:p w14:paraId="0905D991" w14:textId="340E41AB" w:rsidR="00DE3030" w:rsidRPr="004B3080" w:rsidRDefault="004173EC" w:rsidP="0030770D">
            <w:pPr>
              <w:rPr>
                <w:sz w:val="20"/>
                <w:szCs w:val="20"/>
              </w:rPr>
            </w:pPr>
            <w:r w:rsidRPr="004B3080">
              <w:rPr>
                <w:sz w:val="20"/>
                <w:szCs w:val="20"/>
              </w:rPr>
              <w:t>Baseline</w:t>
            </w:r>
          </w:p>
        </w:tc>
        <w:tc>
          <w:tcPr>
            <w:tcW w:w="2397" w:type="dxa"/>
          </w:tcPr>
          <w:p w14:paraId="1B2FA3FB" w14:textId="317B3635" w:rsidR="00DE3030" w:rsidRPr="004B3080" w:rsidRDefault="00A176B4" w:rsidP="0030770D">
            <w:pPr>
              <w:rPr>
                <w:sz w:val="20"/>
                <w:szCs w:val="20"/>
              </w:rPr>
            </w:pPr>
            <w:r w:rsidRPr="004B3080">
              <w:rPr>
                <w:sz w:val="20"/>
                <w:szCs w:val="20"/>
              </w:rPr>
              <w:t>Shorter</w:t>
            </w:r>
            <w:r w:rsidR="00637922" w:rsidRPr="004B3080">
              <w:rPr>
                <w:sz w:val="20"/>
                <w:szCs w:val="20"/>
              </w:rPr>
              <w:t xml:space="preserve"> OS</w:t>
            </w:r>
          </w:p>
          <w:p w14:paraId="18C6104A" w14:textId="77777777" w:rsidR="006C2149" w:rsidRPr="004B3080" w:rsidRDefault="006C2149" w:rsidP="0030770D">
            <w:pPr>
              <w:rPr>
                <w:sz w:val="20"/>
                <w:szCs w:val="20"/>
              </w:rPr>
            </w:pPr>
            <w:r w:rsidRPr="004B3080">
              <w:rPr>
                <w:sz w:val="20"/>
                <w:szCs w:val="20"/>
              </w:rPr>
              <w:t xml:space="preserve">shorter PFS </w:t>
            </w:r>
          </w:p>
          <w:p w14:paraId="407834B1" w14:textId="71E3056A" w:rsidR="00A12C10" w:rsidRPr="004B3080" w:rsidRDefault="00A12C10" w:rsidP="0030770D">
            <w:pPr>
              <w:rPr>
                <w:sz w:val="20"/>
                <w:szCs w:val="20"/>
              </w:rPr>
            </w:pPr>
            <w:r w:rsidRPr="004B3080">
              <w:rPr>
                <w:sz w:val="20"/>
                <w:szCs w:val="20"/>
              </w:rPr>
              <w:t>non-DCR</w:t>
            </w:r>
          </w:p>
        </w:tc>
        <w:tc>
          <w:tcPr>
            <w:tcW w:w="1620" w:type="dxa"/>
          </w:tcPr>
          <w:p w14:paraId="513FEBA1" w14:textId="77777777" w:rsidR="000E67A2" w:rsidRPr="004B3080" w:rsidRDefault="00C767DA" w:rsidP="000E67A2">
            <w:pPr>
              <w:rPr>
                <w:sz w:val="20"/>
                <w:szCs w:val="20"/>
              </w:rPr>
            </w:pPr>
            <w:r w:rsidRPr="004B3080">
              <w:rPr>
                <w:sz w:val="20"/>
                <w:szCs w:val="20"/>
              </w:rPr>
              <w:t>161 test</w:t>
            </w:r>
            <w:r w:rsidR="000E67A2" w:rsidRPr="004B3080">
              <w:rPr>
                <w:sz w:val="20"/>
                <w:szCs w:val="20"/>
              </w:rPr>
              <w:t xml:space="preserve"> set</w:t>
            </w:r>
            <w:r w:rsidR="00110319" w:rsidRPr="004B3080">
              <w:rPr>
                <w:sz w:val="20"/>
                <w:szCs w:val="20"/>
              </w:rPr>
              <w:t xml:space="preserve"> </w:t>
            </w:r>
          </w:p>
          <w:p w14:paraId="44AC04B0" w14:textId="610C3CDF" w:rsidR="00817E90" w:rsidRPr="004B3080" w:rsidRDefault="000E67A2" w:rsidP="000E67A2">
            <w:pPr>
              <w:rPr>
                <w:sz w:val="20"/>
                <w:szCs w:val="20"/>
              </w:rPr>
            </w:pPr>
            <w:r w:rsidRPr="004B3080">
              <w:rPr>
                <w:sz w:val="20"/>
                <w:szCs w:val="20"/>
              </w:rPr>
              <w:t>(</w:t>
            </w:r>
            <w:r w:rsidR="00817E90" w:rsidRPr="004B3080">
              <w:rPr>
                <w:sz w:val="20"/>
                <w:szCs w:val="20"/>
              </w:rPr>
              <w:t>305 validation</w:t>
            </w:r>
            <w:r w:rsidRPr="004B3080">
              <w:rPr>
                <w:sz w:val="20"/>
                <w:szCs w:val="20"/>
              </w:rPr>
              <w:t>,</w:t>
            </w:r>
          </w:p>
          <w:p w14:paraId="163CB62C" w14:textId="2D882F33" w:rsidR="000E67A2" w:rsidRPr="004B3080" w:rsidRDefault="000E67A2" w:rsidP="000E67A2">
            <w:pPr>
              <w:rPr>
                <w:sz w:val="20"/>
                <w:szCs w:val="20"/>
              </w:rPr>
            </w:pPr>
            <w:r w:rsidRPr="004B3080">
              <w:rPr>
                <w:sz w:val="20"/>
                <w:szCs w:val="20"/>
              </w:rPr>
              <w:t>8 European centers)</w:t>
            </w:r>
          </w:p>
          <w:p w14:paraId="5E8A39CC" w14:textId="1C3F54FC" w:rsidR="000E67A2" w:rsidRPr="004B3080" w:rsidRDefault="000E67A2" w:rsidP="000E67A2">
            <w:pPr>
              <w:rPr>
                <w:sz w:val="20"/>
                <w:szCs w:val="20"/>
              </w:rPr>
            </w:pPr>
          </w:p>
        </w:tc>
        <w:tc>
          <w:tcPr>
            <w:tcW w:w="2277" w:type="dxa"/>
          </w:tcPr>
          <w:p w14:paraId="59DADD4F" w14:textId="02BA4066" w:rsidR="00A12C10" w:rsidRPr="004B3080" w:rsidRDefault="00A176B4" w:rsidP="0030770D">
            <w:pPr>
              <w:rPr>
                <w:sz w:val="20"/>
                <w:szCs w:val="20"/>
              </w:rPr>
            </w:pPr>
            <w:r w:rsidRPr="004B3080">
              <w:rPr>
                <w:sz w:val="20"/>
                <w:szCs w:val="20"/>
              </w:rPr>
              <w:t>1.98</w:t>
            </w:r>
            <w:r w:rsidR="001441C9" w:rsidRPr="004B3080">
              <w:rPr>
                <w:sz w:val="20"/>
                <w:szCs w:val="20"/>
              </w:rPr>
              <w:t>, p=</w:t>
            </w:r>
            <w:r w:rsidR="00A12C10" w:rsidRPr="004B3080">
              <w:rPr>
                <w:sz w:val="20"/>
                <w:szCs w:val="20"/>
              </w:rPr>
              <w:t>0</w:t>
            </w:r>
            <w:r w:rsidR="001441C9" w:rsidRPr="004B3080">
              <w:rPr>
                <w:sz w:val="20"/>
                <w:szCs w:val="20"/>
              </w:rPr>
              <w:t>.002</w:t>
            </w:r>
            <w:r w:rsidR="00A12C10" w:rsidRPr="004B3080">
              <w:rPr>
                <w:sz w:val="20"/>
                <w:szCs w:val="20"/>
              </w:rPr>
              <w:t>;</w:t>
            </w:r>
          </w:p>
          <w:p w14:paraId="23429F4F" w14:textId="3E453FD4" w:rsidR="006C2149" w:rsidRPr="004B3080" w:rsidRDefault="006C2149" w:rsidP="0030770D">
            <w:pPr>
              <w:rPr>
                <w:sz w:val="20"/>
                <w:szCs w:val="20"/>
              </w:rPr>
            </w:pPr>
            <w:r w:rsidRPr="004B3080">
              <w:rPr>
                <w:sz w:val="20"/>
                <w:szCs w:val="20"/>
              </w:rPr>
              <w:t>1.61</w:t>
            </w:r>
            <w:r w:rsidR="00A12C10" w:rsidRPr="004B3080">
              <w:rPr>
                <w:sz w:val="20"/>
                <w:szCs w:val="20"/>
              </w:rPr>
              <w:t>,</w:t>
            </w:r>
            <w:r w:rsidRPr="004B3080">
              <w:rPr>
                <w:sz w:val="20"/>
                <w:szCs w:val="20"/>
              </w:rPr>
              <w:t xml:space="preserve"> p</w:t>
            </w:r>
            <w:r w:rsidR="00A176B4" w:rsidRPr="004B3080">
              <w:rPr>
                <w:sz w:val="20"/>
                <w:szCs w:val="20"/>
              </w:rPr>
              <w:t>=0.01</w:t>
            </w:r>
            <w:r w:rsidR="00A12C10" w:rsidRPr="004B3080">
              <w:rPr>
                <w:sz w:val="20"/>
                <w:szCs w:val="20"/>
              </w:rPr>
              <w:t>;</w:t>
            </w:r>
          </w:p>
          <w:p w14:paraId="77D83C98" w14:textId="1B5ABABA" w:rsidR="00A12C10" w:rsidRPr="004B3080" w:rsidRDefault="00A12C10" w:rsidP="0030770D">
            <w:pPr>
              <w:rPr>
                <w:sz w:val="20"/>
                <w:szCs w:val="20"/>
              </w:rPr>
            </w:pPr>
            <w:r w:rsidRPr="004B3080">
              <w:rPr>
                <w:sz w:val="20"/>
                <w:szCs w:val="20"/>
              </w:rPr>
              <w:t>OR=2.12, p=0.03</w:t>
            </w:r>
          </w:p>
        </w:tc>
        <w:tc>
          <w:tcPr>
            <w:tcW w:w="0" w:type="auto"/>
          </w:tcPr>
          <w:p w14:paraId="3D998C3A" w14:textId="3C60C535" w:rsidR="00DE3030" w:rsidRPr="004B3080" w:rsidRDefault="00E17130" w:rsidP="0030770D">
            <w:pPr>
              <w:rPr>
                <w:sz w:val="20"/>
                <w:szCs w:val="20"/>
              </w:rPr>
            </w:pPr>
            <w:r w:rsidRPr="004B3080">
              <w:rPr>
                <w:sz w:val="20"/>
                <w:szCs w:val="20"/>
              </w:rPr>
              <w:t>nivolumab, pembrolizumab, atezolizumab, durvalumab, and durvalumab-ipilimumab</w:t>
            </w:r>
          </w:p>
        </w:tc>
      </w:tr>
      <w:tr w:rsidR="0086568D" w:rsidRPr="004B3080" w14:paraId="1F4F1294" w14:textId="77777777" w:rsidTr="00C23420">
        <w:tc>
          <w:tcPr>
            <w:tcW w:w="0" w:type="auto"/>
          </w:tcPr>
          <w:p w14:paraId="66287FA4" w14:textId="1953352C" w:rsidR="00932A96" w:rsidRPr="004B3080" w:rsidRDefault="00932A96" w:rsidP="0030770D">
            <w:pPr>
              <w:rPr>
                <w:sz w:val="20"/>
                <w:szCs w:val="20"/>
              </w:rPr>
            </w:pPr>
            <w:r w:rsidRPr="004B3080">
              <w:rPr>
                <w:sz w:val="20"/>
                <w:szCs w:val="20"/>
              </w:rPr>
              <w:t>Bagley et al 201</w:t>
            </w:r>
            <w:r w:rsidR="005B4F6A" w:rsidRPr="004B3080">
              <w:rPr>
                <w:sz w:val="20"/>
                <w:szCs w:val="20"/>
              </w:rPr>
              <w:t>7</w:t>
            </w:r>
            <w:sdt>
              <w:sdtPr>
                <w:rPr>
                  <w:sz w:val="20"/>
                  <w:szCs w:val="20"/>
                </w:rPr>
                <w:alias w:val="SmartCite Citation"/>
                <w:tag w:val="4e0192db-b678-400e-ba1d-e378d3262964:fe8ee94b-2752-4b66-a302-8d9937c2fec5"/>
                <w:id w:val="331882632"/>
                <w:placeholder>
                  <w:docPart w:val="DefaultPlaceholder_-1854013440"/>
                </w:placeholder>
              </w:sdtPr>
              <w:sdtEndPr/>
              <w:sdtContent>
                <w:r w:rsidR="00C96079" w:rsidRPr="004B3080">
                  <w:rPr>
                    <w:rFonts w:eastAsia="Times New Roman"/>
                    <w:vertAlign w:val="superscript"/>
                  </w:rPr>
                  <w:t>10</w:t>
                </w:r>
              </w:sdtContent>
            </w:sdt>
          </w:p>
        </w:tc>
        <w:tc>
          <w:tcPr>
            <w:tcW w:w="2153" w:type="dxa"/>
          </w:tcPr>
          <w:p w14:paraId="3AB5A480" w14:textId="61ECD650" w:rsidR="00932A96" w:rsidRPr="004B3080" w:rsidRDefault="000E67A2" w:rsidP="0030770D">
            <w:pPr>
              <w:rPr>
                <w:sz w:val="20"/>
                <w:szCs w:val="20"/>
              </w:rPr>
            </w:pPr>
            <w:r w:rsidRPr="004B3080">
              <w:rPr>
                <w:sz w:val="20"/>
                <w:szCs w:val="20"/>
              </w:rPr>
              <w:t>NLR</w:t>
            </w:r>
          </w:p>
        </w:tc>
        <w:tc>
          <w:tcPr>
            <w:tcW w:w="1233" w:type="dxa"/>
          </w:tcPr>
          <w:p w14:paraId="657487E2" w14:textId="10771112" w:rsidR="00932A96" w:rsidRPr="004B3080" w:rsidRDefault="00932A96" w:rsidP="0030770D">
            <w:pPr>
              <w:rPr>
                <w:sz w:val="20"/>
                <w:szCs w:val="20"/>
              </w:rPr>
            </w:pPr>
            <w:r w:rsidRPr="004B3080">
              <w:rPr>
                <w:sz w:val="20"/>
                <w:szCs w:val="20"/>
              </w:rPr>
              <w:t>NLR ≥ 5</w:t>
            </w:r>
          </w:p>
        </w:tc>
        <w:tc>
          <w:tcPr>
            <w:tcW w:w="2075" w:type="dxa"/>
          </w:tcPr>
          <w:p w14:paraId="428DCA95" w14:textId="7B61B1F3" w:rsidR="00932A96" w:rsidRPr="004B3080" w:rsidRDefault="00932A96" w:rsidP="0030770D">
            <w:pPr>
              <w:rPr>
                <w:sz w:val="20"/>
                <w:szCs w:val="20"/>
              </w:rPr>
            </w:pPr>
            <w:r w:rsidRPr="004B3080">
              <w:rPr>
                <w:sz w:val="20"/>
                <w:szCs w:val="20"/>
              </w:rPr>
              <w:t>Pretreatment/Baseline</w:t>
            </w:r>
          </w:p>
        </w:tc>
        <w:tc>
          <w:tcPr>
            <w:tcW w:w="2397" w:type="dxa"/>
          </w:tcPr>
          <w:p w14:paraId="60FAA1A9" w14:textId="4BD8C938" w:rsidR="00932A96" w:rsidRPr="004B3080" w:rsidRDefault="00932A96" w:rsidP="0030770D">
            <w:pPr>
              <w:rPr>
                <w:sz w:val="20"/>
                <w:szCs w:val="20"/>
              </w:rPr>
            </w:pPr>
            <w:r w:rsidRPr="004B3080">
              <w:rPr>
                <w:sz w:val="20"/>
                <w:szCs w:val="20"/>
              </w:rPr>
              <w:t>Shorter OS</w:t>
            </w:r>
            <w:r w:rsidR="00E57BF4" w:rsidRPr="004B3080">
              <w:rPr>
                <w:sz w:val="20"/>
                <w:szCs w:val="20"/>
              </w:rPr>
              <w:t>;</w:t>
            </w:r>
          </w:p>
          <w:p w14:paraId="54A19C08" w14:textId="203D4E78" w:rsidR="00B53E96" w:rsidRPr="004B3080" w:rsidRDefault="00B53E96" w:rsidP="0030770D">
            <w:pPr>
              <w:rPr>
                <w:sz w:val="20"/>
                <w:szCs w:val="20"/>
              </w:rPr>
            </w:pPr>
            <w:r w:rsidRPr="004B3080">
              <w:rPr>
                <w:sz w:val="20"/>
                <w:szCs w:val="20"/>
              </w:rPr>
              <w:t>Shorter PFS</w:t>
            </w:r>
          </w:p>
        </w:tc>
        <w:tc>
          <w:tcPr>
            <w:tcW w:w="1620" w:type="dxa"/>
          </w:tcPr>
          <w:p w14:paraId="56EBB9F1" w14:textId="4CFB606D" w:rsidR="00932A96" w:rsidRPr="004B3080" w:rsidRDefault="00B53E96" w:rsidP="0030770D">
            <w:pPr>
              <w:rPr>
                <w:sz w:val="20"/>
                <w:szCs w:val="20"/>
              </w:rPr>
            </w:pPr>
            <w:r w:rsidRPr="004B3080">
              <w:rPr>
                <w:sz w:val="20"/>
                <w:szCs w:val="20"/>
              </w:rPr>
              <w:t>175</w:t>
            </w:r>
          </w:p>
        </w:tc>
        <w:tc>
          <w:tcPr>
            <w:tcW w:w="2277" w:type="dxa"/>
          </w:tcPr>
          <w:p w14:paraId="0779F700" w14:textId="6B1EA244" w:rsidR="00932A96" w:rsidRPr="004B3080" w:rsidRDefault="00B53E96" w:rsidP="0030770D">
            <w:pPr>
              <w:rPr>
                <w:sz w:val="20"/>
                <w:szCs w:val="20"/>
              </w:rPr>
            </w:pPr>
            <w:r w:rsidRPr="004B3080">
              <w:rPr>
                <w:sz w:val="20"/>
                <w:szCs w:val="20"/>
              </w:rPr>
              <w:t>2.07, p = 0.002;</w:t>
            </w:r>
          </w:p>
          <w:p w14:paraId="2C4946FE" w14:textId="0355DF90" w:rsidR="00B53E96" w:rsidRPr="004B3080" w:rsidRDefault="00E57BF4" w:rsidP="0030770D">
            <w:pPr>
              <w:rPr>
                <w:sz w:val="20"/>
                <w:szCs w:val="20"/>
              </w:rPr>
            </w:pPr>
            <w:r w:rsidRPr="004B3080">
              <w:rPr>
                <w:sz w:val="20"/>
                <w:szCs w:val="20"/>
              </w:rPr>
              <w:t>1.43, p = 0.04</w:t>
            </w:r>
          </w:p>
        </w:tc>
        <w:tc>
          <w:tcPr>
            <w:tcW w:w="0" w:type="auto"/>
          </w:tcPr>
          <w:p w14:paraId="12353C18" w14:textId="0A38DC2C" w:rsidR="00932A96" w:rsidRPr="004B3080" w:rsidRDefault="00932A96" w:rsidP="0030770D">
            <w:pPr>
              <w:rPr>
                <w:sz w:val="20"/>
                <w:szCs w:val="20"/>
              </w:rPr>
            </w:pPr>
            <w:r w:rsidRPr="004B3080">
              <w:rPr>
                <w:sz w:val="20"/>
                <w:szCs w:val="20"/>
              </w:rPr>
              <w:t>nivolumab</w:t>
            </w:r>
          </w:p>
        </w:tc>
      </w:tr>
      <w:tr w:rsidR="00150C50" w:rsidRPr="004B3080" w14:paraId="7896EF1C" w14:textId="77777777" w:rsidTr="00C23420">
        <w:tc>
          <w:tcPr>
            <w:tcW w:w="0" w:type="auto"/>
          </w:tcPr>
          <w:p w14:paraId="49ADEA8E" w14:textId="7C5573F4" w:rsidR="00150C50" w:rsidRPr="004B3080" w:rsidRDefault="00EB4038" w:rsidP="0030770D">
            <w:pPr>
              <w:rPr>
                <w:sz w:val="20"/>
                <w:szCs w:val="20"/>
              </w:rPr>
            </w:pPr>
            <w:proofErr w:type="spellStart"/>
            <w:r w:rsidRPr="004B3080">
              <w:rPr>
                <w:sz w:val="20"/>
                <w:szCs w:val="20"/>
              </w:rPr>
              <w:t>Z</w:t>
            </w:r>
            <w:r w:rsidR="00150C50" w:rsidRPr="004B3080">
              <w:rPr>
                <w:sz w:val="20"/>
                <w:szCs w:val="20"/>
              </w:rPr>
              <w:t>er</w:t>
            </w:r>
            <w:proofErr w:type="spellEnd"/>
            <w:r w:rsidR="00150C50" w:rsidRPr="004B3080">
              <w:rPr>
                <w:sz w:val="20"/>
                <w:szCs w:val="20"/>
              </w:rPr>
              <w:t xml:space="preserve"> et al 2018</w:t>
            </w:r>
            <w:sdt>
              <w:sdtPr>
                <w:rPr>
                  <w:sz w:val="20"/>
                  <w:szCs w:val="20"/>
                </w:rPr>
                <w:alias w:val="SmartCite Citation"/>
                <w:tag w:val="4e0192db-b678-400e-ba1d-e378d3262964:c241c548-487b-40a1-aa73-68886a980ff5"/>
                <w:id w:val="-29264583"/>
                <w:placeholder>
                  <w:docPart w:val="DefaultPlaceholder_-1854013440"/>
                </w:placeholder>
              </w:sdtPr>
              <w:sdtEndPr/>
              <w:sdtContent>
                <w:r w:rsidR="00C96079" w:rsidRPr="004B3080">
                  <w:rPr>
                    <w:rFonts w:eastAsia="Times New Roman"/>
                    <w:vertAlign w:val="superscript"/>
                  </w:rPr>
                  <w:t>11</w:t>
                </w:r>
              </w:sdtContent>
            </w:sdt>
            <w:r w:rsidR="00822BDE" w:rsidRPr="004B3080">
              <w:t xml:space="preserve"> </w:t>
            </w:r>
          </w:p>
        </w:tc>
        <w:tc>
          <w:tcPr>
            <w:tcW w:w="2153" w:type="dxa"/>
          </w:tcPr>
          <w:p w14:paraId="300C19E9" w14:textId="3F6AD290" w:rsidR="00150C50" w:rsidRPr="004B3080" w:rsidRDefault="00150C50" w:rsidP="0030770D">
            <w:pPr>
              <w:rPr>
                <w:sz w:val="20"/>
                <w:szCs w:val="20"/>
              </w:rPr>
            </w:pPr>
            <w:r w:rsidRPr="004B3080">
              <w:rPr>
                <w:sz w:val="20"/>
                <w:szCs w:val="20"/>
              </w:rPr>
              <w:t>NLR, ANC</w:t>
            </w:r>
            <w:r w:rsidR="006F7B80" w:rsidRPr="004B3080">
              <w:rPr>
                <w:sz w:val="20"/>
                <w:szCs w:val="20"/>
              </w:rPr>
              <w:t xml:space="preserve"> (absolute neutrophil count)</w:t>
            </w:r>
          </w:p>
        </w:tc>
        <w:tc>
          <w:tcPr>
            <w:tcW w:w="1233" w:type="dxa"/>
          </w:tcPr>
          <w:p w14:paraId="5B4ACEB1" w14:textId="0C31FCB1" w:rsidR="00150C50" w:rsidRPr="004B3080" w:rsidRDefault="00150C50" w:rsidP="0030770D">
            <w:pPr>
              <w:rPr>
                <w:sz w:val="20"/>
                <w:szCs w:val="20"/>
              </w:rPr>
            </w:pPr>
            <w:r w:rsidRPr="004B3080">
              <w:rPr>
                <w:sz w:val="20"/>
                <w:szCs w:val="20"/>
              </w:rPr>
              <w:t xml:space="preserve">NLR ≤4 </w:t>
            </w:r>
            <w:r w:rsidR="006F7B80" w:rsidRPr="004B3080">
              <w:rPr>
                <w:sz w:val="20"/>
                <w:szCs w:val="20"/>
              </w:rPr>
              <w:t xml:space="preserve">and </w:t>
            </w:r>
            <w:r w:rsidRPr="004B3080">
              <w:rPr>
                <w:sz w:val="20"/>
                <w:szCs w:val="20"/>
              </w:rPr>
              <w:t>ANC</w:t>
            </w:r>
          </w:p>
        </w:tc>
        <w:tc>
          <w:tcPr>
            <w:tcW w:w="2075" w:type="dxa"/>
          </w:tcPr>
          <w:p w14:paraId="5FE84E57" w14:textId="52B6ED08" w:rsidR="00150C50" w:rsidRPr="004B3080" w:rsidRDefault="006F7B80" w:rsidP="0030770D">
            <w:pPr>
              <w:rPr>
                <w:sz w:val="20"/>
                <w:szCs w:val="20"/>
              </w:rPr>
            </w:pPr>
            <w:r w:rsidRPr="004B3080">
              <w:rPr>
                <w:sz w:val="20"/>
                <w:szCs w:val="20"/>
              </w:rPr>
              <w:t>Base</w:t>
            </w:r>
            <w:r w:rsidR="00FD5C07" w:rsidRPr="004B3080">
              <w:rPr>
                <w:sz w:val="20"/>
                <w:szCs w:val="20"/>
              </w:rPr>
              <w:t>l</w:t>
            </w:r>
            <w:r w:rsidRPr="004B3080">
              <w:rPr>
                <w:sz w:val="20"/>
                <w:szCs w:val="20"/>
              </w:rPr>
              <w:t>ine</w:t>
            </w:r>
            <w:r w:rsidR="00DB09B3" w:rsidRPr="004B3080">
              <w:rPr>
                <w:sz w:val="20"/>
                <w:szCs w:val="20"/>
              </w:rPr>
              <w:t>, week 2 or 3 and week 8</w:t>
            </w:r>
          </w:p>
        </w:tc>
        <w:tc>
          <w:tcPr>
            <w:tcW w:w="2397" w:type="dxa"/>
          </w:tcPr>
          <w:p w14:paraId="0B088B43" w14:textId="35BADF04" w:rsidR="00BF55E8" w:rsidRPr="004B3080" w:rsidRDefault="00F00FCD" w:rsidP="0030770D">
            <w:pPr>
              <w:rPr>
                <w:sz w:val="20"/>
                <w:szCs w:val="20"/>
              </w:rPr>
            </w:pPr>
            <w:r w:rsidRPr="004B3080">
              <w:rPr>
                <w:sz w:val="20"/>
                <w:szCs w:val="20"/>
              </w:rPr>
              <w:t>Baseline NLR</w:t>
            </w:r>
            <w:r w:rsidR="003C5122" w:rsidRPr="004B3080">
              <w:rPr>
                <w:sz w:val="20"/>
                <w:szCs w:val="20"/>
              </w:rPr>
              <w:t xml:space="preserve">: </w:t>
            </w:r>
            <w:r w:rsidR="00BF55E8" w:rsidRPr="004B3080">
              <w:rPr>
                <w:sz w:val="20"/>
                <w:szCs w:val="20"/>
              </w:rPr>
              <w:t xml:space="preserve">superior </w:t>
            </w:r>
            <w:proofErr w:type="gramStart"/>
            <w:r w:rsidR="00BF55E8" w:rsidRPr="004B3080">
              <w:rPr>
                <w:sz w:val="20"/>
                <w:szCs w:val="20"/>
              </w:rPr>
              <w:t xml:space="preserve">DCR </w:t>
            </w:r>
            <w:r w:rsidR="003C5122" w:rsidRPr="004B3080">
              <w:rPr>
                <w:sz w:val="20"/>
                <w:szCs w:val="20"/>
              </w:rPr>
              <w:t>;</w:t>
            </w:r>
            <w:proofErr w:type="gramEnd"/>
            <w:r w:rsidR="00626158" w:rsidRPr="004B3080">
              <w:rPr>
                <w:sz w:val="20"/>
                <w:szCs w:val="20"/>
              </w:rPr>
              <w:t xml:space="preserve"> </w:t>
            </w:r>
            <w:r w:rsidR="00BF55E8" w:rsidRPr="004B3080">
              <w:rPr>
                <w:sz w:val="20"/>
                <w:szCs w:val="20"/>
              </w:rPr>
              <w:t xml:space="preserve">treatment duration </w:t>
            </w:r>
          </w:p>
          <w:p w14:paraId="2BC81E0A" w14:textId="77777777" w:rsidR="00150C50" w:rsidRPr="004B3080" w:rsidRDefault="00BF55E8" w:rsidP="0030770D">
            <w:pPr>
              <w:rPr>
                <w:sz w:val="20"/>
                <w:szCs w:val="20"/>
              </w:rPr>
            </w:pPr>
            <w:r w:rsidRPr="004B3080">
              <w:rPr>
                <w:sz w:val="20"/>
                <w:szCs w:val="20"/>
              </w:rPr>
              <w:t>time to progression</w:t>
            </w:r>
            <w:r w:rsidR="003C5122" w:rsidRPr="004B3080">
              <w:rPr>
                <w:sz w:val="20"/>
                <w:szCs w:val="20"/>
              </w:rPr>
              <w:t>; OS;</w:t>
            </w:r>
          </w:p>
          <w:p w14:paraId="6E124AFA" w14:textId="015BEE63" w:rsidR="003C5122" w:rsidRPr="004B3080" w:rsidRDefault="003C5122" w:rsidP="0030770D">
            <w:pPr>
              <w:rPr>
                <w:sz w:val="20"/>
                <w:szCs w:val="20"/>
              </w:rPr>
            </w:pPr>
            <w:r w:rsidRPr="004B3080">
              <w:rPr>
                <w:sz w:val="20"/>
                <w:szCs w:val="20"/>
              </w:rPr>
              <w:lastRenderedPageBreak/>
              <w:t>Post</w:t>
            </w:r>
            <w:r w:rsidR="00E408EA" w:rsidRPr="004B3080">
              <w:rPr>
                <w:sz w:val="20"/>
                <w:szCs w:val="20"/>
              </w:rPr>
              <w:t xml:space="preserve"> t</w:t>
            </w:r>
            <w:r w:rsidRPr="004B3080">
              <w:rPr>
                <w:sz w:val="20"/>
                <w:szCs w:val="20"/>
              </w:rPr>
              <w:t xml:space="preserve">reatment NLR &amp; ANC: </w:t>
            </w:r>
            <w:r w:rsidR="00626158" w:rsidRPr="004B3080">
              <w:rPr>
                <w:sz w:val="20"/>
                <w:szCs w:val="20"/>
              </w:rPr>
              <w:t>treatment response and duration</w:t>
            </w:r>
          </w:p>
        </w:tc>
        <w:tc>
          <w:tcPr>
            <w:tcW w:w="1620" w:type="dxa"/>
          </w:tcPr>
          <w:p w14:paraId="4ED33DD3" w14:textId="47685E0C" w:rsidR="00150C50" w:rsidRPr="004B3080" w:rsidRDefault="004F5837" w:rsidP="0030770D">
            <w:pPr>
              <w:rPr>
                <w:sz w:val="20"/>
                <w:szCs w:val="20"/>
              </w:rPr>
            </w:pPr>
            <w:r w:rsidRPr="004B3080">
              <w:rPr>
                <w:sz w:val="20"/>
                <w:szCs w:val="20"/>
              </w:rPr>
              <w:lastRenderedPageBreak/>
              <w:t>88</w:t>
            </w:r>
          </w:p>
        </w:tc>
        <w:tc>
          <w:tcPr>
            <w:tcW w:w="2277" w:type="dxa"/>
          </w:tcPr>
          <w:p w14:paraId="18F79BCD" w14:textId="77777777" w:rsidR="00150C50" w:rsidRPr="004B3080" w:rsidRDefault="00150C50" w:rsidP="0030770D">
            <w:pPr>
              <w:rPr>
                <w:sz w:val="20"/>
                <w:szCs w:val="20"/>
              </w:rPr>
            </w:pPr>
          </w:p>
        </w:tc>
        <w:tc>
          <w:tcPr>
            <w:tcW w:w="0" w:type="auto"/>
          </w:tcPr>
          <w:p w14:paraId="6E20BA46" w14:textId="0D541FD4" w:rsidR="00150C50" w:rsidRPr="004B3080" w:rsidRDefault="004F5837" w:rsidP="0030770D">
            <w:pPr>
              <w:rPr>
                <w:sz w:val="20"/>
                <w:szCs w:val="20"/>
              </w:rPr>
            </w:pPr>
            <w:r w:rsidRPr="004B3080">
              <w:rPr>
                <w:sz w:val="20"/>
                <w:szCs w:val="20"/>
              </w:rPr>
              <w:t>PD-1 axis inhibitors</w:t>
            </w:r>
          </w:p>
        </w:tc>
      </w:tr>
      <w:tr w:rsidR="0086568D" w:rsidRPr="004B3080" w14:paraId="09CCCA69" w14:textId="77777777" w:rsidTr="00C23420">
        <w:tc>
          <w:tcPr>
            <w:tcW w:w="0" w:type="auto"/>
          </w:tcPr>
          <w:p w14:paraId="439260A9" w14:textId="60E29BAE" w:rsidR="00D34BE5" w:rsidRPr="004B3080" w:rsidRDefault="00046186" w:rsidP="0030770D">
            <w:pPr>
              <w:rPr>
                <w:sz w:val="20"/>
                <w:szCs w:val="20"/>
              </w:rPr>
            </w:pPr>
            <w:proofErr w:type="spellStart"/>
            <w:r w:rsidRPr="004B3080">
              <w:rPr>
                <w:sz w:val="20"/>
                <w:szCs w:val="20"/>
              </w:rPr>
              <w:t>Kazandijan</w:t>
            </w:r>
            <w:proofErr w:type="spellEnd"/>
            <w:r w:rsidRPr="004B3080">
              <w:rPr>
                <w:sz w:val="20"/>
                <w:szCs w:val="20"/>
              </w:rPr>
              <w:t xml:space="preserve"> et al</w:t>
            </w:r>
            <w:r w:rsidR="00B62A00" w:rsidRPr="004B3080">
              <w:rPr>
                <w:sz w:val="20"/>
                <w:szCs w:val="20"/>
              </w:rPr>
              <w:t xml:space="preserve"> 2019</w:t>
            </w:r>
            <w:sdt>
              <w:sdtPr>
                <w:rPr>
                  <w:sz w:val="20"/>
                  <w:szCs w:val="20"/>
                </w:rPr>
                <w:alias w:val="SmartCite Citation"/>
                <w:tag w:val="4e0192db-b678-400e-ba1d-e378d3262964:c231b7b3-1096-4f84-967b-88d935fa9129"/>
                <w:id w:val="-2097854960"/>
                <w:placeholder>
                  <w:docPart w:val="DefaultPlaceholder_-1854013440"/>
                </w:placeholder>
              </w:sdtPr>
              <w:sdtEndPr/>
              <w:sdtContent>
                <w:r w:rsidR="00C96079" w:rsidRPr="004B3080">
                  <w:rPr>
                    <w:rFonts w:eastAsia="Times New Roman"/>
                    <w:vertAlign w:val="superscript"/>
                  </w:rPr>
                  <w:t>12</w:t>
                </w:r>
              </w:sdtContent>
            </w:sdt>
          </w:p>
        </w:tc>
        <w:tc>
          <w:tcPr>
            <w:tcW w:w="2153" w:type="dxa"/>
          </w:tcPr>
          <w:p w14:paraId="61931300" w14:textId="361D4094" w:rsidR="00D34BE5" w:rsidRPr="004B3080" w:rsidRDefault="00E34402" w:rsidP="0030770D">
            <w:pPr>
              <w:rPr>
                <w:sz w:val="20"/>
                <w:szCs w:val="20"/>
              </w:rPr>
            </w:pPr>
            <w:r w:rsidRPr="004B3080">
              <w:rPr>
                <w:sz w:val="20"/>
                <w:szCs w:val="20"/>
              </w:rPr>
              <w:t>prognostic index composite (LIPI) score (</w:t>
            </w:r>
            <w:proofErr w:type="spellStart"/>
            <w:r w:rsidR="001507DC" w:rsidRPr="004B3080">
              <w:rPr>
                <w:sz w:val="20"/>
                <w:szCs w:val="20"/>
              </w:rPr>
              <w:t>dNLR</w:t>
            </w:r>
            <w:proofErr w:type="spellEnd"/>
            <w:r w:rsidR="001507DC" w:rsidRPr="004B3080">
              <w:rPr>
                <w:sz w:val="20"/>
                <w:szCs w:val="20"/>
              </w:rPr>
              <w:t xml:space="preserve"> </w:t>
            </w:r>
            <w:r w:rsidRPr="004B3080">
              <w:rPr>
                <w:sz w:val="20"/>
                <w:szCs w:val="20"/>
              </w:rPr>
              <w:t>and</w:t>
            </w:r>
            <w:r w:rsidR="001507DC" w:rsidRPr="004B3080">
              <w:rPr>
                <w:sz w:val="20"/>
                <w:szCs w:val="20"/>
              </w:rPr>
              <w:t xml:space="preserve"> LDH</w:t>
            </w:r>
            <w:r w:rsidRPr="004B3080">
              <w:rPr>
                <w:sz w:val="20"/>
                <w:szCs w:val="20"/>
              </w:rPr>
              <w:t>)</w:t>
            </w:r>
          </w:p>
        </w:tc>
        <w:tc>
          <w:tcPr>
            <w:tcW w:w="1233" w:type="dxa"/>
          </w:tcPr>
          <w:p w14:paraId="624CDE82" w14:textId="5CBD6CDF" w:rsidR="00D34BE5" w:rsidRPr="004B3080" w:rsidRDefault="00C24C60" w:rsidP="0030770D">
            <w:pPr>
              <w:rPr>
                <w:sz w:val="20"/>
                <w:szCs w:val="20"/>
              </w:rPr>
            </w:pPr>
            <w:r w:rsidRPr="004B3080">
              <w:rPr>
                <w:sz w:val="20"/>
                <w:szCs w:val="20"/>
              </w:rPr>
              <w:t>good LIPI score</w:t>
            </w:r>
          </w:p>
        </w:tc>
        <w:tc>
          <w:tcPr>
            <w:tcW w:w="2075" w:type="dxa"/>
          </w:tcPr>
          <w:p w14:paraId="3A011691" w14:textId="00010B6D" w:rsidR="00D34BE5" w:rsidRPr="004B3080" w:rsidRDefault="00186CB6" w:rsidP="0030770D">
            <w:pPr>
              <w:rPr>
                <w:sz w:val="20"/>
                <w:szCs w:val="20"/>
              </w:rPr>
            </w:pPr>
            <w:r w:rsidRPr="004B3080">
              <w:rPr>
                <w:sz w:val="20"/>
                <w:szCs w:val="20"/>
              </w:rPr>
              <w:t>Baseline</w:t>
            </w:r>
          </w:p>
        </w:tc>
        <w:tc>
          <w:tcPr>
            <w:tcW w:w="2397" w:type="dxa"/>
          </w:tcPr>
          <w:p w14:paraId="2D610132" w14:textId="7F52C501" w:rsidR="00D34BE5" w:rsidRPr="004B3080" w:rsidRDefault="0044066B" w:rsidP="0030770D">
            <w:pPr>
              <w:rPr>
                <w:sz w:val="20"/>
                <w:szCs w:val="20"/>
              </w:rPr>
            </w:pPr>
            <w:r w:rsidRPr="004B3080">
              <w:rPr>
                <w:sz w:val="20"/>
                <w:szCs w:val="20"/>
              </w:rPr>
              <w:t>better OS</w:t>
            </w:r>
            <w:r w:rsidR="00C24C60" w:rsidRPr="004B3080">
              <w:rPr>
                <w:sz w:val="20"/>
                <w:szCs w:val="20"/>
              </w:rPr>
              <w:t>;</w:t>
            </w:r>
          </w:p>
          <w:p w14:paraId="56CB7D62" w14:textId="78C352CC" w:rsidR="00C24C60" w:rsidRPr="004B3080" w:rsidRDefault="00C24C60" w:rsidP="0030770D">
            <w:pPr>
              <w:rPr>
                <w:sz w:val="20"/>
                <w:szCs w:val="20"/>
              </w:rPr>
            </w:pPr>
            <w:r w:rsidRPr="004B3080">
              <w:rPr>
                <w:sz w:val="20"/>
                <w:szCs w:val="20"/>
              </w:rPr>
              <w:t>better PFS;</w:t>
            </w:r>
          </w:p>
        </w:tc>
        <w:tc>
          <w:tcPr>
            <w:tcW w:w="1620" w:type="dxa"/>
          </w:tcPr>
          <w:p w14:paraId="57960818" w14:textId="044D0A55" w:rsidR="00D34BE5" w:rsidRPr="004B3080" w:rsidRDefault="00D34BE5" w:rsidP="0030770D">
            <w:pPr>
              <w:rPr>
                <w:sz w:val="20"/>
                <w:szCs w:val="20"/>
              </w:rPr>
            </w:pPr>
            <w:r w:rsidRPr="004B3080">
              <w:rPr>
                <w:sz w:val="20"/>
                <w:szCs w:val="20"/>
              </w:rPr>
              <w:t>1368</w:t>
            </w:r>
            <w:r w:rsidR="000F23A5" w:rsidRPr="004B3080">
              <w:rPr>
                <w:sz w:val="20"/>
                <w:szCs w:val="20"/>
              </w:rPr>
              <w:t xml:space="preserve"> (11 </w:t>
            </w:r>
            <w:proofErr w:type="spellStart"/>
            <w:r w:rsidR="000F23A5" w:rsidRPr="004B3080">
              <w:rPr>
                <w:sz w:val="20"/>
                <w:szCs w:val="20"/>
              </w:rPr>
              <w:t>mNSCLC</w:t>
            </w:r>
            <w:proofErr w:type="spellEnd"/>
            <w:r w:rsidR="000F23A5" w:rsidRPr="004B3080">
              <w:rPr>
                <w:sz w:val="20"/>
                <w:szCs w:val="20"/>
              </w:rPr>
              <w:t xml:space="preserve"> randomized trials)</w:t>
            </w:r>
          </w:p>
        </w:tc>
        <w:tc>
          <w:tcPr>
            <w:tcW w:w="2277" w:type="dxa"/>
          </w:tcPr>
          <w:p w14:paraId="2DD707F6" w14:textId="2D592E20" w:rsidR="00D34BE5" w:rsidRPr="004B3080" w:rsidRDefault="00EE1455" w:rsidP="0030770D">
            <w:pPr>
              <w:rPr>
                <w:sz w:val="20"/>
                <w:szCs w:val="20"/>
              </w:rPr>
            </w:pPr>
            <w:r w:rsidRPr="004B3080">
              <w:rPr>
                <w:sz w:val="20"/>
                <w:szCs w:val="20"/>
              </w:rPr>
              <w:t>0.34; 95% CI, 0.28-0.42</w:t>
            </w:r>
            <w:r w:rsidR="00C24C60" w:rsidRPr="004B3080">
              <w:rPr>
                <w:sz w:val="20"/>
                <w:szCs w:val="20"/>
              </w:rPr>
              <w:t>;</w:t>
            </w:r>
          </w:p>
          <w:p w14:paraId="514B5F96" w14:textId="18DA68CC" w:rsidR="00C24C60" w:rsidRPr="004B3080" w:rsidRDefault="00C24C60" w:rsidP="0030770D">
            <w:pPr>
              <w:rPr>
                <w:sz w:val="20"/>
                <w:szCs w:val="20"/>
              </w:rPr>
            </w:pPr>
            <w:r w:rsidRPr="004B3080">
              <w:rPr>
                <w:sz w:val="20"/>
                <w:szCs w:val="20"/>
              </w:rPr>
              <w:t>0.56; 95% CI, 0.45-0.68</w:t>
            </w:r>
          </w:p>
          <w:p w14:paraId="31C16559" w14:textId="4481423D" w:rsidR="00C24C60" w:rsidRPr="004B3080" w:rsidRDefault="00C24C60" w:rsidP="0030770D">
            <w:pPr>
              <w:rPr>
                <w:sz w:val="20"/>
                <w:szCs w:val="20"/>
              </w:rPr>
            </w:pPr>
          </w:p>
        </w:tc>
        <w:tc>
          <w:tcPr>
            <w:tcW w:w="0" w:type="auto"/>
          </w:tcPr>
          <w:p w14:paraId="6359DEFF" w14:textId="3C9AC9A7" w:rsidR="00D34BE5" w:rsidRPr="004B3080" w:rsidRDefault="00FB0D83" w:rsidP="0030770D">
            <w:pPr>
              <w:rPr>
                <w:sz w:val="20"/>
                <w:szCs w:val="20"/>
              </w:rPr>
            </w:pPr>
            <w:r w:rsidRPr="004B3080">
              <w:rPr>
                <w:sz w:val="20"/>
                <w:szCs w:val="20"/>
              </w:rPr>
              <w:t>ICIs</w:t>
            </w:r>
          </w:p>
        </w:tc>
      </w:tr>
      <w:tr w:rsidR="00F0606B" w:rsidRPr="004B3080" w14:paraId="5E39A376" w14:textId="77777777" w:rsidTr="00C23420">
        <w:tc>
          <w:tcPr>
            <w:tcW w:w="0" w:type="auto"/>
          </w:tcPr>
          <w:p w14:paraId="15ECBE4D" w14:textId="2F474541" w:rsidR="00F0606B" w:rsidRPr="004B3080" w:rsidRDefault="00B0200A" w:rsidP="0030770D">
            <w:pPr>
              <w:rPr>
                <w:sz w:val="20"/>
                <w:szCs w:val="20"/>
              </w:rPr>
            </w:pPr>
            <w:proofErr w:type="spellStart"/>
            <w:r w:rsidRPr="004B3080">
              <w:rPr>
                <w:sz w:val="20"/>
                <w:szCs w:val="20"/>
              </w:rPr>
              <w:t>Dusselier</w:t>
            </w:r>
            <w:proofErr w:type="spellEnd"/>
            <w:r w:rsidRPr="004B3080">
              <w:rPr>
                <w:sz w:val="20"/>
                <w:szCs w:val="20"/>
              </w:rPr>
              <w:t xml:space="preserve"> et al 201</w:t>
            </w:r>
            <w:r w:rsidR="004721EE" w:rsidRPr="004B3080">
              <w:rPr>
                <w:sz w:val="20"/>
                <w:szCs w:val="20"/>
              </w:rPr>
              <w:t>9</w:t>
            </w:r>
            <w:sdt>
              <w:sdtPr>
                <w:rPr>
                  <w:sz w:val="20"/>
                  <w:szCs w:val="20"/>
                </w:rPr>
                <w:alias w:val="SmartCite Citation"/>
                <w:tag w:val="4e0192db-b678-400e-ba1d-e378d3262964:dc3a946e-6a2f-4db9-a9c0-0ea7e685b1bd"/>
                <w:id w:val="1346982331"/>
                <w:placeholder>
                  <w:docPart w:val="DefaultPlaceholder_-1854013440"/>
                </w:placeholder>
              </w:sdtPr>
              <w:sdtEndPr/>
              <w:sdtContent>
                <w:r w:rsidR="00C96079" w:rsidRPr="004B3080">
                  <w:rPr>
                    <w:rFonts w:eastAsia="Times New Roman"/>
                    <w:vertAlign w:val="superscript"/>
                  </w:rPr>
                  <w:t>13</w:t>
                </w:r>
              </w:sdtContent>
            </w:sdt>
          </w:p>
        </w:tc>
        <w:tc>
          <w:tcPr>
            <w:tcW w:w="2153" w:type="dxa"/>
          </w:tcPr>
          <w:p w14:paraId="364D555B" w14:textId="20376E2E" w:rsidR="00F0606B" w:rsidRPr="004B3080" w:rsidRDefault="00496E90" w:rsidP="0030770D">
            <w:pPr>
              <w:rPr>
                <w:sz w:val="20"/>
                <w:szCs w:val="20"/>
              </w:rPr>
            </w:pPr>
            <w:r w:rsidRPr="004B3080">
              <w:rPr>
                <w:sz w:val="20"/>
                <w:szCs w:val="20"/>
              </w:rPr>
              <w:t>ΔNLR</w:t>
            </w:r>
          </w:p>
        </w:tc>
        <w:tc>
          <w:tcPr>
            <w:tcW w:w="1233" w:type="dxa"/>
          </w:tcPr>
          <w:p w14:paraId="4FD0658A" w14:textId="780852E6" w:rsidR="00F0606B" w:rsidRPr="004B3080" w:rsidRDefault="00F0606B" w:rsidP="0030770D">
            <w:pPr>
              <w:rPr>
                <w:sz w:val="20"/>
                <w:szCs w:val="20"/>
              </w:rPr>
            </w:pPr>
            <w:r w:rsidRPr="004B3080">
              <w:rPr>
                <w:sz w:val="20"/>
                <w:szCs w:val="20"/>
              </w:rPr>
              <w:t xml:space="preserve">ΔNLR </w:t>
            </w:r>
            <w:r w:rsidR="00C705E7" w:rsidRPr="004B3080">
              <w:rPr>
                <w:sz w:val="20"/>
                <w:szCs w:val="20"/>
              </w:rPr>
              <w:t>&lt;</w:t>
            </w:r>
            <w:r w:rsidRPr="004B3080">
              <w:rPr>
                <w:sz w:val="20"/>
                <w:szCs w:val="20"/>
              </w:rPr>
              <w:t xml:space="preserve"> 1</w:t>
            </w:r>
          </w:p>
        </w:tc>
        <w:tc>
          <w:tcPr>
            <w:tcW w:w="2075" w:type="dxa"/>
          </w:tcPr>
          <w:p w14:paraId="08D4450A" w14:textId="7626721A" w:rsidR="00F0606B" w:rsidRPr="004B3080" w:rsidRDefault="00496E90" w:rsidP="0030770D">
            <w:pPr>
              <w:rPr>
                <w:sz w:val="20"/>
                <w:szCs w:val="20"/>
              </w:rPr>
            </w:pPr>
            <w:r w:rsidRPr="004B3080">
              <w:rPr>
                <w:sz w:val="20"/>
                <w:szCs w:val="20"/>
              </w:rPr>
              <w:t>Between Baseline and 4</w:t>
            </w:r>
            <w:r w:rsidRPr="004B3080">
              <w:rPr>
                <w:sz w:val="20"/>
                <w:szCs w:val="20"/>
                <w:vertAlign w:val="superscript"/>
              </w:rPr>
              <w:t>th</w:t>
            </w:r>
            <w:r w:rsidRPr="004B3080">
              <w:rPr>
                <w:sz w:val="20"/>
                <w:szCs w:val="20"/>
              </w:rPr>
              <w:t xml:space="preserve"> treatment</w:t>
            </w:r>
          </w:p>
        </w:tc>
        <w:tc>
          <w:tcPr>
            <w:tcW w:w="2397" w:type="dxa"/>
          </w:tcPr>
          <w:p w14:paraId="5269454E" w14:textId="0C8E51A7" w:rsidR="00F0606B" w:rsidRPr="004B3080" w:rsidRDefault="00215087" w:rsidP="0030770D">
            <w:pPr>
              <w:rPr>
                <w:sz w:val="20"/>
                <w:szCs w:val="20"/>
              </w:rPr>
            </w:pPr>
            <w:r w:rsidRPr="004B3080">
              <w:rPr>
                <w:sz w:val="20"/>
                <w:szCs w:val="20"/>
              </w:rPr>
              <w:t>Better OS</w:t>
            </w:r>
          </w:p>
        </w:tc>
        <w:tc>
          <w:tcPr>
            <w:tcW w:w="1620" w:type="dxa"/>
          </w:tcPr>
          <w:p w14:paraId="2B94B5C7" w14:textId="32E9E74C" w:rsidR="00F0606B" w:rsidRPr="004B3080" w:rsidRDefault="005D06EB" w:rsidP="0030770D">
            <w:pPr>
              <w:rPr>
                <w:sz w:val="20"/>
                <w:szCs w:val="20"/>
              </w:rPr>
            </w:pPr>
            <w:r w:rsidRPr="004B3080">
              <w:rPr>
                <w:sz w:val="20"/>
                <w:szCs w:val="20"/>
              </w:rPr>
              <w:t>59</w:t>
            </w:r>
          </w:p>
        </w:tc>
        <w:tc>
          <w:tcPr>
            <w:tcW w:w="2277" w:type="dxa"/>
          </w:tcPr>
          <w:p w14:paraId="030E511D" w14:textId="0A525F24" w:rsidR="00F0606B" w:rsidRPr="004B3080" w:rsidRDefault="00C705E7" w:rsidP="004A3D39">
            <w:pPr>
              <w:rPr>
                <w:sz w:val="20"/>
                <w:szCs w:val="20"/>
              </w:rPr>
            </w:pPr>
            <w:r w:rsidRPr="004B3080">
              <w:rPr>
                <w:sz w:val="20"/>
                <w:szCs w:val="20"/>
              </w:rPr>
              <w:t>0.29,</w:t>
            </w:r>
            <w:r w:rsidR="00215087" w:rsidRPr="004B3080">
              <w:rPr>
                <w:sz w:val="20"/>
                <w:szCs w:val="20"/>
              </w:rPr>
              <w:t xml:space="preserve"> 0.001</w:t>
            </w:r>
          </w:p>
        </w:tc>
        <w:tc>
          <w:tcPr>
            <w:tcW w:w="0" w:type="auto"/>
          </w:tcPr>
          <w:p w14:paraId="574A7364" w14:textId="08EFF9D9" w:rsidR="00F0606B" w:rsidRPr="004B3080" w:rsidRDefault="005D06EB" w:rsidP="0030770D">
            <w:pPr>
              <w:rPr>
                <w:sz w:val="20"/>
                <w:szCs w:val="20"/>
              </w:rPr>
            </w:pPr>
            <w:r w:rsidRPr="004B3080">
              <w:rPr>
                <w:sz w:val="20"/>
                <w:szCs w:val="20"/>
              </w:rPr>
              <w:t>nivolumab</w:t>
            </w:r>
          </w:p>
        </w:tc>
      </w:tr>
      <w:tr w:rsidR="00B2253D" w:rsidRPr="004B3080" w14:paraId="38DF3C1F" w14:textId="77777777" w:rsidTr="00C23420">
        <w:tc>
          <w:tcPr>
            <w:tcW w:w="0" w:type="auto"/>
          </w:tcPr>
          <w:p w14:paraId="192DB845" w14:textId="28D232F8" w:rsidR="00B2253D" w:rsidRPr="004B3080" w:rsidRDefault="0065774B" w:rsidP="0030770D">
            <w:pPr>
              <w:rPr>
                <w:sz w:val="20"/>
                <w:szCs w:val="20"/>
              </w:rPr>
            </w:pPr>
            <w:r w:rsidRPr="004B3080">
              <w:rPr>
                <w:sz w:val="20"/>
                <w:szCs w:val="20"/>
              </w:rPr>
              <w:t>Liu et al 2019</w:t>
            </w:r>
            <w:sdt>
              <w:sdtPr>
                <w:rPr>
                  <w:sz w:val="20"/>
                  <w:szCs w:val="20"/>
                </w:rPr>
                <w:alias w:val="SmartCite Citation"/>
                <w:tag w:val="4e0192db-b678-400e-ba1d-e378d3262964:4bcedbf1-5f74-41ce-b4c8-ce8989f67338"/>
                <w:id w:val="-1110499119"/>
                <w:placeholder>
                  <w:docPart w:val="DefaultPlaceholder_-1854013440"/>
                </w:placeholder>
              </w:sdtPr>
              <w:sdtEndPr/>
              <w:sdtContent>
                <w:r w:rsidR="00C96079" w:rsidRPr="004B3080">
                  <w:rPr>
                    <w:rFonts w:eastAsia="Times New Roman"/>
                    <w:vertAlign w:val="superscript"/>
                  </w:rPr>
                  <w:t>14</w:t>
                </w:r>
              </w:sdtContent>
            </w:sdt>
          </w:p>
        </w:tc>
        <w:tc>
          <w:tcPr>
            <w:tcW w:w="2153" w:type="dxa"/>
          </w:tcPr>
          <w:p w14:paraId="0A02F2CE" w14:textId="578CAF2F" w:rsidR="00B2253D" w:rsidRPr="004B3080" w:rsidRDefault="00B2253D" w:rsidP="0030770D">
            <w:pPr>
              <w:rPr>
                <w:sz w:val="20"/>
                <w:szCs w:val="20"/>
              </w:rPr>
            </w:pPr>
            <w:proofErr w:type="gramStart"/>
            <w:r w:rsidRPr="004B3080">
              <w:rPr>
                <w:sz w:val="20"/>
                <w:szCs w:val="20"/>
              </w:rPr>
              <w:t>NLR;PLR</w:t>
            </w:r>
            <w:proofErr w:type="gramEnd"/>
            <w:r w:rsidRPr="004B3080">
              <w:rPr>
                <w:sz w:val="20"/>
                <w:szCs w:val="20"/>
              </w:rPr>
              <w:t>;SII</w:t>
            </w:r>
          </w:p>
        </w:tc>
        <w:tc>
          <w:tcPr>
            <w:tcW w:w="1233" w:type="dxa"/>
          </w:tcPr>
          <w:p w14:paraId="2E29841B" w14:textId="66275837" w:rsidR="00B2253D" w:rsidRPr="004B3080" w:rsidRDefault="00A144AE" w:rsidP="0030770D">
            <w:pPr>
              <w:rPr>
                <w:sz w:val="20"/>
                <w:szCs w:val="20"/>
              </w:rPr>
            </w:pPr>
            <w:r w:rsidRPr="004B3080">
              <w:rPr>
                <w:sz w:val="20"/>
                <w:szCs w:val="20"/>
              </w:rPr>
              <w:t>NLR</w:t>
            </w:r>
            <w:r w:rsidR="003D1E8E" w:rsidRPr="004B3080">
              <w:rPr>
                <w:rFonts w:cstheme="minorHAnsi"/>
                <w:sz w:val="20"/>
                <w:szCs w:val="20"/>
              </w:rPr>
              <w:t>≤</w:t>
            </w:r>
            <w:r w:rsidRPr="004B3080">
              <w:rPr>
                <w:sz w:val="20"/>
                <w:szCs w:val="20"/>
              </w:rPr>
              <w:t>3.07</w:t>
            </w:r>
          </w:p>
        </w:tc>
        <w:tc>
          <w:tcPr>
            <w:tcW w:w="2075" w:type="dxa"/>
          </w:tcPr>
          <w:p w14:paraId="09BDCD4A" w14:textId="315E8950" w:rsidR="00B2253D" w:rsidRPr="004B3080" w:rsidRDefault="00B2253D" w:rsidP="0030770D">
            <w:pPr>
              <w:rPr>
                <w:sz w:val="20"/>
                <w:szCs w:val="20"/>
              </w:rPr>
            </w:pPr>
            <w:r w:rsidRPr="004B3080">
              <w:rPr>
                <w:sz w:val="20"/>
                <w:szCs w:val="20"/>
              </w:rPr>
              <w:t>Basel</w:t>
            </w:r>
            <w:r w:rsidR="008D263B" w:rsidRPr="004B3080">
              <w:rPr>
                <w:sz w:val="20"/>
                <w:szCs w:val="20"/>
              </w:rPr>
              <w:t>i</w:t>
            </w:r>
            <w:r w:rsidRPr="004B3080">
              <w:rPr>
                <w:sz w:val="20"/>
                <w:szCs w:val="20"/>
              </w:rPr>
              <w:t>ne</w:t>
            </w:r>
            <w:r w:rsidR="008D263B" w:rsidRPr="004B3080">
              <w:rPr>
                <w:sz w:val="20"/>
                <w:szCs w:val="20"/>
              </w:rPr>
              <w:t xml:space="preserve"> (&lt;7 days)</w:t>
            </w:r>
          </w:p>
        </w:tc>
        <w:tc>
          <w:tcPr>
            <w:tcW w:w="2397" w:type="dxa"/>
          </w:tcPr>
          <w:p w14:paraId="34E66B8C" w14:textId="77777777" w:rsidR="00B2253D" w:rsidRPr="004B3080" w:rsidRDefault="003D1E8E" w:rsidP="0030770D">
            <w:pPr>
              <w:rPr>
                <w:sz w:val="20"/>
                <w:szCs w:val="20"/>
              </w:rPr>
            </w:pPr>
            <w:r w:rsidRPr="004B3080">
              <w:rPr>
                <w:sz w:val="20"/>
                <w:szCs w:val="20"/>
              </w:rPr>
              <w:t>b</w:t>
            </w:r>
            <w:r w:rsidR="004A3D39" w:rsidRPr="004B3080">
              <w:rPr>
                <w:sz w:val="20"/>
                <w:szCs w:val="20"/>
              </w:rPr>
              <w:t>etter PFS;</w:t>
            </w:r>
          </w:p>
          <w:p w14:paraId="51793C51" w14:textId="65DEDB72" w:rsidR="003D1E8E" w:rsidRPr="004B3080" w:rsidRDefault="003D1E8E" w:rsidP="0030770D">
            <w:pPr>
              <w:rPr>
                <w:sz w:val="20"/>
                <w:szCs w:val="20"/>
              </w:rPr>
            </w:pPr>
            <w:r w:rsidRPr="004B3080">
              <w:rPr>
                <w:sz w:val="20"/>
                <w:szCs w:val="20"/>
              </w:rPr>
              <w:t>better OS</w:t>
            </w:r>
          </w:p>
        </w:tc>
        <w:tc>
          <w:tcPr>
            <w:tcW w:w="1620" w:type="dxa"/>
          </w:tcPr>
          <w:p w14:paraId="330BBE40" w14:textId="51115B46" w:rsidR="00B2253D" w:rsidRPr="004B3080" w:rsidRDefault="00B2253D" w:rsidP="0030770D">
            <w:pPr>
              <w:rPr>
                <w:sz w:val="20"/>
                <w:szCs w:val="20"/>
              </w:rPr>
            </w:pPr>
            <w:r w:rsidRPr="004B3080">
              <w:rPr>
                <w:sz w:val="20"/>
                <w:szCs w:val="20"/>
              </w:rPr>
              <w:t>44 Chinese</w:t>
            </w:r>
          </w:p>
        </w:tc>
        <w:tc>
          <w:tcPr>
            <w:tcW w:w="2277" w:type="dxa"/>
          </w:tcPr>
          <w:p w14:paraId="0D2FF4D9" w14:textId="77777777" w:rsidR="00B2253D" w:rsidRPr="004B3080" w:rsidRDefault="004A3D39" w:rsidP="004A3D39">
            <w:pPr>
              <w:rPr>
                <w:sz w:val="20"/>
                <w:szCs w:val="20"/>
              </w:rPr>
            </w:pPr>
            <w:r w:rsidRPr="004B3080">
              <w:rPr>
                <w:sz w:val="20"/>
                <w:szCs w:val="20"/>
              </w:rPr>
              <w:t>0.46, p = 0.048</w:t>
            </w:r>
            <w:r w:rsidR="003D1E8E" w:rsidRPr="004B3080">
              <w:rPr>
                <w:sz w:val="20"/>
                <w:szCs w:val="20"/>
              </w:rPr>
              <w:t>;</w:t>
            </w:r>
          </w:p>
          <w:p w14:paraId="648E7A62" w14:textId="319594A8" w:rsidR="003D1E8E" w:rsidRPr="004B3080" w:rsidRDefault="003D1E8E" w:rsidP="004A3D39">
            <w:pPr>
              <w:rPr>
                <w:sz w:val="20"/>
                <w:szCs w:val="20"/>
              </w:rPr>
            </w:pPr>
            <w:r w:rsidRPr="004B3080">
              <w:rPr>
                <w:sz w:val="20"/>
                <w:szCs w:val="20"/>
              </w:rPr>
              <w:t>0.20, p = 0.002</w:t>
            </w:r>
          </w:p>
        </w:tc>
        <w:tc>
          <w:tcPr>
            <w:tcW w:w="0" w:type="auto"/>
          </w:tcPr>
          <w:p w14:paraId="48F9F956" w14:textId="77777777" w:rsidR="00B2253D" w:rsidRPr="004B3080" w:rsidRDefault="00B2253D" w:rsidP="0030770D">
            <w:pPr>
              <w:rPr>
                <w:sz w:val="20"/>
                <w:szCs w:val="20"/>
              </w:rPr>
            </w:pPr>
          </w:p>
        </w:tc>
      </w:tr>
      <w:tr w:rsidR="0086568D" w:rsidRPr="004B3080" w14:paraId="6564511A" w14:textId="77777777" w:rsidTr="00C23420">
        <w:tc>
          <w:tcPr>
            <w:tcW w:w="0" w:type="auto"/>
          </w:tcPr>
          <w:p w14:paraId="7C909464" w14:textId="7236C743" w:rsidR="00E915E7" w:rsidRPr="004B3080" w:rsidRDefault="00E915E7" w:rsidP="0030770D">
            <w:pPr>
              <w:rPr>
                <w:sz w:val="20"/>
                <w:szCs w:val="20"/>
              </w:rPr>
            </w:pPr>
            <w:r w:rsidRPr="004B3080">
              <w:rPr>
                <w:sz w:val="20"/>
                <w:szCs w:val="20"/>
              </w:rPr>
              <w:t>Ruiz-</w:t>
            </w:r>
            <w:proofErr w:type="spellStart"/>
            <w:r w:rsidRPr="004B3080">
              <w:rPr>
                <w:sz w:val="20"/>
                <w:szCs w:val="20"/>
              </w:rPr>
              <w:t>Bañobre</w:t>
            </w:r>
            <w:proofErr w:type="spellEnd"/>
            <w:r w:rsidRPr="004B3080">
              <w:rPr>
                <w:sz w:val="20"/>
                <w:szCs w:val="20"/>
              </w:rPr>
              <w:t xml:space="preserve"> et al 2019</w:t>
            </w:r>
            <w:sdt>
              <w:sdtPr>
                <w:rPr>
                  <w:sz w:val="20"/>
                  <w:szCs w:val="20"/>
                </w:rPr>
                <w:alias w:val="SmartCite Citation"/>
                <w:tag w:val="4e0192db-b678-400e-ba1d-e378d3262964:05ed7889-78f6-4d59-9208-1674e09562ee"/>
                <w:id w:val="-1443836888"/>
                <w:placeholder>
                  <w:docPart w:val="DefaultPlaceholder_-1854013440"/>
                </w:placeholder>
              </w:sdtPr>
              <w:sdtEndPr/>
              <w:sdtContent>
                <w:r w:rsidR="00C96079" w:rsidRPr="004B3080">
                  <w:rPr>
                    <w:rFonts w:eastAsia="Times New Roman"/>
                    <w:vertAlign w:val="superscript"/>
                  </w:rPr>
                  <w:t>15</w:t>
                </w:r>
              </w:sdtContent>
            </w:sdt>
          </w:p>
        </w:tc>
        <w:tc>
          <w:tcPr>
            <w:tcW w:w="2153" w:type="dxa"/>
          </w:tcPr>
          <w:p w14:paraId="5199A901" w14:textId="76721F91" w:rsidR="00E915E7" w:rsidRPr="004B3080" w:rsidRDefault="00FB65D0" w:rsidP="0030770D">
            <w:pPr>
              <w:rPr>
                <w:sz w:val="20"/>
                <w:szCs w:val="20"/>
              </w:rPr>
            </w:pPr>
            <w:r w:rsidRPr="004B3080">
              <w:rPr>
                <w:sz w:val="20"/>
                <w:szCs w:val="20"/>
              </w:rPr>
              <w:t>prognostic index composite (LIPI) score (</w:t>
            </w:r>
            <w:proofErr w:type="spellStart"/>
            <w:r w:rsidRPr="004B3080">
              <w:rPr>
                <w:sz w:val="20"/>
                <w:szCs w:val="20"/>
              </w:rPr>
              <w:t>dNLR</w:t>
            </w:r>
            <w:proofErr w:type="spellEnd"/>
            <w:r w:rsidRPr="004B3080">
              <w:rPr>
                <w:sz w:val="20"/>
                <w:szCs w:val="20"/>
              </w:rPr>
              <w:t xml:space="preserve"> and LDH)</w:t>
            </w:r>
          </w:p>
        </w:tc>
        <w:tc>
          <w:tcPr>
            <w:tcW w:w="1233" w:type="dxa"/>
          </w:tcPr>
          <w:p w14:paraId="0EF55BC4" w14:textId="32B60F68" w:rsidR="00E915E7" w:rsidRPr="004B3080" w:rsidRDefault="00FB65D0" w:rsidP="0030770D">
            <w:pPr>
              <w:rPr>
                <w:sz w:val="20"/>
                <w:szCs w:val="20"/>
              </w:rPr>
            </w:pPr>
            <w:r w:rsidRPr="004B3080">
              <w:rPr>
                <w:sz w:val="20"/>
                <w:szCs w:val="20"/>
              </w:rPr>
              <w:t>Low LIPI score</w:t>
            </w:r>
          </w:p>
        </w:tc>
        <w:tc>
          <w:tcPr>
            <w:tcW w:w="2075" w:type="dxa"/>
          </w:tcPr>
          <w:p w14:paraId="75CE1DDB" w14:textId="09E0BEBE" w:rsidR="00E915E7" w:rsidRPr="004B3080" w:rsidRDefault="00865B2B" w:rsidP="0030770D">
            <w:pPr>
              <w:rPr>
                <w:sz w:val="20"/>
                <w:szCs w:val="20"/>
              </w:rPr>
            </w:pPr>
            <w:r w:rsidRPr="004B3080">
              <w:rPr>
                <w:sz w:val="20"/>
                <w:szCs w:val="20"/>
              </w:rPr>
              <w:t>Baseline (&lt;30 days)</w:t>
            </w:r>
          </w:p>
        </w:tc>
        <w:tc>
          <w:tcPr>
            <w:tcW w:w="2397" w:type="dxa"/>
          </w:tcPr>
          <w:p w14:paraId="3C073B88" w14:textId="77777777" w:rsidR="00E915E7" w:rsidRPr="004B3080" w:rsidRDefault="00F13A00" w:rsidP="0030770D">
            <w:pPr>
              <w:rPr>
                <w:sz w:val="20"/>
                <w:szCs w:val="20"/>
              </w:rPr>
            </w:pPr>
            <w:r w:rsidRPr="004B3080">
              <w:rPr>
                <w:sz w:val="20"/>
                <w:szCs w:val="20"/>
              </w:rPr>
              <w:t>poorer OS;</w:t>
            </w:r>
          </w:p>
          <w:p w14:paraId="42AFC987" w14:textId="77777777" w:rsidR="00F13A00" w:rsidRPr="004B3080" w:rsidRDefault="00F13A00" w:rsidP="0030770D">
            <w:pPr>
              <w:rPr>
                <w:sz w:val="20"/>
                <w:szCs w:val="20"/>
              </w:rPr>
            </w:pPr>
            <w:r w:rsidRPr="004B3080">
              <w:rPr>
                <w:sz w:val="20"/>
                <w:szCs w:val="20"/>
              </w:rPr>
              <w:t xml:space="preserve">poorer </w:t>
            </w:r>
            <w:r w:rsidR="002E2957" w:rsidRPr="004B3080">
              <w:rPr>
                <w:sz w:val="20"/>
                <w:szCs w:val="20"/>
              </w:rPr>
              <w:t>PFS</w:t>
            </w:r>
            <w:r w:rsidR="00D8775B" w:rsidRPr="004B3080">
              <w:rPr>
                <w:sz w:val="20"/>
                <w:szCs w:val="20"/>
              </w:rPr>
              <w:t>;</w:t>
            </w:r>
          </w:p>
          <w:p w14:paraId="7F5C487A" w14:textId="432A3960" w:rsidR="00D8775B" w:rsidRPr="004B3080" w:rsidRDefault="00D8775B" w:rsidP="0030770D">
            <w:pPr>
              <w:rPr>
                <w:sz w:val="20"/>
                <w:szCs w:val="20"/>
              </w:rPr>
            </w:pPr>
            <w:r w:rsidRPr="004B3080">
              <w:rPr>
                <w:sz w:val="20"/>
                <w:szCs w:val="20"/>
              </w:rPr>
              <w:t>lower DCR</w:t>
            </w:r>
            <w:r w:rsidR="00352B1B" w:rsidRPr="004B3080">
              <w:rPr>
                <w:sz w:val="20"/>
                <w:szCs w:val="20"/>
              </w:rPr>
              <w:t xml:space="preserve"> (disease control rate)</w:t>
            </w:r>
          </w:p>
        </w:tc>
        <w:tc>
          <w:tcPr>
            <w:tcW w:w="1620" w:type="dxa"/>
          </w:tcPr>
          <w:p w14:paraId="12555C25" w14:textId="3975A63A" w:rsidR="00E915E7" w:rsidRPr="004B3080" w:rsidRDefault="00FB65D0" w:rsidP="0030770D">
            <w:pPr>
              <w:rPr>
                <w:sz w:val="20"/>
                <w:szCs w:val="20"/>
              </w:rPr>
            </w:pPr>
            <w:r w:rsidRPr="004B3080">
              <w:rPr>
                <w:sz w:val="20"/>
                <w:szCs w:val="20"/>
              </w:rPr>
              <w:t>188 multicenter</w:t>
            </w:r>
          </w:p>
        </w:tc>
        <w:tc>
          <w:tcPr>
            <w:tcW w:w="2277" w:type="dxa"/>
          </w:tcPr>
          <w:p w14:paraId="21A2E997" w14:textId="77777777" w:rsidR="00E915E7" w:rsidRPr="004B3080" w:rsidRDefault="00F13A00" w:rsidP="0030770D">
            <w:pPr>
              <w:rPr>
                <w:sz w:val="20"/>
                <w:szCs w:val="20"/>
              </w:rPr>
            </w:pPr>
            <w:r w:rsidRPr="004B3080">
              <w:rPr>
                <w:sz w:val="20"/>
                <w:szCs w:val="20"/>
              </w:rPr>
              <w:t>3.12, p&lt;0.0001;</w:t>
            </w:r>
          </w:p>
          <w:p w14:paraId="099F6FBE" w14:textId="77777777" w:rsidR="003D1E8E" w:rsidRPr="004B3080" w:rsidRDefault="002E2957" w:rsidP="00D8775B">
            <w:pPr>
              <w:rPr>
                <w:sz w:val="20"/>
                <w:szCs w:val="20"/>
              </w:rPr>
            </w:pPr>
            <w:r w:rsidRPr="004B3080">
              <w:rPr>
                <w:sz w:val="20"/>
                <w:szCs w:val="20"/>
              </w:rPr>
              <w:t>1.45, p=0.03</w:t>
            </w:r>
            <w:r w:rsidR="00D8775B" w:rsidRPr="004B3080">
              <w:rPr>
                <w:sz w:val="20"/>
                <w:szCs w:val="20"/>
              </w:rPr>
              <w:t xml:space="preserve">; </w:t>
            </w:r>
          </w:p>
          <w:p w14:paraId="51920140" w14:textId="77B958B6" w:rsidR="00F13A00" w:rsidRPr="004B3080" w:rsidRDefault="00D8775B" w:rsidP="00D8775B">
            <w:pPr>
              <w:rPr>
                <w:sz w:val="20"/>
                <w:szCs w:val="20"/>
              </w:rPr>
            </w:pPr>
            <w:r w:rsidRPr="004B3080">
              <w:rPr>
                <w:sz w:val="20"/>
                <w:szCs w:val="20"/>
              </w:rPr>
              <w:t>0.41,</w:t>
            </w:r>
            <w:r w:rsidR="003D1E8E" w:rsidRPr="004B3080">
              <w:rPr>
                <w:sz w:val="20"/>
                <w:szCs w:val="20"/>
              </w:rPr>
              <w:t xml:space="preserve"> </w:t>
            </w:r>
            <w:r w:rsidRPr="004B3080">
              <w:rPr>
                <w:sz w:val="20"/>
                <w:szCs w:val="20"/>
              </w:rPr>
              <w:t>p=0.001</w:t>
            </w:r>
          </w:p>
          <w:p w14:paraId="6FBCB99A" w14:textId="59ACB469" w:rsidR="00D8775B" w:rsidRPr="004B3080" w:rsidRDefault="00D8775B" w:rsidP="0030770D">
            <w:pPr>
              <w:rPr>
                <w:sz w:val="20"/>
                <w:szCs w:val="20"/>
              </w:rPr>
            </w:pPr>
          </w:p>
        </w:tc>
        <w:tc>
          <w:tcPr>
            <w:tcW w:w="0" w:type="auto"/>
          </w:tcPr>
          <w:p w14:paraId="362931B2" w14:textId="6978ED1E" w:rsidR="00E915E7" w:rsidRPr="004B3080" w:rsidRDefault="00FB65D0" w:rsidP="0030770D">
            <w:pPr>
              <w:rPr>
                <w:sz w:val="20"/>
                <w:szCs w:val="20"/>
              </w:rPr>
            </w:pPr>
            <w:r w:rsidRPr="004B3080">
              <w:rPr>
                <w:sz w:val="20"/>
                <w:szCs w:val="20"/>
              </w:rPr>
              <w:t>nivolumab</w:t>
            </w:r>
          </w:p>
        </w:tc>
      </w:tr>
      <w:tr w:rsidR="0086568D" w:rsidRPr="004B3080" w14:paraId="5B7AA368" w14:textId="77777777" w:rsidTr="00C23420">
        <w:tc>
          <w:tcPr>
            <w:tcW w:w="0" w:type="auto"/>
          </w:tcPr>
          <w:p w14:paraId="0A8EB233" w14:textId="2AA91B3E" w:rsidR="00932A96" w:rsidRPr="004B3080" w:rsidRDefault="00AC2D50" w:rsidP="0030770D">
            <w:pPr>
              <w:rPr>
                <w:sz w:val="20"/>
                <w:szCs w:val="20"/>
              </w:rPr>
            </w:pPr>
            <w:proofErr w:type="spellStart"/>
            <w:r w:rsidRPr="004B3080">
              <w:rPr>
                <w:sz w:val="20"/>
                <w:szCs w:val="20"/>
              </w:rPr>
              <w:t>Prelaj</w:t>
            </w:r>
            <w:proofErr w:type="spellEnd"/>
            <w:r w:rsidRPr="004B3080">
              <w:rPr>
                <w:sz w:val="20"/>
                <w:szCs w:val="20"/>
              </w:rPr>
              <w:t xml:space="preserve"> et al 2020</w:t>
            </w:r>
            <w:sdt>
              <w:sdtPr>
                <w:rPr>
                  <w:sz w:val="20"/>
                  <w:szCs w:val="20"/>
                </w:rPr>
                <w:alias w:val="SmartCite Citation"/>
                <w:tag w:val="4e0192db-b678-400e-ba1d-e378d3262964:e3c68e03-0f5f-4c06-8bef-768ff58bc46f"/>
                <w:id w:val="-1856797922"/>
                <w:placeholder>
                  <w:docPart w:val="DefaultPlaceholder_-1854013440"/>
                </w:placeholder>
              </w:sdtPr>
              <w:sdtEndPr/>
              <w:sdtContent>
                <w:r w:rsidR="00C96079" w:rsidRPr="004B3080">
                  <w:rPr>
                    <w:rFonts w:eastAsia="Times New Roman"/>
                    <w:vertAlign w:val="superscript"/>
                  </w:rPr>
                  <w:t>16</w:t>
                </w:r>
              </w:sdtContent>
            </w:sdt>
          </w:p>
        </w:tc>
        <w:tc>
          <w:tcPr>
            <w:tcW w:w="2153" w:type="dxa"/>
          </w:tcPr>
          <w:p w14:paraId="5CCAF1DE" w14:textId="77777777" w:rsidR="00932A96" w:rsidRPr="004B3080" w:rsidRDefault="002C759E" w:rsidP="0030770D">
            <w:pPr>
              <w:rPr>
                <w:sz w:val="20"/>
                <w:szCs w:val="20"/>
              </w:rPr>
            </w:pPr>
            <w:r w:rsidRPr="004B3080">
              <w:rPr>
                <w:sz w:val="20"/>
                <w:szCs w:val="20"/>
              </w:rPr>
              <w:t xml:space="preserve">NLR, </w:t>
            </w:r>
            <w:proofErr w:type="spellStart"/>
            <w:r w:rsidRPr="004B3080">
              <w:rPr>
                <w:sz w:val="20"/>
                <w:szCs w:val="20"/>
              </w:rPr>
              <w:t>dNLR</w:t>
            </w:r>
            <w:proofErr w:type="spellEnd"/>
          </w:p>
          <w:p w14:paraId="1F56FC3C" w14:textId="0B0A93F3" w:rsidR="00C44985" w:rsidRPr="004B3080" w:rsidRDefault="00C44985" w:rsidP="0030770D">
            <w:pPr>
              <w:rPr>
                <w:sz w:val="20"/>
                <w:szCs w:val="20"/>
              </w:rPr>
            </w:pPr>
            <w:r w:rsidRPr="004B3080">
              <w:rPr>
                <w:sz w:val="20"/>
                <w:szCs w:val="20"/>
              </w:rPr>
              <w:t>change of NLR</w:t>
            </w:r>
            <w:r w:rsidR="003E7208" w:rsidRPr="004B3080">
              <w:rPr>
                <w:sz w:val="20"/>
                <w:szCs w:val="20"/>
              </w:rPr>
              <w:t xml:space="preserve"> (</w:t>
            </w:r>
            <w:r w:rsidR="003E7208" w:rsidRPr="004B3080">
              <w:rPr>
                <w:rFonts w:cstheme="minorHAnsi"/>
                <w:sz w:val="20"/>
                <w:szCs w:val="20"/>
              </w:rPr>
              <w:t>Δ</w:t>
            </w:r>
            <w:r w:rsidR="003E7208" w:rsidRPr="004B3080">
              <w:rPr>
                <w:sz w:val="20"/>
                <w:szCs w:val="20"/>
              </w:rPr>
              <w:t xml:space="preserve"> NLR)</w:t>
            </w:r>
            <w:r w:rsidRPr="004B3080">
              <w:rPr>
                <w:sz w:val="20"/>
                <w:szCs w:val="20"/>
              </w:rPr>
              <w:t xml:space="preserve"> from baseline to second cycle</w:t>
            </w:r>
          </w:p>
        </w:tc>
        <w:tc>
          <w:tcPr>
            <w:tcW w:w="1233" w:type="dxa"/>
          </w:tcPr>
          <w:p w14:paraId="6AFDE33A" w14:textId="540B898A" w:rsidR="00932A96" w:rsidRPr="004B3080" w:rsidRDefault="00F550A0" w:rsidP="0030770D">
            <w:pPr>
              <w:rPr>
                <w:sz w:val="20"/>
                <w:szCs w:val="20"/>
              </w:rPr>
            </w:pPr>
            <w:r w:rsidRPr="004B3080">
              <w:rPr>
                <w:sz w:val="20"/>
                <w:szCs w:val="20"/>
              </w:rPr>
              <w:t>NLR ≥ 4</w:t>
            </w:r>
          </w:p>
          <w:p w14:paraId="67175BFE" w14:textId="3F2AF346" w:rsidR="00F550A0" w:rsidRPr="004B3080" w:rsidRDefault="00F550A0" w:rsidP="0030770D">
            <w:pPr>
              <w:rPr>
                <w:sz w:val="20"/>
                <w:szCs w:val="20"/>
              </w:rPr>
            </w:pPr>
            <w:proofErr w:type="spellStart"/>
            <w:r w:rsidRPr="004B3080">
              <w:rPr>
                <w:sz w:val="20"/>
                <w:szCs w:val="20"/>
              </w:rPr>
              <w:t>dNLR</w:t>
            </w:r>
            <w:proofErr w:type="spellEnd"/>
            <w:r w:rsidRPr="004B3080">
              <w:rPr>
                <w:sz w:val="20"/>
                <w:szCs w:val="20"/>
              </w:rPr>
              <w:t> ≥ 2.2</w:t>
            </w:r>
          </w:p>
        </w:tc>
        <w:tc>
          <w:tcPr>
            <w:tcW w:w="2075" w:type="dxa"/>
          </w:tcPr>
          <w:p w14:paraId="06310315" w14:textId="67E25819" w:rsidR="00932A96" w:rsidRPr="004B3080" w:rsidRDefault="002C759E" w:rsidP="0030770D">
            <w:pPr>
              <w:rPr>
                <w:sz w:val="20"/>
                <w:szCs w:val="20"/>
              </w:rPr>
            </w:pPr>
            <w:r w:rsidRPr="004B3080">
              <w:rPr>
                <w:sz w:val="20"/>
                <w:szCs w:val="20"/>
              </w:rPr>
              <w:t>Baseline, after 1st cycle</w:t>
            </w:r>
            <w:r w:rsidR="00F550A0" w:rsidRPr="004B3080">
              <w:rPr>
                <w:sz w:val="20"/>
                <w:szCs w:val="20"/>
              </w:rPr>
              <w:t>(3wks)</w:t>
            </w:r>
            <w:r w:rsidRPr="004B3080">
              <w:rPr>
                <w:sz w:val="20"/>
                <w:szCs w:val="20"/>
              </w:rPr>
              <w:t>, after 2</w:t>
            </w:r>
            <w:r w:rsidRPr="004B3080">
              <w:rPr>
                <w:sz w:val="20"/>
                <w:szCs w:val="20"/>
                <w:vertAlign w:val="superscript"/>
              </w:rPr>
              <w:t>nd</w:t>
            </w:r>
            <w:r w:rsidRPr="004B3080">
              <w:rPr>
                <w:sz w:val="20"/>
                <w:szCs w:val="20"/>
              </w:rPr>
              <w:t xml:space="preserve"> cycle</w:t>
            </w:r>
            <w:r w:rsidR="00F550A0" w:rsidRPr="004B3080">
              <w:rPr>
                <w:sz w:val="20"/>
                <w:szCs w:val="20"/>
              </w:rPr>
              <w:t>(6wks)</w:t>
            </w:r>
          </w:p>
        </w:tc>
        <w:tc>
          <w:tcPr>
            <w:tcW w:w="2397" w:type="dxa"/>
          </w:tcPr>
          <w:p w14:paraId="214FEE02" w14:textId="65842680" w:rsidR="00932A96" w:rsidRPr="004B3080" w:rsidRDefault="00484AFE" w:rsidP="0030770D">
            <w:pPr>
              <w:rPr>
                <w:sz w:val="20"/>
                <w:szCs w:val="20"/>
              </w:rPr>
            </w:pPr>
            <w:r w:rsidRPr="004B3080">
              <w:rPr>
                <w:sz w:val="20"/>
                <w:szCs w:val="20"/>
              </w:rPr>
              <w:t>PFS</w:t>
            </w:r>
          </w:p>
        </w:tc>
        <w:tc>
          <w:tcPr>
            <w:tcW w:w="1620" w:type="dxa"/>
          </w:tcPr>
          <w:p w14:paraId="126A911B" w14:textId="30AA9134" w:rsidR="00932A96" w:rsidRPr="004B3080" w:rsidRDefault="00EF6CB4" w:rsidP="0030770D">
            <w:pPr>
              <w:rPr>
                <w:sz w:val="20"/>
                <w:szCs w:val="20"/>
              </w:rPr>
            </w:pPr>
            <w:r w:rsidRPr="004B3080">
              <w:rPr>
                <w:sz w:val="20"/>
                <w:szCs w:val="20"/>
              </w:rPr>
              <w:t>154</w:t>
            </w:r>
            <w:r w:rsidR="00CC3F30" w:rsidRPr="004B3080">
              <w:rPr>
                <w:sz w:val="20"/>
                <w:szCs w:val="20"/>
              </w:rPr>
              <w:t xml:space="preserve"> </w:t>
            </w:r>
          </w:p>
        </w:tc>
        <w:tc>
          <w:tcPr>
            <w:tcW w:w="2277" w:type="dxa"/>
          </w:tcPr>
          <w:p w14:paraId="1D4D6C23" w14:textId="6ADCA846" w:rsidR="00932A96" w:rsidRPr="004B3080" w:rsidRDefault="002E24BD" w:rsidP="0030770D">
            <w:pPr>
              <w:rPr>
                <w:sz w:val="20"/>
                <w:szCs w:val="20"/>
              </w:rPr>
            </w:pPr>
            <w:r w:rsidRPr="004B3080">
              <w:rPr>
                <w:rFonts w:cstheme="minorHAnsi"/>
                <w:sz w:val="20"/>
                <w:szCs w:val="20"/>
              </w:rPr>
              <w:t>Δ</w:t>
            </w:r>
            <w:r w:rsidRPr="004B3080">
              <w:rPr>
                <w:sz w:val="20"/>
                <w:szCs w:val="20"/>
              </w:rPr>
              <w:t xml:space="preserve"> NLR </w:t>
            </w:r>
            <w:r w:rsidR="00544672" w:rsidRPr="004B3080">
              <w:rPr>
                <w:sz w:val="20"/>
                <w:szCs w:val="20"/>
              </w:rPr>
              <w:t>of &gt;30% from baseline to the second cycle worse PFS (HR 1.52 p=0.04)</w:t>
            </w:r>
            <w:r w:rsidR="00381613" w:rsidRPr="004B3080">
              <w:rPr>
                <w:sz w:val="20"/>
                <w:szCs w:val="20"/>
              </w:rPr>
              <w:t>; NLR &amp;</w:t>
            </w:r>
            <w:r w:rsidR="009A1849" w:rsidRPr="004B3080">
              <w:rPr>
                <w:sz w:val="20"/>
                <w:szCs w:val="20"/>
              </w:rPr>
              <w:t xml:space="preserve"> </w:t>
            </w:r>
            <w:proofErr w:type="spellStart"/>
            <w:r w:rsidR="00381613" w:rsidRPr="004B3080">
              <w:rPr>
                <w:sz w:val="20"/>
                <w:szCs w:val="20"/>
              </w:rPr>
              <w:t>dNLR</w:t>
            </w:r>
            <w:proofErr w:type="spellEnd"/>
            <w:r w:rsidR="009A1849" w:rsidRPr="004B3080">
              <w:rPr>
                <w:sz w:val="20"/>
                <w:szCs w:val="20"/>
              </w:rPr>
              <w:t xml:space="preserve"> sig poorer OS/PFS all cycles</w:t>
            </w:r>
          </w:p>
        </w:tc>
        <w:tc>
          <w:tcPr>
            <w:tcW w:w="0" w:type="auto"/>
          </w:tcPr>
          <w:p w14:paraId="3E3A3E73" w14:textId="767386E9" w:rsidR="00932A96" w:rsidRPr="004B3080" w:rsidRDefault="0086568D" w:rsidP="0030770D">
            <w:pPr>
              <w:rPr>
                <w:sz w:val="20"/>
                <w:szCs w:val="20"/>
              </w:rPr>
            </w:pPr>
            <w:r w:rsidRPr="004B3080">
              <w:rPr>
                <w:sz w:val="20"/>
                <w:szCs w:val="20"/>
              </w:rPr>
              <w:t>p</w:t>
            </w:r>
            <w:r w:rsidR="00950284" w:rsidRPr="004B3080">
              <w:rPr>
                <w:sz w:val="20"/>
                <w:szCs w:val="20"/>
              </w:rPr>
              <w:t>embrolizumab</w:t>
            </w:r>
            <w:r w:rsidRPr="004B3080">
              <w:rPr>
                <w:sz w:val="20"/>
                <w:szCs w:val="20"/>
              </w:rPr>
              <w:t xml:space="preserve"> 2</w:t>
            </w:r>
            <w:r w:rsidRPr="004B3080">
              <w:rPr>
                <w:sz w:val="20"/>
                <w:szCs w:val="20"/>
                <w:vertAlign w:val="superscript"/>
              </w:rPr>
              <w:t>nd</w:t>
            </w:r>
            <w:r w:rsidRPr="004B3080">
              <w:rPr>
                <w:sz w:val="20"/>
                <w:szCs w:val="20"/>
              </w:rPr>
              <w:t xml:space="preserve"> line plus</w:t>
            </w:r>
          </w:p>
        </w:tc>
      </w:tr>
      <w:tr w:rsidR="0086568D" w:rsidRPr="004B3080" w14:paraId="32F12F6A" w14:textId="77777777" w:rsidTr="00C23420">
        <w:tc>
          <w:tcPr>
            <w:tcW w:w="0" w:type="auto"/>
          </w:tcPr>
          <w:p w14:paraId="0CCC457E" w14:textId="146C9647" w:rsidR="00932A96" w:rsidRPr="004B3080" w:rsidRDefault="0008277F" w:rsidP="0030770D">
            <w:pPr>
              <w:rPr>
                <w:sz w:val="20"/>
                <w:szCs w:val="20"/>
              </w:rPr>
            </w:pPr>
            <w:proofErr w:type="spellStart"/>
            <w:r w:rsidRPr="004B3080">
              <w:rPr>
                <w:sz w:val="20"/>
                <w:szCs w:val="20"/>
              </w:rPr>
              <w:t>Prelaj</w:t>
            </w:r>
            <w:proofErr w:type="spellEnd"/>
            <w:r w:rsidRPr="004B3080">
              <w:rPr>
                <w:sz w:val="20"/>
                <w:szCs w:val="20"/>
              </w:rPr>
              <w:t xml:space="preserve"> et al 20</w:t>
            </w:r>
            <w:r w:rsidR="00C05FD7" w:rsidRPr="004B3080">
              <w:rPr>
                <w:sz w:val="20"/>
                <w:szCs w:val="20"/>
              </w:rPr>
              <w:t>19</w:t>
            </w:r>
            <w:sdt>
              <w:sdtPr>
                <w:rPr>
                  <w:sz w:val="20"/>
                  <w:szCs w:val="20"/>
                </w:rPr>
                <w:alias w:val="SmartCite Citation"/>
                <w:tag w:val="4e0192db-b678-400e-ba1d-e378d3262964:e314dd3c-cbad-4229-9342-fd25807eb1e8"/>
                <w:id w:val="123513041"/>
                <w:placeholder>
                  <w:docPart w:val="DefaultPlaceholder_-1854013440"/>
                </w:placeholder>
              </w:sdtPr>
              <w:sdtEndPr/>
              <w:sdtContent>
                <w:r w:rsidR="00C96079" w:rsidRPr="004B3080">
                  <w:rPr>
                    <w:rFonts w:eastAsia="Times New Roman"/>
                    <w:vertAlign w:val="superscript"/>
                  </w:rPr>
                  <w:t>17</w:t>
                </w:r>
              </w:sdtContent>
            </w:sdt>
          </w:p>
        </w:tc>
        <w:tc>
          <w:tcPr>
            <w:tcW w:w="2153" w:type="dxa"/>
          </w:tcPr>
          <w:p w14:paraId="1392B28A" w14:textId="69A4DDA1" w:rsidR="00932A96" w:rsidRPr="004B3080" w:rsidRDefault="00B95AAD" w:rsidP="0030770D">
            <w:pPr>
              <w:rPr>
                <w:sz w:val="20"/>
                <w:szCs w:val="20"/>
              </w:rPr>
            </w:pPr>
            <w:r w:rsidRPr="004B3080">
              <w:rPr>
                <w:sz w:val="20"/>
                <w:szCs w:val="20"/>
              </w:rPr>
              <w:t>NLR</w:t>
            </w:r>
          </w:p>
        </w:tc>
        <w:tc>
          <w:tcPr>
            <w:tcW w:w="1233" w:type="dxa"/>
          </w:tcPr>
          <w:p w14:paraId="7DD821B5" w14:textId="470F0003" w:rsidR="00932A96" w:rsidRPr="004B3080" w:rsidRDefault="0008277F" w:rsidP="0030770D">
            <w:pPr>
              <w:rPr>
                <w:sz w:val="20"/>
                <w:szCs w:val="20"/>
              </w:rPr>
            </w:pPr>
            <w:r w:rsidRPr="004B3080">
              <w:rPr>
                <w:sz w:val="20"/>
                <w:szCs w:val="20"/>
              </w:rPr>
              <w:t xml:space="preserve">NLR ≥ 4 </w:t>
            </w:r>
          </w:p>
        </w:tc>
        <w:tc>
          <w:tcPr>
            <w:tcW w:w="2075" w:type="dxa"/>
          </w:tcPr>
          <w:p w14:paraId="67922B31" w14:textId="063FF5D6" w:rsidR="00932A96" w:rsidRPr="004B3080" w:rsidRDefault="00FD5E29" w:rsidP="0030770D">
            <w:pPr>
              <w:rPr>
                <w:sz w:val="20"/>
                <w:szCs w:val="20"/>
              </w:rPr>
            </w:pPr>
            <w:r w:rsidRPr="004B3080">
              <w:rPr>
                <w:sz w:val="20"/>
                <w:szCs w:val="20"/>
              </w:rPr>
              <w:t>Ba</w:t>
            </w:r>
            <w:r w:rsidR="00A20E4F" w:rsidRPr="004B3080">
              <w:rPr>
                <w:sz w:val="20"/>
                <w:szCs w:val="20"/>
              </w:rPr>
              <w:t>seline</w:t>
            </w:r>
          </w:p>
        </w:tc>
        <w:tc>
          <w:tcPr>
            <w:tcW w:w="2397" w:type="dxa"/>
          </w:tcPr>
          <w:p w14:paraId="6D8FDC2D" w14:textId="1BE92526" w:rsidR="00932A96" w:rsidRPr="004B3080" w:rsidRDefault="00A20E4F" w:rsidP="0030770D">
            <w:pPr>
              <w:rPr>
                <w:sz w:val="20"/>
                <w:szCs w:val="20"/>
              </w:rPr>
            </w:pPr>
            <w:r w:rsidRPr="004B3080">
              <w:rPr>
                <w:sz w:val="20"/>
                <w:szCs w:val="20"/>
              </w:rPr>
              <w:t>PFS</w:t>
            </w:r>
          </w:p>
        </w:tc>
        <w:tc>
          <w:tcPr>
            <w:tcW w:w="1620" w:type="dxa"/>
          </w:tcPr>
          <w:p w14:paraId="42FEA155" w14:textId="7CEFBFEF" w:rsidR="00932A96" w:rsidRPr="004B3080" w:rsidRDefault="00CE7FAA" w:rsidP="0030770D">
            <w:pPr>
              <w:rPr>
                <w:sz w:val="20"/>
                <w:szCs w:val="20"/>
              </w:rPr>
            </w:pPr>
            <w:r w:rsidRPr="004B3080">
              <w:rPr>
                <w:sz w:val="20"/>
                <w:szCs w:val="20"/>
              </w:rPr>
              <w:t>1</w:t>
            </w:r>
            <w:r w:rsidR="00B95AAD" w:rsidRPr="004B3080">
              <w:rPr>
                <w:sz w:val="20"/>
                <w:szCs w:val="20"/>
              </w:rPr>
              <w:t>93 (Italy)</w:t>
            </w:r>
          </w:p>
        </w:tc>
        <w:tc>
          <w:tcPr>
            <w:tcW w:w="2277" w:type="dxa"/>
          </w:tcPr>
          <w:p w14:paraId="3D8024CD" w14:textId="44DBA61C" w:rsidR="00932A96" w:rsidRPr="004B3080" w:rsidRDefault="00B95AAD" w:rsidP="0030770D">
            <w:pPr>
              <w:rPr>
                <w:sz w:val="20"/>
                <w:szCs w:val="20"/>
              </w:rPr>
            </w:pPr>
            <w:r w:rsidRPr="004B3080">
              <w:rPr>
                <w:sz w:val="20"/>
                <w:szCs w:val="20"/>
              </w:rPr>
              <w:t>1.49, p = 0.029</w:t>
            </w:r>
          </w:p>
        </w:tc>
        <w:tc>
          <w:tcPr>
            <w:tcW w:w="0" w:type="auto"/>
          </w:tcPr>
          <w:p w14:paraId="7810AE07" w14:textId="634ED32C" w:rsidR="00932A96" w:rsidRPr="004B3080" w:rsidRDefault="00C62376" w:rsidP="0030770D">
            <w:pPr>
              <w:rPr>
                <w:sz w:val="20"/>
                <w:szCs w:val="20"/>
              </w:rPr>
            </w:pPr>
            <w:r w:rsidRPr="004B3080">
              <w:rPr>
                <w:sz w:val="20"/>
                <w:szCs w:val="20"/>
              </w:rPr>
              <w:t>anti-PD-1/PD-L1 inhibitors</w:t>
            </w:r>
          </w:p>
        </w:tc>
      </w:tr>
    </w:tbl>
    <w:p w14:paraId="1E73EC28" w14:textId="77777777" w:rsidR="00FB04F8" w:rsidRPr="004B3080" w:rsidRDefault="00FB04F8" w:rsidP="0030770D">
      <w:pPr>
        <w:sectPr w:rsidR="00FB04F8" w:rsidRPr="004B3080" w:rsidSect="00CE1741">
          <w:pgSz w:w="15840" w:h="12240" w:orient="landscape"/>
          <w:pgMar w:top="720" w:right="720" w:bottom="720" w:left="720" w:header="720" w:footer="720" w:gutter="0"/>
          <w:cols w:space="720"/>
          <w:docGrid w:linePitch="360"/>
        </w:sectPr>
      </w:pPr>
    </w:p>
    <w:p w14:paraId="241CF175" w14:textId="0567EB9A" w:rsidR="002847E7" w:rsidRPr="004B3080" w:rsidRDefault="002847E7" w:rsidP="000C68CA">
      <w:pPr>
        <w:rPr>
          <w:b/>
          <w:bCs/>
        </w:rPr>
      </w:pPr>
    </w:p>
    <w:p w14:paraId="7EC61B1A" w14:textId="69A3D156" w:rsidR="002847E7" w:rsidRPr="004B3080" w:rsidRDefault="002847E7" w:rsidP="000C68CA">
      <w:pPr>
        <w:rPr>
          <w:b/>
          <w:bCs/>
        </w:rPr>
      </w:pPr>
      <w:r w:rsidRPr="004B3080">
        <w:rPr>
          <w:b/>
          <w:bCs/>
        </w:rPr>
        <w:t>References</w:t>
      </w:r>
    </w:p>
    <w:sdt>
      <w:sdtPr>
        <w:alias w:val="SmartCite Bibliography"/>
        <w:tag w:val="Nature"/>
        <w:id w:val="1133750622"/>
        <w:placeholder>
          <w:docPart w:val="DefaultPlaceholder_-1854013440"/>
        </w:placeholder>
      </w:sdtPr>
      <w:sdtEndPr/>
      <w:sdtContent>
        <w:p w14:paraId="2901C11A" w14:textId="77777777" w:rsidR="00C96079" w:rsidRPr="004B3080" w:rsidRDefault="00C96079">
          <w:pPr>
            <w:divId w:val="617416440"/>
            <w:rPr>
              <w:rFonts w:eastAsia="Times New Roman"/>
              <w:sz w:val="24"/>
              <w:szCs w:val="24"/>
            </w:rPr>
          </w:pPr>
        </w:p>
        <w:p w14:paraId="4359BEFD" w14:textId="77777777" w:rsidR="00C96079" w:rsidRPr="004B3080" w:rsidRDefault="00C96079">
          <w:pPr>
            <w:pStyle w:val="csl-entry"/>
            <w:divId w:val="617416440"/>
          </w:pPr>
          <w:r w:rsidRPr="004B3080">
            <w:t xml:space="preserve">1. Kiriu T, Yamamoto M, Nagano T, et al. The time-series behavior of neutrophil-to-lymphocyte ratio is useful as a predictive marker in non-small cell lung cancer. </w:t>
          </w:r>
          <w:proofErr w:type="spellStart"/>
          <w:r w:rsidRPr="004B3080">
            <w:rPr>
              <w:i/>
              <w:iCs/>
            </w:rPr>
            <w:t>Plos</w:t>
          </w:r>
          <w:proofErr w:type="spellEnd"/>
          <w:r w:rsidRPr="004B3080">
            <w:rPr>
              <w:i/>
              <w:iCs/>
            </w:rPr>
            <w:t xml:space="preserve"> One</w:t>
          </w:r>
          <w:r w:rsidRPr="004B3080">
            <w:t>. 2018;13(2</w:t>
          </w:r>
          <w:proofErr w:type="gramStart"/>
          <w:r w:rsidRPr="004B3080">
            <w:t>):e</w:t>
          </w:r>
          <w:proofErr w:type="gramEnd"/>
          <w:r w:rsidRPr="004B3080">
            <w:t xml:space="preserve">0193018. </w:t>
          </w:r>
          <w:proofErr w:type="gramStart"/>
          <w:r w:rsidRPr="004B3080">
            <w:t>doi:10.1371/journal.pone</w:t>
          </w:r>
          <w:proofErr w:type="gramEnd"/>
          <w:r w:rsidRPr="004B3080">
            <w:t>.0193018</w:t>
          </w:r>
        </w:p>
        <w:p w14:paraId="6500C0C1" w14:textId="77777777" w:rsidR="00C96079" w:rsidRPr="004B3080" w:rsidRDefault="00C96079">
          <w:pPr>
            <w:pStyle w:val="csl-entry"/>
            <w:divId w:val="617416440"/>
          </w:pPr>
          <w:r w:rsidRPr="004B3080">
            <w:t xml:space="preserve">2. S D, S </w:t>
          </w:r>
          <w:proofErr w:type="spellStart"/>
          <w:r w:rsidRPr="004B3080">
            <w:t>S</w:t>
          </w:r>
          <w:proofErr w:type="spellEnd"/>
          <w:r w:rsidRPr="004B3080">
            <w:t xml:space="preserve">, M K, et al. Neutrophil-to-Lymphocyte ratio (NLR) and Platelet-to-Lymphocyte ratio (PLR) as prognostic markers in patients with non-small cell lung cancer (NSCLC) treated with nivolumab. </w:t>
          </w:r>
          <w:r w:rsidRPr="004B3080">
            <w:rPr>
              <w:i/>
              <w:iCs/>
            </w:rPr>
            <w:t>Lung Cancer</w:t>
          </w:r>
          <w:r w:rsidRPr="004B3080">
            <w:t xml:space="preserve">. Published online 2017. </w:t>
          </w:r>
          <w:proofErr w:type="gramStart"/>
          <w:r w:rsidRPr="004B3080">
            <w:t>doi:10.1016/j.lungcan</w:t>
          </w:r>
          <w:proofErr w:type="gramEnd"/>
          <w:r w:rsidRPr="004B3080">
            <w:t>.2017.07.024</w:t>
          </w:r>
        </w:p>
        <w:p w14:paraId="68EFABF0" w14:textId="77777777" w:rsidR="00C96079" w:rsidRPr="004B3080" w:rsidRDefault="00C96079">
          <w:pPr>
            <w:pStyle w:val="csl-entry"/>
            <w:divId w:val="617416440"/>
          </w:pPr>
          <w:r w:rsidRPr="004B3080">
            <w:t xml:space="preserve">3. Takeda T, Takeuchi M, </w:t>
          </w:r>
          <w:proofErr w:type="spellStart"/>
          <w:r w:rsidRPr="004B3080">
            <w:t>Saitoh</w:t>
          </w:r>
          <w:proofErr w:type="spellEnd"/>
          <w:r w:rsidRPr="004B3080">
            <w:t xml:space="preserve"> M, Takeda S. Neutrophil-to-lymphocyte ratio after four weeks of nivolumab administration as a predictive marker in patients with pretreated non-small-cell lung cancer. </w:t>
          </w:r>
          <w:proofErr w:type="spellStart"/>
          <w:r w:rsidRPr="004B3080">
            <w:rPr>
              <w:i/>
              <w:iCs/>
            </w:rPr>
            <w:t>Thorac</w:t>
          </w:r>
          <w:proofErr w:type="spellEnd"/>
          <w:r w:rsidRPr="004B3080">
            <w:rPr>
              <w:i/>
              <w:iCs/>
            </w:rPr>
            <w:t xml:space="preserve"> Cancer</w:t>
          </w:r>
          <w:r w:rsidRPr="004B3080">
            <w:t>. 2018;9(10):1291-1299. doi:10.1111/1759-7714.12838</w:t>
          </w:r>
        </w:p>
        <w:p w14:paraId="4DA411BE" w14:textId="77777777" w:rsidR="00C96079" w:rsidRPr="004B3080" w:rsidRDefault="00C96079">
          <w:pPr>
            <w:pStyle w:val="csl-entry"/>
            <w:divId w:val="617416440"/>
          </w:pPr>
          <w:r w:rsidRPr="004B3080">
            <w:t xml:space="preserve">4. </w:t>
          </w:r>
          <w:proofErr w:type="spellStart"/>
          <w:r w:rsidRPr="004B3080">
            <w:t>Shiroyama</w:t>
          </w:r>
          <w:proofErr w:type="spellEnd"/>
          <w:r w:rsidRPr="004B3080">
            <w:t xml:space="preserve"> T, Suzuki H, Tamiya M, et al. Pretreatment advanced lung cancer inflammation index (ALI) for predicting early progression in nivolumab‐treated patients with advanced non–small cell lung cancer. </w:t>
          </w:r>
          <w:r w:rsidRPr="004B3080">
            <w:rPr>
              <w:i/>
              <w:iCs/>
            </w:rPr>
            <w:t>Cancer Med-us</w:t>
          </w:r>
          <w:r w:rsidRPr="004B3080">
            <w:t>. 2018;7(1):13-20. doi:10.1002/cam4.1234</w:t>
          </w:r>
        </w:p>
        <w:p w14:paraId="2A499405" w14:textId="77777777" w:rsidR="00C96079" w:rsidRPr="004B3080" w:rsidRDefault="00C96079">
          <w:pPr>
            <w:pStyle w:val="csl-entry"/>
            <w:divId w:val="617416440"/>
          </w:pPr>
          <w:r w:rsidRPr="004B3080">
            <w:t xml:space="preserve">5. Suh KJ, Kim SH, Kim YJ, et al. Post-treatment neutrophil-to-lymphocyte ratio at week 6 is prognostic in patients with advanced non-small cell lung cancers treated with anti-PD-1 antibody. </w:t>
          </w:r>
          <w:r w:rsidRPr="004B3080">
            <w:rPr>
              <w:i/>
              <w:iCs/>
            </w:rPr>
            <w:t xml:space="preserve">Cancer Immunol </w:t>
          </w:r>
          <w:proofErr w:type="spellStart"/>
          <w:r w:rsidRPr="004B3080">
            <w:rPr>
              <w:i/>
              <w:iCs/>
            </w:rPr>
            <w:t>Immunother</w:t>
          </w:r>
          <w:proofErr w:type="spellEnd"/>
          <w:r w:rsidRPr="004B3080">
            <w:t>. 2018;67(3):459-470. doi:10.1007/s00262-017-2092-x</w:t>
          </w:r>
        </w:p>
        <w:p w14:paraId="63C0502B" w14:textId="77777777" w:rsidR="00C96079" w:rsidRPr="004B3080" w:rsidRDefault="00C96079">
          <w:pPr>
            <w:pStyle w:val="csl-entry"/>
            <w:divId w:val="617416440"/>
          </w:pPr>
          <w:r w:rsidRPr="004B3080">
            <w:t xml:space="preserve">6. Fukui T, Okuma Y, Nakahara Y, et al. Activity of Nivolumab and Utility of Neutrophil-to-Lymphocyte Ratio as A Predictive Biomarker for Advanced Non-Small Cell Lung Cancer: A Prospective Observational Study. </w:t>
          </w:r>
          <w:r w:rsidRPr="004B3080">
            <w:rPr>
              <w:i/>
              <w:iCs/>
            </w:rPr>
            <w:t>Clin Lung Cancer</w:t>
          </w:r>
          <w:r w:rsidRPr="004B3080">
            <w:t xml:space="preserve">. 2018;20(3):208-214.e2. </w:t>
          </w:r>
          <w:proofErr w:type="gramStart"/>
          <w:r w:rsidRPr="004B3080">
            <w:t>doi:10.1016/j.cllc</w:t>
          </w:r>
          <w:proofErr w:type="gramEnd"/>
          <w:r w:rsidRPr="004B3080">
            <w:t>.2018.04.021</w:t>
          </w:r>
        </w:p>
        <w:p w14:paraId="63D05EFB" w14:textId="77777777" w:rsidR="00C96079" w:rsidRPr="004B3080" w:rsidRDefault="00C96079">
          <w:pPr>
            <w:pStyle w:val="csl-entry"/>
            <w:divId w:val="617416440"/>
          </w:pPr>
          <w:r w:rsidRPr="004B3080">
            <w:t xml:space="preserve">7. </w:t>
          </w:r>
          <w:proofErr w:type="spellStart"/>
          <w:r w:rsidRPr="004B3080">
            <w:t>Zhuo</w:t>
          </w:r>
          <w:proofErr w:type="spellEnd"/>
          <w:r w:rsidRPr="004B3080">
            <w:t xml:space="preserve"> M, Chen H, Zhang T, et al. The potential predictive value of circulating immune cell ratio and tumor marker in atezolizumab treated advanced non-small cell lung cancer patients. </w:t>
          </w:r>
          <w:r w:rsidRPr="004B3080">
            <w:rPr>
              <w:i/>
              <w:iCs/>
            </w:rPr>
            <w:t xml:space="preserve">Cancer </w:t>
          </w:r>
          <w:proofErr w:type="spellStart"/>
          <w:r w:rsidRPr="004B3080">
            <w:rPr>
              <w:i/>
              <w:iCs/>
            </w:rPr>
            <w:t>Biomark</w:t>
          </w:r>
          <w:proofErr w:type="spellEnd"/>
          <w:r w:rsidRPr="004B3080">
            <w:t>. 2018;22(3):467-476. doi:10.3233/cbm-171089</w:t>
          </w:r>
        </w:p>
        <w:p w14:paraId="4BD8A976" w14:textId="77777777" w:rsidR="00C96079" w:rsidRPr="004B3080" w:rsidRDefault="00C96079">
          <w:pPr>
            <w:pStyle w:val="csl-entry"/>
            <w:divId w:val="617416440"/>
          </w:pPr>
          <w:r w:rsidRPr="004B3080">
            <w:t xml:space="preserve">8. Park W, Kwon D, Saravia D, et al. Developing a Predictive Model for Clinical Outcomes of Advanced Non-Small Cell Lung Cancer Patients Treated </w:t>
          </w:r>
          <w:proofErr w:type="gramStart"/>
          <w:r w:rsidRPr="004B3080">
            <w:t>With</w:t>
          </w:r>
          <w:proofErr w:type="gramEnd"/>
          <w:r w:rsidRPr="004B3080">
            <w:t xml:space="preserve"> Nivolumab. </w:t>
          </w:r>
          <w:r w:rsidRPr="004B3080">
            <w:rPr>
              <w:i/>
              <w:iCs/>
            </w:rPr>
            <w:t>Clin Lung Cancer</w:t>
          </w:r>
          <w:r w:rsidRPr="004B3080">
            <w:t xml:space="preserve">. 2017;19(3):280-288.e4. </w:t>
          </w:r>
          <w:proofErr w:type="gramStart"/>
          <w:r w:rsidRPr="004B3080">
            <w:t>doi:10.1016/j.cllc</w:t>
          </w:r>
          <w:proofErr w:type="gramEnd"/>
          <w:r w:rsidRPr="004B3080">
            <w:t>.2017.12.007</w:t>
          </w:r>
        </w:p>
        <w:p w14:paraId="51E9EB62" w14:textId="77777777" w:rsidR="00C96079" w:rsidRPr="004B3080" w:rsidRDefault="00C96079">
          <w:pPr>
            <w:pStyle w:val="csl-entry"/>
            <w:divId w:val="617416440"/>
          </w:pPr>
          <w:r w:rsidRPr="004B3080">
            <w:t xml:space="preserve">9. </w:t>
          </w:r>
          <w:proofErr w:type="spellStart"/>
          <w:r w:rsidRPr="004B3080">
            <w:t>Mezquita</w:t>
          </w:r>
          <w:proofErr w:type="spellEnd"/>
          <w:r w:rsidRPr="004B3080">
            <w:t xml:space="preserve"> L, </w:t>
          </w:r>
          <w:proofErr w:type="spellStart"/>
          <w:r w:rsidRPr="004B3080">
            <w:t>Auclin</w:t>
          </w:r>
          <w:proofErr w:type="spellEnd"/>
          <w:r w:rsidRPr="004B3080">
            <w:t xml:space="preserve"> E, Ferrara R, et al. Association of the Lung Immune Prognostic Index </w:t>
          </w:r>
          <w:proofErr w:type="gramStart"/>
          <w:r w:rsidRPr="004B3080">
            <w:t>With</w:t>
          </w:r>
          <w:proofErr w:type="gramEnd"/>
          <w:r w:rsidRPr="004B3080">
            <w:t xml:space="preserve"> Immune Checkpoint Inhibitor Outcomes in Patients With Advanced Non-Small Cell Lung Cancer. </w:t>
          </w:r>
          <w:r w:rsidRPr="004B3080">
            <w:rPr>
              <w:i/>
              <w:iCs/>
            </w:rPr>
            <w:t>JAMA Oncol</w:t>
          </w:r>
          <w:r w:rsidRPr="004B3080">
            <w:t>. Published online n.d. doi:10.1001/jamaoncol.2017.4771</w:t>
          </w:r>
        </w:p>
        <w:p w14:paraId="15F7EE70" w14:textId="77777777" w:rsidR="00C96079" w:rsidRPr="004B3080" w:rsidRDefault="00C96079">
          <w:pPr>
            <w:pStyle w:val="csl-entry"/>
            <w:divId w:val="617416440"/>
          </w:pPr>
          <w:r w:rsidRPr="004B3080">
            <w:t xml:space="preserve">10. Bagley SJ, Kothari S, Aggarwal C, et al. Pretreatment neutrophil-to-lymphocyte ratio as a marker of outcomes in nivolumab-treated patients with advanced non-small-cell lung cancer. </w:t>
          </w:r>
          <w:r w:rsidRPr="004B3080">
            <w:rPr>
              <w:i/>
              <w:iCs/>
            </w:rPr>
            <w:t>Lung Cancer</w:t>
          </w:r>
          <w:r w:rsidRPr="004B3080">
            <w:t xml:space="preserve">. </w:t>
          </w:r>
          <w:proofErr w:type="gramStart"/>
          <w:r w:rsidRPr="004B3080">
            <w:t>2017;106:1</w:t>
          </w:r>
          <w:proofErr w:type="gramEnd"/>
          <w:r w:rsidRPr="004B3080">
            <w:t xml:space="preserve">-7. </w:t>
          </w:r>
          <w:proofErr w:type="gramStart"/>
          <w:r w:rsidRPr="004B3080">
            <w:t>doi:10.1016/j.lungcan</w:t>
          </w:r>
          <w:proofErr w:type="gramEnd"/>
          <w:r w:rsidRPr="004B3080">
            <w:t>.2017.01.013</w:t>
          </w:r>
        </w:p>
        <w:p w14:paraId="6382FE60" w14:textId="77777777" w:rsidR="00C96079" w:rsidRPr="004B3080" w:rsidRDefault="00C96079">
          <w:pPr>
            <w:pStyle w:val="csl-entry"/>
            <w:divId w:val="617416440"/>
          </w:pPr>
          <w:r w:rsidRPr="004B3080">
            <w:t xml:space="preserve">11. </w:t>
          </w:r>
          <w:proofErr w:type="spellStart"/>
          <w:r w:rsidRPr="004B3080">
            <w:t>Zer</w:t>
          </w:r>
          <w:proofErr w:type="spellEnd"/>
          <w:r w:rsidRPr="004B3080">
            <w:t xml:space="preserve"> A, Sung MR, Walia P, et al. Correlation of Neutrophil to Lymphocyte Ratio and Absolute Neutrophil Count </w:t>
          </w:r>
          <w:proofErr w:type="gramStart"/>
          <w:r w:rsidRPr="004B3080">
            <w:t>With</w:t>
          </w:r>
          <w:proofErr w:type="gramEnd"/>
          <w:r w:rsidRPr="004B3080">
            <w:t xml:space="preserve"> Outcomes With PD-1 Axis Inhibitors in Patients With Advanced Non-Small-Cell Lung Cancer. </w:t>
          </w:r>
          <w:r w:rsidRPr="004B3080">
            <w:rPr>
              <w:i/>
              <w:iCs/>
            </w:rPr>
            <w:t>Clin Lung Cancer</w:t>
          </w:r>
          <w:r w:rsidRPr="004B3080">
            <w:t xml:space="preserve">. 2018;9(5):426-434.e1. </w:t>
          </w:r>
          <w:proofErr w:type="gramStart"/>
          <w:r w:rsidRPr="004B3080">
            <w:t>doi:10.1016/j.cllc</w:t>
          </w:r>
          <w:proofErr w:type="gramEnd"/>
          <w:r w:rsidRPr="004B3080">
            <w:t>.2018.04.008</w:t>
          </w:r>
        </w:p>
        <w:p w14:paraId="336591DA" w14:textId="77777777" w:rsidR="00C96079" w:rsidRPr="004B3080" w:rsidRDefault="00C96079">
          <w:pPr>
            <w:pStyle w:val="csl-entry"/>
            <w:divId w:val="617416440"/>
          </w:pPr>
          <w:r w:rsidRPr="004B3080">
            <w:lastRenderedPageBreak/>
            <w:t xml:space="preserve">12. </w:t>
          </w:r>
          <w:proofErr w:type="spellStart"/>
          <w:r w:rsidRPr="004B3080">
            <w:t>Kazandjian</w:t>
          </w:r>
          <w:proofErr w:type="spellEnd"/>
          <w:r w:rsidRPr="004B3080">
            <w:t xml:space="preserve"> D, Gong Y, Keegan P, </w:t>
          </w:r>
          <w:proofErr w:type="spellStart"/>
          <w:r w:rsidRPr="004B3080">
            <w:t>Pazdur</w:t>
          </w:r>
          <w:proofErr w:type="spellEnd"/>
          <w:r w:rsidRPr="004B3080">
            <w:t xml:space="preserve"> R, Blumenthal GM. Prognostic Value of the Lung Immune Prognostic Index for Patients Treated for Metastatic Non–Small Cell Lung Cancer. </w:t>
          </w:r>
          <w:r w:rsidRPr="004B3080">
            <w:rPr>
              <w:i/>
              <w:iCs/>
            </w:rPr>
            <w:t>Jama Oncol</w:t>
          </w:r>
          <w:r w:rsidRPr="004B3080">
            <w:t>. 2019;5(10):1481. doi:10.1001/jamaoncol.2019.1747</w:t>
          </w:r>
        </w:p>
        <w:p w14:paraId="5A991E07" w14:textId="77777777" w:rsidR="00C96079" w:rsidRPr="004B3080" w:rsidRDefault="00C96079">
          <w:pPr>
            <w:pStyle w:val="csl-entry"/>
            <w:divId w:val="617416440"/>
          </w:pPr>
          <w:r w:rsidRPr="004B3080">
            <w:t xml:space="preserve">13. </w:t>
          </w:r>
          <w:proofErr w:type="spellStart"/>
          <w:r w:rsidRPr="004B3080">
            <w:t>Dusselier</w:t>
          </w:r>
          <w:proofErr w:type="spellEnd"/>
          <w:r w:rsidRPr="004B3080">
            <w:t xml:space="preserve"> M, </w:t>
          </w:r>
          <w:proofErr w:type="spellStart"/>
          <w:r w:rsidRPr="004B3080">
            <w:t>Deluche</w:t>
          </w:r>
          <w:proofErr w:type="spellEnd"/>
          <w:r w:rsidRPr="004B3080">
            <w:t xml:space="preserve"> E, </w:t>
          </w:r>
          <w:proofErr w:type="spellStart"/>
          <w:r w:rsidRPr="004B3080">
            <w:t>Delacourt</w:t>
          </w:r>
          <w:proofErr w:type="spellEnd"/>
          <w:r w:rsidRPr="004B3080">
            <w:t xml:space="preserve"> N, et al. Neutrophil-to-lymphocyte ratio evolution is an independent predictor of early progression of </w:t>
          </w:r>
          <w:proofErr w:type="gramStart"/>
          <w:r w:rsidRPr="004B3080">
            <w:t>second-line</w:t>
          </w:r>
          <w:proofErr w:type="gramEnd"/>
          <w:r w:rsidRPr="004B3080">
            <w:t xml:space="preserve"> nivolumab-treated patients with advanced non-small-cell lung cancers. </w:t>
          </w:r>
          <w:proofErr w:type="spellStart"/>
          <w:r w:rsidRPr="004B3080">
            <w:rPr>
              <w:i/>
              <w:iCs/>
            </w:rPr>
            <w:t>Plos</w:t>
          </w:r>
          <w:proofErr w:type="spellEnd"/>
          <w:r w:rsidRPr="004B3080">
            <w:rPr>
              <w:i/>
              <w:iCs/>
            </w:rPr>
            <w:t xml:space="preserve"> One</w:t>
          </w:r>
          <w:r w:rsidRPr="004B3080">
            <w:t>. 2019;14(7</w:t>
          </w:r>
          <w:proofErr w:type="gramStart"/>
          <w:r w:rsidRPr="004B3080">
            <w:t>):e</w:t>
          </w:r>
          <w:proofErr w:type="gramEnd"/>
          <w:r w:rsidRPr="004B3080">
            <w:t xml:space="preserve">0219060. </w:t>
          </w:r>
          <w:proofErr w:type="gramStart"/>
          <w:r w:rsidRPr="004B3080">
            <w:t>doi:10.1371/journal.pone</w:t>
          </w:r>
          <w:proofErr w:type="gramEnd"/>
          <w:r w:rsidRPr="004B3080">
            <w:t>.0219060</w:t>
          </w:r>
        </w:p>
        <w:p w14:paraId="3F21D779" w14:textId="77777777" w:rsidR="00C96079" w:rsidRPr="004B3080" w:rsidRDefault="00C96079">
          <w:pPr>
            <w:pStyle w:val="csl-entry"/>
            <w:divId w:val="617416440"/>
          </w:pPr>
          <w:r w:rsidRPr="004B3080">
            <w:t xml:space="preserve">14. Liu J, Li S, Zhang S, et al. Systemic immune‐inflammation index, neutrophil‐to‐lymphocyte ratio, platelet‐to‐lymphocyte ratio can predict clinical outcomes in patients with metastatic non‐small‐cell lung cancer treated with nivolumab. </w:t>
          </w:r>
          <w:r w:rsidRPr="004B3080">
            <w:rPr>
              <w:i/>
              <w:iCs/>
            </w:rPr>
            <w:t>J Clin Lab Anal</w:t>
          </w:r>
          <w:r w:rsidRPr="004B3080">
            <w:t>. 2019;33(8). doi:10.1002/jcla.22964</w:t>
          </w:r>
        </w:p>
        <w:p w14:paraId="10540A23" w14:textId="77777777" w:rsidR="00C96079" w:rsidRPr="004B3080" w:rsidRDefault="00C96079">
          <w:pPr>
            <w:pStyle w:val="csl-entry"/>
            <w:divId w:val="617416440"/>
          </w:pPr>
          <w:r w:rsidRPr="004B3080">
            <w:t>15. Ruiz-</w:t>
          </w:r>
          <w:proofErr w:type="spellStart"/>
          <w:r w:rsidRPr="004B3080">
            <w:t>Bañobre</w:t>
          </w:r>
          <w:proofErr w:type="spellEnd"/>
          <w:r w:rsidRPr="004B3080">
            <w:t xml:space="preserve"> J, </w:t>
          </w:r>
          <w:proofErr w:type="spellStart"/>
          <w:r w:rsidRPr="004B3080">
            <w:t>Areses</w:t>
          </w:r>
          <w:proofErr w:type="spellEnd"/>
          <w:r w:rsidRPr="004B3080">
            <w:t xml:space="preserve">-Manrique MC, Mosquera-Martínez J, et al. Evaluation of the lung immune prognostic index in advanced non-small cell lung cancer patients under nivolumab monotherapy. </w:t>
          </w:r>
          <w:proofErr w:type="spellStart"/>
          <w:r w:rsidRPr="004B3080">
            <w:rPr>
              <w:i/>
              <w:iCs/>
            </w:rPr>
            <w:t>Transl</w:t>
          </w:r>
          <w:proofErr w:type="spellEnd"/>
          <w:r w:rsidRPr="004B3080">
            <w:rPr>
              <w:i/>
              <w:iCs/>
            </w:rPr>
            <w:t xml:space="preserve"> Lung Cancer Res</w:t>
          </w:r>
          <w:r w:rsidRPr="004B3080">
            <w:t>. 2019;8(6):1078-1085. doi:10.21037/tlcr.2019.11.07</w:t>
          </w:r>
        </w:p>
        <w:p w14:paraId="031597A4" w14:textId="77777777" w:rsidR="00C96079" w:rsidRPr="004B3080" w:rsidRDefault="00C96079">
          <w:pPr>
            <w:pStyle w:val="csl-entry"/>
            <w:divId w:val="617416440"/>
          </w:pPr>
          <w:r w:rsidRPr="004B3080">
            <w:t xml:space="preserve">16. </w:t>
          </w:r>
          <w:proofErr w:type="spellStart"/>
          <w:r w:rsidRPr="004B3080">
            <w:t>Prelaj</w:t>
          </w:r>
          <w:proofErr w:type="spellEnd"/>
          <w:r w:rsidRPr="004B3080">
            <w:t xml:space="preserve"> A, </w:t>
          </w:r>
          <w:proofErr w:type="spellStart"/>
          <w:r w:rsidRPr="004B3080">
            <w:t>Rebuzzi</w:t>
          </w:r>
          <w:proofErr w:type="spellEnd"/>
          <w:r w:rsidRPr="004B3080">
            <w:t xml:space="preserve"> SE, </w:t>
          </w:r>
          <w:proofErr w:type="spellStart"/>
          <w:r w:rsidRPr="004B3080">
            <w:t>Pizzutilo</w:t>
          </w:r>
          <w:proofErr w:type="spellEnd"/>
          <w:r w:rsidRPr="004B3080">
            <w:t xml:space="preserve"> P, et al. </w:t>
          </w:r>
          <w:proofErr w:type="spellStart"/>
          <w:r w:rsidRPr="004B3080">
            <w:t>EPSILoN</w:t>
          </w:r>
          <w:proofErr w:type="spellEnd"/>
          <w:r w:rsidRPr="004B3080">
            <w:t xml:space="preserve">: A Prognostic Score Using Clinical and Blood Biomarkers in Advanced Non-Small-cell Lung Cancer Treated </w:t>
          </w:r>
          <w:proofErr w:type="gramStart"/>
          <w:r w:rsidRPr="004B3080">
            <w:t>With</w:t>
          </w:r>
          <w:proofErr w:type="gramEnd"/>
          <w:r w:rsidRPr="004B3080">
            <w:t xml:space="preserve"> Immunotherapy. </w:t>
          </w:r>
          <w:r w:rsidRPr="004B3080">
            <w:rPr>
              <w:i/>
              <w:iCs/>
            </w:rPr>
            <w:t>Clin Lung Cancer</w:t>
          </w:r>
          <w:r w:rsidRPr="004B3080">
            <w:t xml:space="preserve">. Published online 2020. </w:t>
          </w:r>
          <w:proofErr w:type="gramStart"/>
          <w:r w:rsidRPr="004B3080">
            <w:t>doi:10.1016/j.cllc</w:t>
          </w:r>
          <w:proofErr w:type="gramEnd"/>
          <w:r w:rsidRPr="004B3080">
            <w:t>.2019.11.017</w:t>
          </w:r>
        </w:p>
        <w:p w14:paraId="6E672785" w14:textId="77777777" w:rsidR="00C96079" w:rsidRPr="004B3080" w:rsidRDefault="00C96079">
          <w:pPr>
            <w:pStyle w:val="csl-entry"/>
            <w:divId w:val="617416440"/>
          </w:pPr>
          <w:r w:rsidRPr="004B3080">
            <w:t xml:space="preserve">17. </w:t>
          </w:r>
          <w:proofErr w:type="spellStart"/>
          <w:r w:rsidRPr="004B3080">
            <w:t>Prelaj</w:t>
          </w:r>
          <w:proofErr w:type="spellEnd"/>
          <w:r w:rsidRPr="004B3080">
            <w:t xml:space="preserve"> A, Ferrara R, </w:t>
          </w:r>
          <w:proofErr w:type="spellStart"/>
          <w:r w:rsidRPr="004B3080">
            <w:t>Rebuzzi</w:t>
          </w:r>
          <w:proofErr w:type="spellEnd"/>
          <w:r w:rsidRPr="004B3080">
            <w:t xml:space="preserve"> SE, et al. </w:t>
          </w:r>
          <w:proofErr w:type="spellStart"/>
          <w:r w:rsidRPr="004B3080">
            <w:t>EPSILoN</w:t>
          </w:r>
          <w:proofErr w:type="spellEnd"/>
          <w:r w:rsidRPr="004B3080">
            <w:t xml:space="preserve">: A Prognostic Score for Immunotherapy in Advanced Non-Small-Cell Lung Cancer: A Validation Cohort. </w:t>
          </w:r>
          <w:r w:rsidRPr="004B3080">
            <w:rPr>
              <w:i/>
              <w:iCs/>
            </w:rPr>
            <w:t>Cancers</w:t>
          </w:r>
          <w:r w:rsidRPr="004B3080">
            <w:t>. 2019;11(12):1954. doi:10.3390/cancers11121954</w:t>
          </w:r>
        </w:p>
        <w:p w14:paraId="59DF411B" w14:textId="06641B53" w:rsidR="00F2645C" w:rsidRDefault="00C96079" w:rsidP="001C415E">
          <w:r w:rsidRPr="004B3080">
            <w:rPr>
              <w:rFonts w:eastAsia="Times New Roman"/>
            </w:rPr>
            <w:t> </w:t>
          </w:r>
        </w:p>
      </w:sdtContent>
    </w:sdt>
    <w:sectPr w:rsidR="00F2645C" w:rsidSect="00E245C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7C9ED" w14:textId="77777777" w:rsidR="008D7FAA" w:rsidRDefault="008D7FAA" w:rsidP="002221FB">
      <w:pPr>
        <w:spacing w:after="0" w:line="240" w:lineRule="auto"/>
      </w:pPr>
      <w:r>
        <w:separator/>
      </w:r>
    </w:p>
  </w:endnote>
  <w:endnote w:type="continuationSeparator" w:id="0">
    <w:p w14:paraId="76300FEB" w14:textId="77777777" w:rsidR="008D7FAA" w:rsidRDefault="008D7FAA" w:rsidP="00222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3BDE4" w14:textId="77777777" w:rsidR="008D7FAA" w:rsidRDefault="008D7FAA" w:rsidP="002221FB">
      <w:pPr>
        <w:spacing w:after="0" w:line="240" w:lineRule="auto"/>
      </w:pPr>
      <w:r>
        <w:separator/>
      </w:r>
    </w:p>
  </w:footnote>
  <w:footnote w:type="continuationSeparator" w:id="0">
    <w:p w14:paraId="664731D9" w14:textId="77777777" w:rsidR="008D7FAA" w:rsidRDefault="008D7FAA" w:rsidP="00222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579E2"/>
    <w:multiLevelType w:val="hybridMultilevel"/>
    <w:tmpl w:val="F48AE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A92501"/>
    <w:multiLevelType w:val="hybridMultilevel"/>
    <w:tmpl w:val="6E343B74"/>
    <w:lvl w:ilvl="0" w:tplc="AD6800E4">
      <w:start w:val="1"/>
      <w:numFmt w:val="decimal"/>
      <w:lvlText w:val="%1)"/>
      <w:lvlJc w:val="left"/>
      <w:pPr>
        <w:ind w:left="720" w:hanging="360"/>
      </w:pPr>
      <w:rPr>
        <w:rFonts w:ascii="Arial" w:hAnsi="Arial"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FF5539"/>
    <w:multiLevelType w:val="hybridMultilevel"/>
    <w:tmpl w:val="34F62A82"/>
    <w:lvl w:ilvl="0" w:tplc="7E5AA0C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F5"/>
    <w:rsid w:val="00004E58"/>
    <w:rsid w:val="00005721"/>
    <w:rsid w:val="00007259"/>
    <w:rsid w:val="00007E2B"/>
    <w:rsid w:val="00010C0E"/>
    <w:rsid w:val="00014B55"/>
    <w:rsid w:val="00015672"/>
    <w:rsid w:val="000209CE"/>
    <w:rsid w:val="00021728"/>
    <w:rsid w:val="000251BC"/>
    <w:rsid w:val="00025254"/>
    <w:rsid w:val="00026004"/>
    <w:rsid w:val="000268B3"/>
    <w:rsid w:val="000301DA"/>
    <w:rsid w:val="00032063"/>
    <w:rsid w:val="0003491B"/>
    <w:rsid w:val="00037911"/>
    <w:rsid w:val="00041CA9"/>
    <w:rsid w:val="00043A25"/>
    <w:rsid w:val="00046186"/>
    <w:rsid w:val="00050872"/>
    <w:rsid w:val="0005098F"/>
    <w:rsid w:val="00050DC7"/>
    <w:rsid w:val="00053A02"/>
    <w:rsid w:val="00055AEB"/>
    <w:rsid w:val="00056006"/>
    <w:rsid w:val="0005784A"/>
    <w:rsid w:val="000608C5"/>
    <w:rsid w:val="0006214C"/>
    <w:rsid w:val="00063626"/>
    <w:rsid w:val="00064883"/>
    <w:rsid w:val="00066432"/>
    <w:rsid w:val="00067CFE"/>
    <w:rsid w:val="000727ED"/>
    <w:rsid w:val="00072A09"/>
    <w:rsid w:val="0007396C"/>
    <w:rsid w:val="00076A66"/>
    <w:rsid w:val="000805EB"/>
    <w:rsid w:val="000807CE"/>
    <w:rsid w:val="0008277F"/>
    <w:rsid w:val="00082AE4"/>
    <w:rsid w:val="00084954"/>
    <w:rsid w:val="00085AD8"/>
    <w:rsid w:val="0008789F"/>
    <w:rsid w:val="00090F0C"/>
    <w:rsid w:val="00091838"/>
    <w:rsid w:val="00097CDB"/>
    <w:rsid w:val="000A29D1"/>
    <w:rsid w:val="000A573F"/>
    <w:rsid w:val="000A602C"/>
    <w:rsid w:val="000B1823"/>
    <w:rsid w:val="000B1F5F"/>
    <w:rsid w:val="000B2D8E"/>
    <w:rsid w:val="000B6A8A"/>
    <w:rsid w:val="000B7416"/>
    <w:rsid w:val="000C0E4C"/>
    <w:rsid w:val="000C1058"/>
    <w:rsid w:val="000C4EAE"/>
    <w:rsid w:val="000C5361"/>
    <w:rsid w:val="000C62B7"/>
    <w:rsid w:val="000C68CA"/>
    <w:rsid w:val="000D3E79"/>
    <w:rsid w:val="000D41B4"/>
    <w:rsid w:val="000D71FA"/>
    <w:rsid w:val="000D75EA"/>
    <w:rsid w:val="000E0872"/>
    <w:rsid w:val="000E18B1"/>
    <w:rsid w:val="000E411E"/>
    <w:rsid w:val="000E4473"/>
    <w:rsid w:val="000E5716"/>
    <w:rsid w:val="000E67A2"/>
    <w:rsid w:val="000F0556"/>
    <w:rsid w:val="000F23A5"/>
    <w:rsid w:val="000F5072"/>
    <w:rsid w:val="001000F5"/>
    <w:rsid w:val="00103593"/>
    <w:rsid w:val="00106209"/>
    <w:rsid w:val="00106801"/>
    <w:rsid w:val="00110319"/>
    <w:rsid w:val="00112006"/>
    <w:rsid w:val="00112CC6"/>
    <w:rsid w:val="001175D0"/>
    <w:rsid w:val="00117E71"/>
    <w:rsid w:val="001207C6"/>
    <w:rsid w:val="00120C12"/>
    <w:rsid w:val="00121C70"/>
    <w:rsid w:val="00122655"/>
    <w:rsid w:val="00124587"/>
    <w:rsid w:val="001245E9"/>
    <w:rsid w:val="00126FD3"/>
    <w:rsid w:val="00130094"/>
    <w:rsid w:val="001336BF"/>
    <w:rsid w:val="00133D84"/>
    <w:rsid w:val="001441C9"/>
    <w:rsid w:val="001449A0"/>
    <w:rsid w:val="001458B4"/>
    <w:rsid w:val="001479AB"/>
    <w:rsid w:val="001507DC"/>
    <w:rsid w:val="00150C50"/>
    <w:rsid w:val="001649E3"/>
    <w:rsid w:val="00164E0F"/>
    <w:rsid w:val="00167D5E"/>
    <w:rsid w:val="0017176A"/>
    <w:rsid w:val="00171C51"/>
    <w:rsid w:val="001739CC"/>
    <w:rsid w:val="00173EF3"/>
    <w:rsid w:val="00177297"/>
    <w:rsid w:val="00177512"/>
    <w:rsid w:val="001807CC"/>
    <w:rsid w:val="00182A54"/>
    <w:rsid w:val="001839F8"/>
    <w:rsid w:val="00186CB6"/>
    <w:rsid w:val="00187AD0"/>
    <w:rsid w:val="00187C78"/>
    <w:rsid w:val="00192E7F"/>
    <w:rsid w:val="00194951"/>
    <w:rsid w:val="001A166F"/>
    <w:rsid w:val="001A1AE5"/>
    <w:rsid w:val="001A62AF"/>
    <w:rsid w:val="001A7541"/>
    <w:rsid w:val="001A7CD8"/>
    <w:rsid w:val="001B0F6F"/>
    <w:rsid w:val="001B19AB"/>
    <w:rsid w:val="001B329D"/>
    <w:rsid w:val="001B4671"/>
    <w:rsid w:val="001B7308"/>
    <w:rsid w:val="001C0278"/>
    <w:rsid w:val="001C06A3"/>
    <w:rsid w:val="001C1EC1"/>
    <w:rsid w:val="001C415E"/>
    <w:rsid w:val="001C53F0"/>
    <w:rsid w:val="001C59BD"/>
    <w:rsid w:val="001D1222"/>
    <w:rsid w:val="001D233C"/>
    <w:rsid w:val="001D2472"/>
    <w:rsid w:val="001D32B0"/>
    <w:rsid w:val="001D5FBF"/>
    <w:rsid w:val="001E10B7"/>
    <w:rsid w:val="001E198C"/>
    <w:rsid w:val="001E2916"/>
    <w:rsid w:val="001E2FFE"/>
    <w:rsid w:val="001E3DE6"/>
    <w:rsid w:val="001E59D4"/>
    <w:rsid w:val="001F071D"/>
    <w:rsid w:val="001F4D22"/>
    <w:rsid w:val="001F501A"/>
    <w:rsid w:val="001F64F2"/>
    <w:rsid w:val="001F6732"/>
    <w:rsid w:val="001F6A82"/>
    <w:rsid w:val="001F7121"/>
    <w:rsid w:val="002020CE"/>
    <w:rsid w:val="0020307C"/>
    <w:rsid w:val="00205450"/>
    <w:rsid w:val="002073AA"/>
    <w:rsid w:val="00210CD9"/>
    <w:rsid w:val="00211D18"/>
    <w:rsid w:val="00212350"/>
    <w:rsid w:val="002142CF"/>
    <w:rsid w:val="00214787"/>
    <w:rsid w:val="00215087"/>
    <w:rsid w:val="00215E91"/>
    <w:rsid w:val="002166C0"/>
    <w:rsid w:val="002221FB"/>
    <w:rsid w:val="002248F1"/>
    <w:rsid w:val="002249AB"/>
    <w:rsid w:val="002277D6"/>
    <w:rsid w:val="0023084E"/>
    <w:rsid w:val="0023289E"/>
    <w:rsid w:val="00232AC2"/>
    <w:rsid w:val="00236C18"/>
    <w:rsid w:val="00237852"/>
    <w:rsid w:val="00241AB7"/>
    <w:rsid w:val="002421BA"/>
    <w:rsid w:val="0025042D"/>
    <w:rsid w:val="00252D9D"/>
    <w:rsid w:val="002542D9"/>
    <w:rsid w:val="00255096"/>
    <w:rsid w:val="0025671B"/>
    <w:rsid w:val="0025731D"/>
    <w:rsid w:val="00265DB2"/>
    <w:rsid w:val="00266BDE"/>
    <w:rsid w:val="00273FCE"/>
    <w:rsid w:val="00277CFC"/>
    <w:rsid w:val="00281B33"/>
    <w:rsid w:val="00282E62"/>
    <w:rsid w:val="002847E7"/>
    <w:rsid w:val="00284E38"/>
    <w:rsid w:val="0028673F"/>
    <w:rsid w:val="0029058A"/>
    <w:rsid w:val="0029098D"/>
    <w:rsid w:val="0029167A"/>
    <w:rsid w:val="00294BD4"/>
    <w:rsid w:val="0029784F"/>
    <w:rsid w:val="002A2567"/>
    <w:rsid w:val="002A6E93"/>
    <w:rsid w:val="002B0A3B"/>
    <w:rsid w:val="002B2966"/>
    <w:rsid w:val="002B6144"/>
    <w:rsid w:val="002B6C85"/>
    <w:rsid w:val="002C1052"/>
    <w:rsid w:val="002C6A17"/>
    <w:rsid w:val="002C752A"/>
    <w:rsid w:val="002C759E"/>
    <w:rsid w:val="002D3641"/>
    <w:rsid w:val="002D5285"/>
    <w:rsid w:val="002D5C7C"/>
    <w:rsid w:val="002E24BD"/>
    <w:rsid w:val="002E25ED"/>
    <w:rsid w:val="002E2957"/>
    <w:rsid w:val="002E7605"/>
    <w:rsid w:val="002F1CDA"/>
    <w:rsid w:val="002F64BB"/>
    <w:rsid w:val="002F738D"/>
    <w:rsid w:val="003019C3"/>
    <w:rsid w:val="0030770D"/>
    <w:rsid w:val="00311B0B"/>
    <w:rsid w:val="00315B50"/>
    <w:rsid w:val="0031695A"/>
    <w:rsid w:val="003207B3"/>
    <w:rsid w:val="0032205A"/>
    <w:rsid w:val="0032442F"/>
    <w:rsid w:val="00326C6D"/>
    <w:rsid w:val="00326F80"/>
    <w:rsid w:val="003270B1"/>
    <w:rsid w:val="00327D92"/>
    <w:rsid w:val="0033154E"/>
    <w:rsid w:val="00332215"/>
    <w:rsid w:val="00334FA6"/>
    <w:rsid w:val="00336C74"/>
    <w:rsid w:val="00336FEF"/>
    <w:rsid w:val="00341046"/>
    <w:rsid w:val="003441BE"/>
    <w:rsid w:val="00346AD2"/>
    <w:rsid w:val="00350AF0"/>
    <w:rsid w:val="003523C7"/>
    <w:rsid w:val="00352A86"/>
    <w:rsid w:val="00352B1B"/>
    <w:rsid w:val="00354598"/>
    <w:rsid w:val="00356936"/>
    <w:rsid w:val="00362C94"/>
    <w:rsid w:val="0036334E"/>
    <w:rsid w:val="0036446C"/>
    <w:rsid w:val="00365166"/>
    <w:rsid w:val="003657FB"/>
    <w:rsid w:val="00365C6B"/>
    <w:rsid w:val="00366B31"/>
    <w:rsid w:val="00367CCA"/>
    <w:rsid w:val="003716E3"/>
    <w:rsid w:val="0037171D"/>
    <w:rsid w:val="00371AE8"/>
    <w:rsid w:val="00377C4A"/>
    <w:rsid w:val="00381613"/>
    <w:rsid w:val="00385D43"/>
    <w:rsid w:val="0038740D"/>
    <w:rsid w:val="00387CC6"/>
    <w:rsid w:val="00390A67"/>
    <w:rsid w:val="00392576"/>
    <w:rsid w:val="00393657"/>
    <w:rsid w:val="00394072"/>
    <w:rsid w:val="00397316"/>
    <w:rsid w:val="00397ED0"/>
    <w:rsid w:val="003A0C28"/>
    <w:rsid w:val="003A1C6F"/>
    <w:rsid w:val="003A205D"/>
    <w:rsid w:val="003A5329"/>
    <w:rsid w:val="003A72E3"/>
    <w:rsid w:val="003B0E37"/>
    <w:rsid w:val="003B4EF8"/>
    <w:rsid w:val="003B636A"/>
    <w:rsid w:val="003C3C90"/>
    <w:rsid w:val="003C5122"/>
    <w:rsid w:val="003C528D"/>
    <w:rsid w:val="003C6DB3"/>
    <w:rsid w:val="003C7301"/>
    <w:rsid w:val="003C7DC2"/>
    <w:rsid w:val="003D1BDD"/>
    <w:rsid w:val="003D1E8E"/>
    <w:rsid w:val="003D2F07"/>
    <w:rsid w:val="003D4899"/>
    <w:rsid w:val="003D51B1"/>
    <w:rsid w:val="003D588D"/>
    <w:rsid w:val="003D6BA6"/>
    <w:rsid w:val="003D6DE2"/>
    <w:rsid w:val="003E462E"/>
    <w:rsid w:val="003E7208"/>
    <w:rsid w:val="003F0334"/>
    <w:rsid w:val="003F298A"/>
    <w:rsid w:val="003F2EC4"/>
    <w:rsid w:val="003F6BBE"/>
    <w:rsid w:val="003F75F4"/>
    <w:rsid w:val="00401973"/>
    <w:rsid w:val="00403C97"/>
    <w:rsid w:val="004046F0"/>
    <w:rsid w:val="00404B77"/>
    <w:rsid w:val="00405D33"/>
    <w:rsid w:val="004067FE"/>
    <w:rsid w:val="00407A95"/>
    <w:rsid w:val="00410E2C"/>
    <w:rsid w:val="00412D2F"/>
    <w:rsid w:val="00414306"/>
    <w:rsid w:val="0041654E"/>
    <w:rsid w:val="004173EC"/>
    <w:rsid w:val="004206F3"/>
    <w:rsid w:val="004249A5"/>
    <w:rsid w:val="00425233"/>
    <w:rsid w:val="0042679E"/>
    <w:rsid w:val="004335AB"/>
    <w:rsid w:val="00436AF8"/>
    <w:rsid w:val="00437804"/>
    <w:rsid w:val="00437FCD"/>
    <w:rsid w:val="0044066B"/>
    <w:rsid w:val="00441F8F"/>
    <w:rsid w:val="0044313E"/>
    <w:rsid w:val="00445AF6"/>
    <w:rsid w:val="00447B04"/>
    <w:rsid w:val="00450841"/>
    <w:rsid w:val="004512FF"/>
    <w:rsid w:val="0045692A"/>
    <w:rsid w:val="0045733F"/>
    <w:rsid w:val="00460C7C"/>
    <w:rsid w:val="00462D7A"/>
    <w:rsid w:val="00464CCA"/>
    <w:rsid w:val="0046506E"/>
    <w:rsid w:val="00466AA7"/>
    <w:rsid w:val="00467D45"/>
    <w:rsid w:val="00470217"/>
    <w:rsid w:val="004721EE"/>
    <w:rsid w:val="00472993"/>
    <w:rsid w:val="00472EE1"/>
    <w:rsid w:val="004743B3"/>
    <w:rsid w:val="004749D3"/>
    <w:rsid w:val="004759FA"/>
    <w:rsid w:val="0047608F"/>
    <w:rsid w:val="00481656"/>
    <w:rsid w:val="00482ADA"/>
    <w:rsid w:val="00483EAA"/>
    <w:rsid w:val="004849E3"/>
    <w:rsid w:val="00484AFE"/>
    <w:rsid w:val="004911F6"/>
    <w:rsid w:val="004918FE"/>
    <w:rsid w:val="00491DC7"/>
    <w:rsid w:val="0049407D"/>
    <w:rsid w:val="00496E90"/>
    <w:rsid w:val="004A30C1"/>
    <w:rsid w:val="004A3D39"/>
    <w:rsid w:val="004A5C97"/>
    <w:rsid w:val="004A7CA6"/>
    <w:rsid w:val="004B1D1B"/>
    <w:rsid w:val="004B3080"/>
    <w:rsid w:val="004B39AD"/>
    <w:rsid w:val="004B3C63"/>
    <w:rsid w:val="004B7831"/>
    <w:rsid w:val="004D4D9E"/>
    <w:rsid w:val="004D6548"/>
    <w:rsid w:val="004D67F2"/>
    <w:rsid w:val="004D6F55"/>
    <w:rsid w:val="004D70C0"/>
    <w:rsid w:val="004E1D8E"/>
    <w:rsid w:val="004F3A0F"/>
    <w:rsid w:val="004F55EF"/>
    <w:rsid w:val="004F5837"/>
    <w:rsid w:val="004F5965"/>
    <w:rsid w:val="004F5D11"/>
    <w:rsid w:val="004F6BF0"/>
    <w:rsid w:val="005013AA"/>
    <w:rsid w:val="00502D1E"/>
    <w:rsid w:val="005033E8"/>
    <w:rsid w:val="005111D4"/>
    <w:rsid w:val="0051162B"/>
    <w:rsid w:val="005142CD"/>
    <w:rsid w:val="00517DFE"/>
    <w:rsid w:val="0052024F"/>
    <w:rsid w:val="00523AB9"/>
    <w:rsid w:val="00523EDE"/>
    <w:rsid w:val="00525E0D"/>
    <w:rsid w:val="0053233E"/>
    <w:rsid w:val="005332D9"/>
    <w:rsid w:val="00534353"/>
    <w:rsid w:val="005349B2"/>
    <w:rsid w:val="005356CC"/>
    <w:rsid w:val="00536AA7"/>
    <w:rsid w:val="005371BC"/>
    <w:rsid w:val="00537940"/>
    <w:rsid w:val="005407BC"/>
    <w:rsid w:val="00540C6F"/>
    <w:rsid w:val="00542050"/>
    <w:rsid w:val="0054447B"/>
    <w:rsid w:val="00544672"/>
    <w:rsid w:val="00544B30"/>
    <w:rsid w:val="00545DB7"/>
    <w:rsid w:val="005479A2"/>
    <w:rsid w:val="00550C63"/>
    <w:rsid w:val="00550CE9"/>
    <w:rsid w:val="00554A99"/>
    <w:rsid w:val="00555408"/>
    <w:rsid w:val="00556A2B"/>
    <w:rsid w:val="00557353"/>
    <w:rsid w:val="005618F0"/>
    <w:rsid w:val="00562220"/>
    <w:rsid w:val="00563010"/>
    <w:rsid w:val="00565D16"/>
    <w:rsid w:val="005665B4"/>
    <w:rsid w:val="005713CB"/>
    <w:rsid w:val="00571CE5"/>
    <w:rsid w:val="00571E8A"/>
    <w:rsid w:val="005724BF"/>
    <w:rsid w:val="0057269D"/>
    <w:rsid w:val="00572AEF"/>
    <w:rsid w:val="00573CB8"/>
    <w:rsid w:val="00574C83"/>
    <w:rsid w:val="0057782D"/>
    <w:rsid w:val="005827E6"/>
    <w:rsid w:val="00583F9E"/>
    <w:rsid w:val="00584974"/>
    <w:rsid w:val="00586884"/>
    <w:rsid w:val="00590322"/>
    <w:rsid w:val="00590E1B"/>
    <w:rsid w:val="00596934"/>
    <w:rsid w:val="00596A46"/>
    <w:rsid w:val="005A30FA"/>
    <w:rsid w:val="005A47DD"/>
    <w:rsid w:val="005A4824"/>
    <w:rsid w:val="005A4912"/>
    <w:rsid w:val="005B01CB"/>
    <w:rsid w:val="005B0D7F"/>
    <w:rsid w:val="005B3CCE"/>
    <w:rsid w:val="005B4194"/>
    <w:rsid w:val="005B4F6A"/>
    <w:rsid w:val="005B70DA"/>
    <w:rsid w:val="005B74AF"/>
    <w:rsid w:val="005C09D0"/>
    <w:rsid w:val="005D06EB"/>
    <w:rsid w:val="005D25FF"/>
    <w:rsid w:val="005D26A7"/>
    <w:rsid w:val="005D26FB"/>
    <w:rsid w:val="005D7333"/>
    <w:rsid w:val="005D7793"/>
    <w:rsid w:val="005D7DCC"/>
    <w:rsid w:val="005E28E1"/>
    <w:rsid w:val="005E2C05"/>
    <w:rsid w:val="005E37B8"/>
    <w:rsid w:val="005E3D8F"/>
    <w:rsid w:val="005E4023"/>
    <w:rsid w:val="005E5C17"/>
    <w:rsid w:val="005F1072"/>
    <w:rsid w:val="005F27D1"/>
    <w:rsid w:val="005F409A"/>
    <w:rsid w:val="005F5777"/>
    <w:rsid w:val="005F5F55"/>
    <w:rsid w:val="006032BA"/>
    <w:rsid w:val="006046E5"/>
    <w:rsid w:val="006046F8"/>
    <w:rsid w:val="00604BA0"/>
    <w:rsid w:val="0060647E"/>
    <w:rsid w:val="00610C38"/>
    <w:rsid w:val="006113C5"/>
    <w:rsid w:val="00613C1C"/>
    <w:rsid w:val="00614235"/>
    <w:rsid w:val="00614B97"/>
    <w:rsid w:val="00620176"/>
    <w:rsid w:val="006208D9"/>
    <w:rsid w:val="00622A1F"/>
    <w:rsid w:val="00623DD1"/>
    <w:rsid w:val="006242C9"/>
    <w:rsid w:val="00625B17"/>
    <w:rsid w:val="00626158"/>
    <w:rsid w:val="00626383"/>
    <w:rsid w:val="006274EF"/>
    <w:rsid w:val="006307E0"/>
    <w:rsid w:val="00634507"/>
    <w:rsid w:val="00634647"/>
    <w:rsid w:val="006362A1"/>
    <w:rsid w:val="006366BC"/>
    <w:rsid w:val="00637922"/>
    <w:rsid w:val="00641FDB"/>
    <w:rsid w:val="00653545"/>
    <w:rsid w:val="0065774B"/>
    <w:rsid w:val="00661C0B"/>
    <w:rsid w:val="006637D3"/>
    <w:rsid w:val="00664FA3"/>
    <w:rsid w:val="00665C51"/>
    <w:rsid w:val="006661A3"/>
    <w:rsid w:val="00670DFC"/>
    <w:rsid w:val="00671DF7"/>
    <w:rsid w:val="0067395E"/>
    <w:rsid w:val="00674757"/>
    <w:rsid w:val="006756BE"/>
    <w:rsid w:val="00677873"/>
    <w:rsid w:val="006778DE"/>
    <w:rsid w:val="0068188F"/>
    <w:rsid w:val="006827D1"/>
    <w:rsid w:val="00682F7B"/>
    <w:rsid w:val="006833A6"/>
    <w:rsid w:val="006835F5"/>
    <w:rsid w:val="006846C9"/>
    <w:rsid w:val="006874C6"/>
    <w:rsid w:val="00693972"/>
    <w:rsid w:val="006A1E90"/>
    <w:rsid w:val="006A4D1A"/>
    <w:rsid w:val="006B055D"/>
    <w:rsid w:val="006B42D3"/>
    <w:rsid w:val="006B433A"/>
    <w:rsid w:val="006B4872"/>
    <w:rsid w:val="006B50AD"/>
    <w:rsid w:val="006B5191"/>
    <w:rsid w:val="006B7027"/>
    <w:rsid w:val="006B71D1"/>
    <w:rsid w:val="006C00B4"/>
    <w:rsid w:val="006C2149"/>
    <w:rsid w:val="006C2360"/>
    <w:rsid w:val="006C2DCD"/>
    <w:rsid w:val="006C3487"/>
    <w:rsid w:val="006C6CDE"/>
    <w:rsid w:val="006D09E1"/>
    <w:rsid w:val="006D510B"/>
    <w:rsid w:val="006D5192"/>
    <w:rsid w:val="006D6B2D"/>
    <w:rsid w:val="006D7232"/>
    <w:rsid w:val="006E2B1F"/>
    <w:rsid w:val="006E3C06"/>
    <w:rsid w:val="006E5B88"/>
    <w:rsid w:val="006F086A"/>
    <w:rsid w:val="006F0F5C"/>
    <w:rsid w:val="006F1CC7"/>
    <w:rsid w:val="006F30B1"/>
    <w:rsid w:val="006F331A"/>
    <w:rsid w:val="006F7225"/>
    <w:rsid w:val="006F7B80"/>
    <w:rsid w:val="007018DE"/>
    <w:rsid w:val="007025F7"/>
    <w:rsid w:val="00703BDB"/>
    <w:rsid w:val="007100C8"/>
    <w:rsid w:val="007107E2"/>
    <w:rsid w:val="007107EA"/>
    <w:rsid w:val="00710BD2"/>
    <w:rsid w:val="00711A7A"/>
    <w:rsid w:val="00711C54"/>
    <w:rsid w:val="00711D24"/>
    <w:rsid w:val="0071420B"/>
    <w:rsid w:val="00714F2B"/>
    <w:rsid w:val="00717486"/>
    <w:rsid w:val="007179F1"/>
    <w:rsid w:val="00725920"/>
    <w:rsid w:val="00730E97"/>
    <w:rsid w:val="007337DA"/>
    <w:rsid w:val="00733C22"/>
    <w:rsid w:val="00734BC3"/>
    <w:rsid w:val="007358BC"/>
    <w:rsid w:val="007371E2"/>
    <w:rsid w:val="007372F6"/>
    <w:rsid w:val="00743D0D"/>
    <w:rsid w:val="0074550D"/>
    <w:rsid w:val="00757435"/>
    <w:rsid w:val="0075774C"/>
    <w:rsid w:val="007609C9"/>
    <w:rsid w:val="00760C22"/>
    <w:rsid w:val="00762E08"/>
    <w:rsid w:val="00764077"/>
    <w:rsid w:val="007646E1"/>
    <w:rsid w:val="00764BB8"/>
    <w:rsid w:val="00765159"/>
    <w:rsid w:val="0077051A"/>
    <w:rsid w:val="00770D43"/>
    <w:rsid w:val="00771CD2"/>
    <w:rsid w:val="00773D7E"/>
    <w:rsid w:val="00774886"/>
    <w:rsid w:val="007757E4"/>
    <w:rsid w:val="007772E6"/>
    <w:rsid w:val="007772F7"/>
    <w:rsid w:val="0078127F"/>
    <w:rsid w:val="007862CD"/>
    <w:rsid w:val="0079181C"/>
    <w:rsid w:val="00795D72"/>
    <w:rsid w:val="007A19BC"/>
    <w:rsid w:val="007A4449"/>
    <w:rsid w:val="007A5BC0"/>
    <w:rsid w:val="007A74E8"/>
    <w:rsid w:val="007B17B9"/>
    <w:rsid w:val="007B6B78"/>
    <w:rsid w:val="007B7B5D"/>
    <w:rsid w:val="007C3233"/>
    <w:rsid w:val="007C6CBF"/>
    <w:rsid w:val="007C6E01"/>
    <w:rsid w:val="007D0270"/>
    <w:rsid w:val="007D630F"/>
    <w:rsid w:val="007D7380"/>
    <w:rsid w:val="007E1923"/>
    <w:rsid w:val="007E21AF"/>
    <w:rsid w:val="007E34B0"/>
    <w:rsid w:val="007E53C0"/>
    <w:rsid w:val="007E5412"/>
    <w:rsid w:val="007E5B40"/>
    <w:rsid w:val="007E713C"/>
    <w:rsid w:val="007F11A2"/>
    <w:rsid w:val="007F3FFC"/>
    <w:rsid w:val="008108F4"/>
    <w:rsid w:val="008124D6"/>
    <w:rsid w:val="0081396D"/>
    <w:rsid w:val="00813D79"/>
    <w:rsid w:val="00815C4D"/>
    <w:rsid w:val="00817E90"/>
    <w:rsid w:val="00822BDE"/>
    <w:rsid w:val="00823383"/>
    <w:rsid w:val="0082693F"/>
    <w:rsid w:val="00827CAC"/>
    <w:rsid w:val="00830D33"/>
    <w:rsid w:val="008324AE"/>
    <w:rsid w:val="00833FE8"/>
    <w:rsid w:val="00834DF0"/>
    <w:rsid w:val="00835E18"/>
    <w:rsid w:val="008425F8"/>
    <w:rsid w:val="00842BBC"/>
    <w:rsid w:val="00842D8A"/>
    <w:rsid w:val="00846AF0"/>
    <w:rsid w:val="008502A0"/>
    <w:rsid w:val="00852286"/>
    <w:rsid w:val="00853E61"/>
    <w:rsid w:val="00854EA6"/>
    <w:rsid w:val="008578E0"/>
    <w:rsid w:val="00857A5C"/>
    <w:rsid w:val="008604A5"/>
    <w:rsid w:val="0086568D"/>
    <w:rsid w:val="00865B2B"/>
    <w:rsid w:val="00866482"/>
    <w:rsid w:val="008715DD"/>
    <w:rsid w:val="00872E54"/>
    <w:rsid w:val="00880A91"/>
    <w:rsid w:val="00882A9F"/>
    <w:rsid w:val="00884514"/>
    <w:rsid w:val="00884B59"/>
    <w:rsid w:val="0088579C"/>
    <w:rsid w:val="0089043F"/>
    <w:rsid w:val="008911E0"/>
    <w:rsid w:val="008920DB"/>
    <w:rsid w:val="00895242"/>
    <w:rsid w:val="00895411"/>
    <w:rsid w:val="008A2501"/>
    <w:rsid w:val="008B5580"/>
    <w:rsid w:val="008B6AC4"/>
    <w:rsid w:val="008B738B"/>
    <w:rsid w:val="008B7AF2"/>
    <w:rsid w:val="008C04E4"/>
    <w:rsid w:val="008C7E4F"/>
    <w:rsid w:val="008D1B31"/>
    <w:rsid w:val="008D263B"/>
    <w:rsid w:val="008D2AA8"/>
    <w:rsid w:val="008D7FAA"/>
    <w:rsid w:val="008E004C"/>
    <w:rsid w:val="008E0E56"/>
    <w:rsid w:val="008E4342"/>
    <w:rsid w:val="008E4C86"/>
    <w:rsid w:val="008E5801"/>
    <w:rsid w:val="008E6885"/>
    <w:rsid w:val="008F0CC5"/>
    <w:rsid w:val="008F1E5B"/>
    <w:rsid w:val="008F4FDE"/>
    <w:rsid w:val="008F513D"/>
    <w:rsid w:val="008F6AB4"/>
    <w:rsid w:val="00902E23"/>
    <w:rsid w:val="009037D2"/>
    <w:rsid w:val="00906AE7"/>
    <w:rsid w:val="009201B8"/>
    <w:rsid w:val="0092023A"/>
    <w:rsid w:val="009215D7"/>
    <w:rsid w:val="009245B0"/>
    <w:rsid w:val="00925483"/>
    <w:rsid w:val="00925F82"/>
    <w:rsid w:val="009272B3"/>
    <w:rsid w:val="009302D6"/>
    <w:rsid w:val="00930C92"/>
    <w:rsid w:val="00932A96"/>
    <w:rsid w:val="00932D24"/>
    <w:rsid w:val="00932F51"/>
    <w:rsid w:val="00936FF6"/>
    <w:rsid w:val="009439B2"/>
    <w:rsid w:val="00944FF5"/>
    <w:rsid w:val="00945E3D"/>
    <w:rsid w:val="00947FDF"/>
    <w:rsid w:val="00950284"/>
    <w:rsid w:val="00952387"/>
    <w:rsid w:val="00955FE2"/>
    <w:rsid w:val="00956551"/>
    <w:rsid w:val="0095674A"/>
    <w:rsid w:val="0095754C"/>
    <w:rsid w:val="0096399F"/>
    <w:rsid w:val="009708B9"/>
    <w:rsid w:val="00971D0C"/>
    <w:rsid w:val="009732C8"/>
    <w:rsid w:val="00975E3C"/>
    <w:rsid w:val="00976A5C"/>
    <w:rsid w:val="00981530"/>
    <w:rsid w:val="00984BF8"/>
    <w:rsid w:val="00985A26"/>
    <w:rsid w:val="009863BD"/>
    <w:rsid w:val="009869CE"/>
    <w:rsid w:val="0098731E"/>
    <w:rsid w:val="0098786B"/>
    <w:rsid w:val="00990B3A"/>
    <w:rsid w:val="0099267D"/>
    <w:rsid w:val="00992F1B"/>
    <w:rsid w:val="00995EE2"/>
    <w:rsid w:val="00996B48"/>
    <w:rsid w:val="009A1849"/>
    <w:rsid w:val="009B045A"/>
    <w:rsid w:val="009B36D1"/>
    <w:rsid w:val="009C0693"/>
    <w:rsid w:val="009C32A9"/>
    <w:rsid w:val="009C4421"/>
    <w:rsid w:val="009D0DA8"/>
    <w:rsid w:val="009D1724"/>
    <w:rsid w:val="009D17A8"/>
    <w:rsid w:val="009D2496"/>
    <w:rsid w:val="009D6246"/>
    <w:rsid w:val="009D72E6"/>
    <w:rsid w:val="009E3E45"/>
    <w:rsid w:val="009E5743"/>
    <w:rsid w:val="009E5FBC"/>
    <w:rsid w:val="009F3406"/>
    <w:rsid w:val="00A046C4"/>
    <w:rsid w:val="00A10613"/>
    <w:rsid w:val="00A1090E"/>
    <w:rsid w:val="00A10EF4"/>
    <w:rsid w:val="00A11E3B"/>
    <w:rsid w:val="00A12C10"/>
    <w:rsid w:val="00A144AE"/>
    <w:rsid w:val="00A1483D"/>
    <w:rsid w:val="00A157BB"/>
    <w:rsid w:val="00A15877"/>
    <w:rsid w:val="00A1594A"/>
    <w:rsid w:val="00A176B4"/>
    <w:rsid w:val="00A17D10"/>
    <w:rsid w:val="00A20E4F"/>
    <w:rsid w:val="00A24282"/>
    <w:rsid w:val="00A2526C"/>
    <w:rsid w:val="00A26549"/>
    <w:rsid w:val="00A279E8"/>
    <w:rsid w:val="00A3049C"/>
    <w:rsid w:val="00A3500C"/>
    <w:rsid w:val="00A36139"/>
    <w:rsid w:val="00A361F8"/>
    <w:rsid w:val="00A368D7"/>
    <w:rsid w:val="00A37010"/>
    <w:rsid w:val="00A37C14"/>
    <w:rsid w:val="00A40955"/>
    <w:rsid w:val="00A4254C"/>
    <w:rsid w:val="00A42790"/>
    <w:rsid w:val="00A45888"/>
    <w:rsid w:val="00A47E9E"/>
    <w:rsid w:val="00A5022F"/>
    <w:rsid w:val="00A5230B"/>
    <w:rsid w:val="00A52B78"/>
    <w:rsid w:val="00A5399A"/>
    <w:rsid w:val="00A641E4"/>
    <w:rsid w:val="00A65CE3"/>
    <w:rsid w:val="00A66FCE"/>
    <w:rsid w:val="00A737FF"/>
    <w:rsid w:val="00A746C0"/>
    <w:rsid w:val="00A74FC4"/>
    <w:rsid w:val="00A75B03"/>
    <w:rsid w:val="00A772D1"/>
    <w:rsid w:val="00A80AC4"/>
    <w:rsid w:val="00A82BC3"/>
    <w:rsid w:val="00A85D23"/>
    <w:rsid w:val="00A87062"/>
    <w:rsid w:val="00A92DBC"/>
    <w:rsid w:val="00A968C4"/>
    <w:rsid w:val="00A97A6E"/>
    <w:rsid w:val="00AA043C"/>
    <w:rsid w:val="00AA2CBF"/>
    <w:rsid w:val="00AA378E"/>
    <w:rsid w:val="00AA4208"/>
    <w:rsid w:val="00AA5EEE"/>
    <w:rsid w:val="00AB465A"/>
    <w:rsid w:val="00AB5C37"/>
    <w:rsid w:val="00AC2D50"/>
    <w:rsid w:val="00AC37BD"/>
    <w:rsid w:val="00AC5010"/>
    <w:rsid w:val="00AD14D1"/>
    <w:rsid w:val="00AD2C7A"/>
    <w:rsid w:val="00AD30CA"/>
    <w:rsid w:val="00AD320C"/>
    <w:rsid w:val="00AD4E8D"/>
    <w:rsid w:val="00AD6983"/>
    <w:rsid w:val="00AE1012"/>
    <w:rsid w:val="00AE2015"/>
    <w:rsid w:val="00AE437F"/>
    <w:rsid w:val="00AE4DDF"/>
    <w:rsid w:val="00AE4E92"/>
    <w:rsid w:val="00AE5432"/>
    <w:rsid w:val="00AE6D9D"/>
    <w:rsid w:val="00AF0A88"/>
    <w:rsid w:val="00AF3463"/>
    <w:rsid w:val="00AF627F"/>
    <w:rsid w:val="00AF6BDF"/>
    <w:rsid w:val="00AF7B24"/>
    <w:rsid w:val="00B01527"/>
    <w:rsid w:val="00B0200A"/>
    <w:rsid w:val="00B021D5"/>
    <w:rsid w:val="00B021E8"/>
    <w:rsid w:val="00B07E0F"/>
    <w:rsid w:val="00B105BF"/>
    <w:rsid w:val="00B11221"/>
    <w:rsid w:val="00B1739D"/>
    <w:rsid w:val="00B17626"/>
    <w:rsid w:val="00B20201"/>
    <w:rsid w:val="00B20395"/>
    <w:rsid w:val="00B20BAB"/>
    <w:rsid w:val="00B2253D"/>
    <w:rsid w:val="00B236E9"/>
    <w:rsid w:val="00B23FA8"/>
    <w:rsid w:val="00B256CF"/>
    <w:rsid w:val="00B25E21"/>
    <w:rsid w:val="00B30950"/>
    <w:rsid w:val="00B309DC"/>
    <w:rsid w:val="00B310C7"/>
    <w:rsid w:val="00B32096"/>
    <w:rsid w:val="00B32C50"/>
    <w:rsid w:val="00B33401"/>
    <w:rsid w:val="00B35ACB"/>
    <w:rsid w:val="00B35DAE"/>
    <w:rsid w:val="00B37808"/>
    <w:rsid w:val="00B40D66"/>
    <w:rsid w:val="00B420EB"/>
    <w:rsid w:val="00B4696C"/>
    <w:rsid w:val="00B47FAF"/>
    <w:rsid w:val="00B50238"/>
    <w:rsid w:val="00B507C9"/>
    <w:rsid w:val="00B510C7"/>
    <w:rsid w:val="00B53403"/>
    <w:rsid w:val="00B53E96"/>
    <w:rsid w:val="00B54826"/>
    <w:rsid w:val="00B54BC3"/>
    <w:rsid w:val="00B56837"/>
    <w:rsid w:val="00B61349"/>
    <w:rsid w:val="00B62A00"/>
    <w:rsid w:val="00B62B44"/>
    <w:rsid w:val="00B62BC4"/>
    <w:rsid w:val="00B62EE2"/>
    <w:rsid w:val="00B6482F"/>
    <w:rsid w:val="00B67178"/>
    <w:rsid w:val="00B71C6A"/>
    <w:rsid w:val="00B74873"/>
    <w:rsid w:val="00B7650E"/>
    <w:rsid w:val="00B76F20"/>
    <w:rsid w:val="00B7754C"/>
    <w:rsid w:val="00B802BD"/>
    <w:rsid w:val="00B85049"/>
    <w:rsid w:val="00B90EC3"/>
    <w:rsid w:val="00B917AF"/>
    <w:rsid w:val="00B93798"/>
    <w:rsid w:val="00B957C5"/>
    <w:rsid w:val="00B95AAD"/>
    <w:rsid w:val="00B964AC"/>
    <w:rsid w:val="00BA0491"/>
    <w:rsid w:val="00BA7291"/>
    <w:rsid w:val="00BB1157"/>
    <w:rsid w:val="00BB1BD5"/>
    <w:rsid w:val="00BB3A7D"/>
    <w:rsid w:val="00BB4041"/>
    <w:rsid w:val="00BB65BF"/>
    <w:rsid w:val="00BB751C"/>
    <w:rsid w:val="00BC1F9C"/>
    <w:rsid w:val="00BC20F6"/>
    <w:rsid w:val="00BC3A41"/>
    <w:rsid w:val="00BC5470"/>
    <w:rsid w:val="00BD3762"/>
    <w:rsid w:val="00BD3821"/>
    <w:rsid w:val="00BD43B2"/>
    <w:rsid w:val="00BD743C"/>
    <w:rsid w:val="00BD7AFB"/>
    <w:rsid w:val="00BE008D"/>
    <w:rsid w:val="00BE0C85"/>
    <w:rsid w:val="00BE2C70"/>
    <w:rsid w:val="00BE2F1B"/>
    <w:rsid w:val="00BE321A"/>
    <w:rsid w:val="00BE3505"/>
    <w:rsid w:val="00BE3878"/>
    <w:rsid w:val="00BE42C7"/>
    <w:rsid w:val="00BE63E9"/>
    <w:rsid w:val="00BE7340"/>
    <w:rsid w:val="00BF1F5B"/>
    <w:rsid w:val="00BF35DE"/>
    <w:rsid w:val="00BF3E35"/>
    <w:rsid w:val="00BF55E8"/>
    <w:rsid w:val="00BF62DE"/>
    <w:rsid w:val="00C01209"/>
    <w:rsid w:val="00C0558D"/>
    <w:rsid w:val="00C05DD6"/>
    <w:rsid w:val="00C05FD7"/>
    <w:rsid w:val="00C06222"/>
    <w:rsid w:val="00C0742A"/>
    <w:rsid w:val="00C1198C"/>
    <w:rsid w:val="00C12289"/>
    <w:rsid w:val="00C1648D"/>
    <w:rsid w:val="00C20439"/>
    <w:rsid w:val="00C23420"/>
    <w:rsid w:val="00C23488"/>
    <w:rsid w:val="00C234E2"/>
    <w:rsid w:val="00C24B90"/>
    <w:rsid w:val="00C24BBF"/>
    <w:rsid w:val="00C24C60"/>
    <w:rsid w:val="00C25137"/>
    <w:rsid w:val="00C30088"/>
    <w:rsid w:val="00C30A8F"/>
    <w:rsid w:val="00C324E2"/>
    <w:rsid w:val="00C32AAD"/>
    <w:rsid w:val="00C33872"/>
    <w:rsid w:val="00C36019"/>
    <w:rsid w:val="00C40780"/>
    <w:rsid w:val="00C42FF1"/>
    <w:rsid w:val="00C43EFC"/>
    <w:rsid w:val="00C44985"/>
    <w:rsid w:val="00C46B3D"/>
    <w:rsid w:val="00C50307"/>
    <w:rsid w:val="00C5116B"/>
    <w:rsid w:val="00C511A1"/>
    <w:rsid w:val="00C54C8E"/>
    <w:rsid w:val="00C579EF"/>
    <w:rsid w:val="00C57D00"/>
    <w:rsid w:val="00C60B01"/>
    <w:rsid w:val="00C6182A"/>
    <w:rsid w:val="00C61F8E"/>
    <w:rsid w:val="00C62376"/>
    <w:rsid w:val="00C652A8"/>
    <w:rsid w:val="00C6617C"/>
    <w:rsid w:val="00C664EC"/>
    <w:rsid w:val="00C700C2"/>
    <w:rsid w:val="00C705E7"/>
    <w:rsid w:val="00C72C4B"/>
    <w:rsid w:val="00C72F51"/>
    <w:rsid w:val="00C74162"/>
    <w:rsid w:val="00C747DC"/>
    <w:rsid w:val="00C76235"/>
    <w:rsid w:val="00C767DA"/>
    <w:rsid w:val="00C772C3"/>
    <w:rsid w:val="00C83476"/>
    <w:rsid w:val="00C837B8"/>
    <w:rsid w:val="00C84A04"/>
    <w:rsid w:val="00C8529F"/>
    <w:rsid w:val="00C87276"/>
    <w:rsid w:val="00C94640"/>
    <w:rsid w:val="00C94BF1"/>
    <w:rsid w:val="00C96079"/>
    <w:rsid w:val="00C978F5"/>
    <w:rsid w:val="00CA1C6A"/>
    <w:rsid w:val="00CA20CE"/>
    <w:rsid w:val="00CA3E1D"/>
    <w:rsid w:val="00CA701D"/>
    <w:rsid w:val="00CB4F44"/>
    <w:rsid w:val="00CB58E8"/>
    <w:rsid w:val="00CB6CF3"/>
    <w:rsid w:val="00CB7458"/>
    <w:rsid w:val="00CC3F30"/>
    <w:rsid w:val="00CC4080"/>
    <w:rsid w:val="00CC4F46"/>
    <w:rsid w:val="00CD4686"/>
    <w:rsid w:val="00CD77C9"/>
    <w:rsid w:val="00CD7A21"/>
    <w:rsid w:val="00CD7D0D"/>
    <w:rsid w:val="00CE1741"/>
    <w:rsid w:val="00CE7FAA"/>
    <w:rsid w:val="00CF1488"/>
    <w:rsid w:val="00CF4F09"/>
    <w:rsid w:val="00CF5B7E"/>
    <w:rsid w:val="00CF7C3C"/>
    <w:rsid w:val="00D01637"/>
    <w:rsid w:val="00D01A63"/>
    <w:rsid w:val="00D03D4B"/>
    <w:rsid w:val="00D05CB7"/>
    <w:rsid w:val="00D0707C"/>
    <w:rsid w:val="00D101A9"/>
    <w:rsid w:val="00D144CE"/>
    <w:rsid w:val="00D15516"/>
    <w:rsid w:val="00D1681F"/>
    <w:rsid w:val="00D22AF3"/>
    <w:rsid w:val="00D25159"/>
    <w:rsid w:val="00D305D6"/>
    <w:rsid w:val="00D3063D"/>
    <w:rsid w:val="00D345BE"/>
    <w:rsid w:val="00D34BE5"/>
    <w:rsid w:val="00D36BCC"/>
    <w:rsid w:val="00D36DB0"/>
    <w:rsid w:val="00D40E73"/>
    <w:rsid w:val="00D42099"/>
    <w:rsid w:val="00D4240C"/>
    <w:rsid w:val="00D44D57"/>
    <w:rsid w:val="00D46C6B"/>
    <w:rsid w:val="00D4751B"/>
    <w:rsid w:val="00D5138D"/>
    <w:rsid w:val="00D51C2E"/>
    <w:rsid w:val="00D53C10"/>
    <w:rsid w:val="00D54D12"/>
    <w:rsid w:val="00D54D5A"/>
    <w:rsid w:val="00D54DA5"/>
    <w:rsid w:val="00D57B49"/>
    <w:rsid w:val="00D63870"/>
    <w:rsid w:val="00D741F1"/>
    <w:rsid w:val="00D8578A"/>
    <w:rsid w:val="00D8775B"/>
    <w:rsid w:val="00D915EA"/>
    <w:rsid w:val="00DA29D3"/>
    <w:rsid w:val="00DA4C7B"/>
    <w:rsid w:val="00DA69EE"/>
    <w:rsid w:val="00DB09B3"/>
    <w:rsid w:val="00DB208D"/>
    <w:rsid w:val="00DB3090"/>
    <w:rsid w:val="00DC36F9"/>
    <w:rsid w:val="00DC3B33"/>
    <w:rsid w:val="00DC3E4A"/>
    <w:rsid w:val="00DC7A88"/>
    <w:rsid w:val="00DD042F"/>
    <w:rsid w:val="00DE2255"/>
    <w:rsid w:val="00DE2845"/>
    <w:rsid w:val="00DE2BF6"/>
    <w:rsid w:val="00DE3030"/>
    <w:rsid w:val="00DE4BB5"/>
    <w:rsid w:val="00DE5A55"/>
    <w:rsid w:val="00DE6994"/>
    <w:rsid w:val="00DF4B93"/>
    <w:rsid w:val="00DF76DD"/>
    <w:rsid w:val="00E00EC9"/>
    <w:rsid w:val="00E021B5"/>
    <w:rsid w:val="00E07E83"/>
    <w:rsid w:val="00E12237"/>
    <w:rsid w:val="00E14E38"/>
    <w:rsid w:val="00E16D64"/>
    <w:rsid w:val="00E17130"/>
    <w:rsid w:val="00E20DA2"/>
    <w:rsid w:val="00E21F18"/>
    <w:rsid w:val="00E245C6"/>
    <w:rsid w:val="00E258C2"/>
    <w:rsid w:val="00E320C5"/>
    <w:rsid w:val="00E34402"/>
    <w:rsid w:val="00E355F0"/>
    <w:rsid w:val="00E408EA"/>
    <w:rsid w:val="00E40AE1"/>
    <w:rsid w:val="00E438E2"/>
    <w:rsid w:val="00E442C6"/>
    <w:rsid w:val="00E44C16"/>
    <w:rsid w:val="00E45C29"/>
    <w:rsid w:val="00E51F03"/>
    <w:rsid w:val="00E52BD1"/>
    <w:rsid w:val="00E57BF4"/>
    <w:rsid w:val="00E60319"/>
    <w:rsid w:val="00E604EB"/>
    <w:rsid w:val="00E65649"/>
    <w:rsid w:val="00E65DA7"/>
    <w:rsid w:val="00E71494"/>
    <w:rsid w:val="00E7409A"/>
    <w:rsid w:val="00E76BF0"/>
    <w:rsid w:val="00E771AC"/>
    <w:rsid w:val="00E86251"/>
    <w:rsid w:val="00E87AE6"/>
    <w:rsid w:val="00E901AE"/>
    <w:rsid w:val="00E915E7"/>
    <w:rsid w:val="00EA047A"/>
    <w:rsid w:val="00EA10EB"/>
    <w:rsid w:val="00EA2CFB"/>
    <w:rsid w:val="00EA33B3"/>
    <w:rsid w:val="00EA3E94"/>
    <w:rsid w:val="00EA49E8"/>
    <w:rsid w:val="00EB07BD"/>
    <w:rsid w:val="00EB0C9C"/>
    <w:rsid w:val="00EB222F"/>
    <w:rsid w:val="00EB2787"/>
    <w:rsid w:val="00EB4038"/>
    <w:rsid w:val="00EB53BF"/>
    <w:rsid w:val="00EC1A6A"/>
    <w:rsid w:val="00EC2C66"/>
    <w:rsid w:val="00EC2C6C"/>
    <w:rsid w:val="00ED1CE7"/>
    <w:rsid w:val="00ED1F14"/>
    <w:rsid w:val="00ED30F2"/>
    <w:rsid w:val="00ED3898"/>
    <w:rsid w:val="00EE0167"/>
    <w:rsid w:val="00EE1256"/>
    <w:rsid w:val="00EE1455"/>
    <w:rsid w:val="00EE1FFF"/>
    <w:rsid w:val="00EE3781"/>
    <w:rsid w:val="00EE62CF"/>
    <w:rsid w:val="00EE773F"/>
    <w:rsid w:val="00EE7FEA"/>
    <w:rsid w:val="00EF0147"/>
    <w:rsid w:val="00EF25B5"/>
    <w:rsid w:val="00EF632F"/>
    <w:rsid w:val="00EF6CB4"/>
    <w:rsid w:val="00EF758F"/>
    <w:rsid w:val="00F00FCD"/>
    <w:rsid w:val="00F02357"/>
    <w:rsid w:val="00F035E9"/>
    <w:rsid w:val="00F0606B"/>
    <w:rsid w:val="00F06E1D"/>
    <w:rsid w:val="00F07CB0"/>
    <w:rsid w:val="00F12461"/>
    <w:rsid w:val="00F13A00"/>
    <w:rsid w:val="00F141EF"/>
    <w:rsid w:val="00F14374"/>
    <w:rsid w:val="00F16F5E"/>
    <w:rsid w:val="00F17113"/>
    <w:rsid w:val="00F236D8"/>
    <w:rsid w:val="00F2470A"/>
    <w:rsid w:val="00F2645C"/>
    <w:rsid w:val="00F31DA8"/>
    <w:rsid w:val="00F338D3"/>
    <w:rsid w:val="00F3696A"/>
    <w:rsid w:val="00F414B2"/>
    <w:rsid w:val="00F42570"/>
    <w:rsid w:val="00F43BDA"/>
    <w:rsid w:val="00F442AB"/>
    <w:rsid w:val="00F45937"/>
    <w:rsid w:val="00F47A07"/>
    <w:rsid w:val="00F47A27"/>
    <w:rsid w:val="00F47A53"/>
    <w:rsid w:val="00F504ED"/>
    <w:rsid w:val="00F529AE"/>
    <w:rsid w:val="00F53089"/>
    <w:rsid w:val="00F54BEC"/>
    <w:rsid w:val="00F54F57"/>
    <w:rsid w:val="00F550A0"/>
    <w:rsid w:val="00F55C52"/>
    <w:rsid w:val="00F57F7B"/>
    <w:rsid w:val="00F60E51"/>
    <w:rsid w:val="00F643C9"/>
    <w:rsid w:val="00F662CF"/>
    <w:rsid w:val="00F70458"/>
    <w:rsid w:val="00F7184F"/>
    <w:rsid w:val="00F72BDD"/>
    <w:rsid w:val="00F748C1"/>
    <w:rsid w:val="00F7649D"/>
    <w:rsid w:val="00F81FAC"/>
    <w:rsid w:val="00F82FB3"/>
    <w:rsid w:val="00F85F9F"/>
    <w:rsid w:val="00F9098F"/>
    <w:rsid w:val="00F9226F"/>
    <w:rsid w:val="00F934F4"/>
    <w:rsid w:val="00F94181"/>
    <w:rsid w:val="00F95F9E"/>
    <w:rsid w:val="00FA3741"/>
    <w:rsid w:val="00FA5C2D"/>
    <w:rsid w:val="00FA65F7"/>
    <w:rsid w:val="00FB04F8"/>
    <w:rsid w:val="00FB0958"/>
    <w:rsid w:val="00FB0D83"/>
    <w:rsid w:val="00FB2C09"/>
    <w:rsid w:val="00FB3C0A"/>
    <w:rsid w:val="00FB521C"/>
    <w:rsid w:val="00FB59AB"/>
    <w:rsid w:val="00FB65D0"/>
    <w:rsid w:val="00FB7D55"/>
    <w:rsid w:val="00FC2ED5"/>
    <w:rsid w:val="00FC64A5"/>
    <w:rsid w:val="00FC7230"/>
    <w:rsid w:val="00FD5C07"/>
    <w:rsid w:val="00FD5E29"/>
    <w:rsid w:val="00FD6D37"/>
    <w:rsid w:val="00FD7857"/>
    <w:rsid w:val="00FE1514"/>
    <w:rsid w:val="00FE1EB2"/>
    <w:rsid w:val="00FE1F33"/>
    <w:rsid w:val="00FE63A2"/>
    <w:rsid w:val="00FE7B24"/>
    <w:rsid w:val="00FF1F15"/>
    <w:rsid w:val="00FF333B"/>
    <w:rsid w:val="00FF5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2EC0F"/>
  <w15:chartTrackingRefBased/>
  <w15:docId w15:val="{3B07636F-9B32-4B42-B9CB-CFFA8940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9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0EC9"/>
    <w:rPr>
      <w:color w:val="0000FF"/>
      <w:u w:val="single"/>
    </w:rPr>
  </w:style>
  <w:style w:type="paragraph" w:styleId="ListParagraph">
    <w:name w:val="List Paragraph"/>
    <w:basedOn w:val="Normal"/>
    <w:uiPriority w:val="34"/>
    <w:qFormat/>
    <w:rsid w:val="006C00B4"/>
    <w:pPr>
      <w:ind w:left="720"/>
      <w:contextualSpacing/>
    </w:pPr>
  </w:style>
  <w:style w:type="paragraph" w:styleId="BalloonText">
    <w:name w:val="Balloon Text"/>
    <w:basedOn w:val="Normal"/>
    <w:link w:val="BalloonTextChar"/>
    <w:uiPriority w:val="99"/>
    <w:semiHidden/>
    <w:unhideWhenUsed/>
    <w:rsid w:val="001B32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29D"/>
    <w:rPr>
      <w:rFonts w:ascii="Segoe UI" w:hAnsi="Segoe UI" w:cs="Segoe UI"/>
      <w:sz w:val="18"/>
      <w:szCs w:val="18"/>
    </w:rPr>
  </w:style>
  <w:style w:type="character" w:styleId="PlaceholderText">
    <w:name w:val="Placeholder Text"/>
    <w:basedOn w:val="DefaultParagraphFont"/>
    <w:uiPriority w:val="99"/>
    <w:semiHidden/>
    <w:rsid w:val="00A5399A"/>
    <w:rPr>
      <w:color w:val="808080"/>
    </w:rPr>
  </w:style>
  <w:style w:type="table" w:styleId="TableGrid">
    <w:name w:val="Table Grid"/>
    <w:basedOn w:val="TableNormal"/>
    <w:uiPriority w:val="39"/>
    <w:rsid w:val="00F47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7940"/>
    <w:rPr>
      <w:rFonts w:asciiTheme="majorHAnsi" w:eastAsiaTheme="majorEastAsia" w:hAnsiTheme="majorHAnsi" w:cstheme="majorBidi"/>
      <w:color w:val="2F5496" w:themeColor="accent1" w:themeShade="BF"/>
      <w:sz w:val="32"/>
      <w:szCs w:val="32"/>
    </w:rPr>
  </w:style>
  <w:style w:type="paragraph" w:customStyle="1" w:styleId="csl-entry">
    <w:name w:val="csl-entry"/>
    <w:basedOn w:val="Normal"/>
    <w:rsid w:val="00B310C7"/>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150C50"/>
    <w:rPr>
      <w:color w:val="954F72" w:themeColor="followedHyperlink"/>
      <w:u w:val="single"/>
    </w:rPr>
  </w:style>
  <w:style w:type="paragraph" w:customStyle="1" w:styleId="paragraph">
    <w:name w:val="paragraph"/>
    <w:basedOn w:val="Normal"/>
    <w:rsid w:val="00072A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72A09"/>
  </w:style>
  <w:style w:type="character" w:customStyle="1" w:styleId="eop">
    <w:name w:val="eop"/>
    <w:basedOn w:val="DefaultParagraphFont"/>
    <w:rsid w:val="00072A09"/>
  </w:style>
  <w:style w:type="table" w:styleId="PlainTable1">
    <w:name w:val="Plain Table 1"/>
    <w:basedOn w:val="TableNormal"/>
    <w:uiPriority w:val="41"/>
    <w:rsid w:val="00975E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9E5743"/>
    <w:rPr>
      <w:sz w:val="16"/>
      <w:szCs w:val="16"/>
    </w:rPr>
  </w:style>
  <w:style w:type="paragraph" w:styleId="CommentText">
    <w:name w:val="annotation text"/>
    <w:basedOn w:val="Normal"/>
    <w:link w:val="CommentTextChar"/>
    <w:uiPriority w:val="99"/>
    <w:semiHidden/>
    <w:unhideWhenUsed/>
    <w:rsid w:val="009E5743"/>
    <w:pPr>
      <w:spacing w:line="240" w:lineRule="auto"/>
    </w:pPr>
    <w:rPr>
      <w:sz w:val="20"/>
      <w:szCs w:val="20"/>
    </w:rPr>
  </w:style>
  <w:style w:type="character" w:customStyle="1" w:styleId="CommentTextChar">
    <w:name w:val="Comment Text Char"/>
    <w:basedOn w:val="DefaultParagraphFont"/>
    <w:link w:val="CommentText"/>
    <w:uiPriority w:val="99"/>
    <w:semiHidden/>
    <w:rsid w:val="009E5743"/>
    <w:rPr>
      <w:sz w:val="20"/>
      <w:szCs w:val="20"/>
    </w:rPr>
  </w:style>
  <w:style w:type="paragraph" w:styleId="CommentSubject">
    <w:name w:val="annotation subject"/>
    <w:basedOn w:val="CommentText"/>
    <w:next w:val="CommentText"/>
    <w:link w:val="CommentSubjectChar"/>
    <w:uiPriority w:val="99"/>
    <w:semiHidden/>
    <w:unhideWhenUsed/>
    <w:rsid w:val="009E5743"/>
    <w:rPr>
      <w:b/>
      <w:bCs/>
    </w:rPr>
  </w:style>
  <w:style w:type="character" w:customStyle="1" w:styleId="CommentSubjectChar">
    <w:name w:val="Comment Subject Char"/>
    <w:basedOn w:val="CommentTextChar"/>
    <w:link w:val="CommentSubject"/>
    <w:uiPriority w:val="99"/>
    <w:semiHidden/>
    <w:rsid w:val="009E5743"/>
    <w:rPr>
      <w:b/>
      <w:bCs/>
      <w:sz w:val="20"/>
      <w:szCs w:val="20"/>
    </w:rPr>
  </w:style>
  <w:style w:type="paragraph" w:styleId="Header">
    <w:name w:val="header"/>
    <w:basedOn w:val="Normal"/>
    <w:link w:val="HeaderChar"/>
    <w:uiPriority w:val="99"/>
    <w:unhideWhenUsed/>
    <w:rsid w:val="00222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1FB"/>
  </w:style>
  <w:style w:type="paragraph" w:styleId="Footer">
    <w:name w:val="footer"/>
    <w:basedOn w:val="Normal"/>
    <w:link w:val="FooterChar"/>
    <w:uiPriority w:val="99"/>
    <w:unhideWhenUsed/>
    <w:rsid w:val="00222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131">
      <w:bodyDiv w:val="1"/>
      <w:marLeft w:val="0"/>
      <w:marRight w:val="0"/>
      <w:marTop w:val="0"/>
      <w:marBottom w:val="0"/>
      <w:divBdr>
        <w:top w:val="none" w:sz="0" w:space="0" w:color="auto"/>
        <w:left w:val="none" w:sz="0" w:space="0" w:color="auto"/>
        <w:bottom w:val="none" w:sz="0" w:space="0" w:color="auto"/>
        <w:right w:val="none" w:sz="0" w:space="0" w:color="auto"/>
      </w:divBdr>
    </w:div>
    <w:div w:id="3556091">
      <w:bodyDiv w:val="1"/>
      <w:marLeft w:val="0"/>
      <w:marRight w:val="0"/>
      <w:marTop w:val="0"/>
      <w:marBottom w:val="0"/>
      <w:divBdr>
        <w:top w:val="none" w:sz="0" w:space="0" w:color="auto"/>
        <w:left w:val="none" w:sz="0" w:space="0" w:color="auto"/>
        <w:bottom w:val="none" w:sz="0" w:space="0" w:color="auto"/>
        <w:right w:val="none" w:sz="0" w:space="0" w:color="auto"/>
      </w:divBdr>
    </w:div>
    <w:div w:id="16582244">
      <w:bodyDiv w:val="1"/>
      <w:marLeft w:val="0"/>
      <w:marRight w:val="0"/>
      <w:marTop w:val="0"/>
      <w:marBottom w:val="0"/>
      <w:divBdr>
        <w:top w:val="none" w:sz="0" w:space="0" w:color="auto"/>
        <w:left w:val="none" w:sz="0" w:space="0" w:color="auto"/>
        <w:bottom w:val="none" w:sz="0" w:space="0" w:color="auto"/>
        <w:right w:val="none" w:sz="0" w:space="0" w:color="auto"/>
      </w:divBdr>
    </w:div>
    <w:div w:id="19208153">
      <w:bodyDiv w:val="1"/>
      <w:marLeft w:val="0"/>
      <w:marRight w:val="0"/>
      <w:marTop w:val="0"/>
      <w:marBottom w:val="0"/>
      <w:divBdr>
        <w:top w:val="none" w:sz="0" w:space="0" w:color="auto"/>
        <w:left w:val="none" w:sz="0" w:space="0" w:color="auto"/>
        <w:bottom w:val="none" w:sz="0" w:space="0" w:color="auto"/>
        <w:right w:val="none" w:sz="0" w:space="0" w:color="auto"/>
      </w:divBdr>
    </w:div>
    <w:div w:id="25378864">
      <w:bodyDiv w:val="1"/>
      <w:marLeft w:val="0"/>
      <w:marRight w:val="0"/>
      <w:marTop w:val="0"/>
      <w:marBottom w:val="0"/>
      <w:divBdr>
        <w:top w:val="none" w:sz="0" w:space="0" w:color="auto"/>
        <w:left w:val="none" w:sz="0" w:space="0" w:color="auto"/>
        <w:bottom w:val="none" w:sz="0" w:space="0" w:color="auto"/>
        <w:right w:val="none" w:sz="0" w:space="0" w:color="auto"/>
      </w:divBdr>
    </w:div>
    <w:div w:id="26949105">
      <w:bodyDiv w:val="1"/>
      <w:marLeft w:val="0"/>
      <w:marRight w:val="0"/>
      <w:marTop w:val="0"/>
      <w:marBottom w:val="0"/>
      <w:divBdr>
        <w:top w:val="none" w:sz="0" w:space="0" w:color="auto"/>
        <w:left w:val="none" w:sz="0" w:space="0" w:color="auto"/>
        <w:bottom w:val="none" w:sz="0" w:space="0" w:color="auto"/>
        <w:right w:val="none" w:sz="0" w:space="0" w:color="auto"/>
      </w:divBdr>
    </w:div>
    <w:div w:id="32466544">
      <w:bodyDiv w:val="1"/>
      <w:marLeft w:val="0"/>
      <w:marRight w:val="0"/>
      <w:marTop w:val="0"/>
      <w:marBottom w:val="0"/>
      <w:divBdr>
        <w:top w:val="none" w:sz="0" w:space="0" w:color="auto"/>
        <w:left w:val="none" w:sz="0" w:space="0" w:color="auto"/>
        <w:bottom w:val="none" w:sz="0" w:space="0" w:color="auto"/>
        <w:right w:val="none" w:sz="0" w:space="0" w:color="auto"/>
      </w:divBdr>
    </w:div>
    <w:div w:id="42753935">
      <w:bodyDiv w:val="1"/>
      <w:marLeft w:val="0"/>
      <w:marRight w:val="0"/>
      <w:marTop w:val="0"/>
      <w:marBottom w:val="0"/>
      <w:divBdr>
        <w:top w:val="none" w:sz="0" w:space="0" w:color="auto"/>
        <w:left w:val="none" w:sz="0" w:space="0" w:color="auto"/>
        <w:bottom w:val="none" w:sz="0" w:space="0" w:color="auto"/>
        <w:right w:val="none" w:sz="0" w:space="0" w:color="auto"/>
      </w:divBdr>
    </w:div>
    <w:div w:id="62725615">
      <w:bodyDiv w:val="1"/>
      <w:marLeft w:val="0"/>
      <w:marRight w:val="0"/>
      <w:marTop w:val="0"/>
      <w:marBottom w:val="0"/>
      <w:divBdr>
        <w:top w:val="none" w:sz="0" w:space="0" w:color="auto"/>
        <w:left w:val="none" w:sz="0" w:space="0" w:color="auto"/>
        <w:bottom w:val="none" w:sz="0" w:space="0" w:color="auto"/>
        <w:right w:val="none" w:sz="0" w:space="0" w:color="auto"/>
      </w:divBdr>
    </w:div>
    <w:div w:id="68505013">
      <w:bodyDiv w:val="1"/>
      <w:marLeft w:val="0"/>
      <w:marRight w:val="0"/>
      <w:marTop w:val="0"/>
      <w:marBottom w:val="0"/>
      <w:divBdr>
        <w:top w:val="none" w:sz="0" w:space="0" w:color="auto"/>
        <w:left w:val="none" w:sz="0" w:space="0" w:color="auto"/>
        <w:bottom w:val="none" w:sz="0" w:space="0" w:color="auto"/>
        <w:right w:val="none" w:sz="0" w:space="0" w:color="auto"/>
      </w:divBdr>
    </w:div>
    <w:div w:id="83918507">
      <w:bodyDiv w:val="1"/>
      <w:marLeft w:val="0"/>
      <w:marRight w:val="0"/>
      <w:marTop w:val="0"/>
      <w:marBottom w:val="0"/>
      <w:divBdr>
        <w:top w:val="none" w:sz="0" w:space="0" w:color="auto"/>
        <w:left w:val="none" w:sz="0" w:space="0" w:color="auto"/>
        <w:bottom w:val="none" w:sz="0" w:space="0" w:color="auto"/>
        <w:right w:val="none" w:sz="0" w:space="0" w:color="auto"/>
      </w:divBdr>
    </w:div>
    <w:div w:id="84233570">
      <w:bodyDiv w:val="1"/>
      <w:marLeft w:val="0"/>
      <w:marRight w:val="0"/>
      <w:marTop w:val="0"/>
      <w:marBottom w:val="0"/>
      <w:divBdr>
        <w:top w:val="none" w:sz="0" w:space="0" w:color="auto"/>
        <w:left w:val="none" w:sz="0" w:space="0" w:color="auto"/>
        <w:bottom w:val="none" w:sz="0" w:space="0" w:color="auto"/>
        <w:right w:val="none" w:sz="0" w:space="0" w:color="auto"/>
      </w:divBdr>
    </w:div>
    <w:div w:id="85154828">
      <w:bodyDiv w:val="1"/>
      <w:marLeft w:val="0"/>
      <w:marRight w:val="0"/>
      <w:marTop w:val="0"/>
      <w:marBottom w:val="0"/>
      <w:divBdr>
        <w:top w:val="none" w:sz="0" w:space="0" w:color="auto"/>
        <w:left w:val="none" w:sz="0" w:space="0" w:color="auto"/>
        <w:bottom w:val="none" w:sz="0" w:space="0" w:color="auto"/>
        <w:right w:val="none" w:sz="0" w:space="0" w:color="auto"/>
      </w:divBdr>
    </w:div>
    <w:div w:id="89086098">
      <w:bodyDiv w:val="1"/>
      <w:marLeft w:val="0"/>
      <w:marRight w:val="0"/>
      <w:marTop w:val="0"/>
      <w:marBottom w:val="0"/>
      <w:divBdr>
        <w:top w:val="none" w:sz="0" w:space="0" w:color="auto"/>
        <w:left w:val="none" w:sz="0" w:space="0" w:color="auto"/>
        <w:bottom w:val="none" w:sz="0" w:space="0" w:color="auto"/>
        <w:right w:val="none" w:sz="0" w:space="0" w:color="auto"/>
      </w:divBdr>
    </w:div>
    <w:div w:id="89472884">
      <w:bodyDiv w:val="1"/>
      <w:marLeft w:val="0"/>
      <w:marRight w:val="0"/>
      <w:marTop w:val="0"/>
      <w:marBottom w:val="0"/>
      <w:divBdr>
        <w:top w:val="none" w:sz="0" w:space="0" w:color="auto"/>
        <w:left w:val="none" w:sz="0" w:space="0" w:color="auto"/>
        <w:bottom w:val="none" w:sz="0" w:space="0" w:color="auto"/>
        <w:right w:val="none" w:sz="0" w:space="0" w:color="auto"/>
      </w:divBdr>
    </w:div>
    <w:div w:id="95250258">
      <w:bodyDiv w:val="1"/>
      <w:marLeft w:val="0"/>
      <w:marRight w:val="0"/>
      <w:marTop w:val="0"/>
      <w:marBottom w:val="0"/>
      <w:divBdr>
        <w:top w:val="none" w:sz="0" w:space="0" w:color="auto"/>
        <w:left w:val="none" w:sz="0" w:space="0" w:color="auto"/>
        <w:bottom w:val="none" w:sz="0" w:space="0" w:color="auto"/>
        <w:right w:val="none" w:sz="0" w:space="0" w:color="auto"/>
      </w:divBdr>
    </w:div>
    <w:div w:id="113255256">
      <w:bodyDiv w:val="1"/>
      <w:marLeft w:val="0"/>
      <w:marRight w:val="0"/>
      <w:marTop w:val="0"/>
      <w:marBottom w:val="0"/>
      <w:divBdr>
        <w:top w:val="none" w:sz="0" w:space="0" w:color="auto"/>
        <w:left w:val="none" w:sz="0" w:space="0" w:color="auto"/>
        <w:bottom w:val="none" w:sz="0" w:space="0" w:color="auto"/>
        <w:right w:val="none" w:sz="0" w:space="0" w:color="auto"/>
      </w:divBdr>
    </w:div>
    <w:div w:id="120921726">
      <w:bodyDiv w:val="1"/>
      <w:marLeft w:val="0"/>
      <w:marRight w:val="0"/>
      <w:marTop w:val="0"/>
      <w:marBottom w:val="0"/>
      <w:divBdr>
        <w:top w:val="none" w:sz="0" w:space="0" w:color="auto"/>
        <w:left w:val="none" w:sz="0" w:space="0" w:color="auto"/>
        <w:bottom w:val="none" w:sz="0" w:space="0" w:color="auto"/>
        <w:right w:val="none" w:sz="0" w:space="0" w:color="auto"/>
      </w:divBdr>
    </w:div>
    <w:div w:id="122886830">
      <w:bodyDiv w:val="1"/>
      <w:marLeft w:val="0"/>
      <w:marRight w:val="0"/>
      <w:marTop w:val="0"/>
      <w:marBottom w:val="0"/>
      <w:divBdr>
        <w:top w:val="none" w:sz="0" w:space="0" w:color="auto"/>
        <w:left w:val="none" w:sz="0" w:space="0" w:color="auto"/>
        <w:bottom w:val="none" w:sz="0" w:space="0" w:color="auto"/>
        <w:right w:val="none" w:sz="0" w:space="0" w:color="auto"/>
      </w:divBdr>
    </w:div>
    <w:div w:id="124855247">
      <w:bodyDiv w:val="1"/>
      <w:marLeft w:val="0"/>
      <w:marRight w:val="0"/>
      <w:marTop w:val="0"/>
      <w:marBottom w:val="0"/>
      <w:divBdr>
        <w:top w:val="none" w:sz="0" w:space="0" w:color="auto"/>
        <w:left w:val="none" w:sz="0" w:space="0" w:color="auto"/>
        <w:bottom w:val="none" w:sz="0" w:space="0" w:color="auto"/>
        <w:right w:val="none" w:sz="0" w:space="0" w:color="auto"/>
      </w:divBdr>
    </w:div>
    <w:div w:id="134184082">
      <w:bodyDiv w:val="1"/>
      <w:marLeft w:val="0"/>
      <w:marRight w:val="0"/>
      <w:marTop w:val="0"/>
      <w:marBottom w:val="0"/>
      <w:divBdr>
        <w:top w:val="none" w:sz="0" w:space="0" w:color="auto"/>
        <w:left w:val="none" w:sz="0" w:space="0" w:color="auto"/>
        <w:bottom w:val="none" w:sz="0" w:space="0" w:color="auto"/>
        <w:right w:val="none" w:sz="0" w:space="0" w:color="auto"/>
      </w:divBdr>
    </w:div>
    <w:div w:id="141970941">
      <w:bodyDiv w:val="1"/>
      <w:marLeft w:val="0"/>
      <w:marRight w:val="0"/>
      <w:marTop w:val="0"/>
      <w:marBottom w:val="0"/>
      <w:divBdr>
        <w:top w:val="none" w:sz="0" w:space="0" w:color="auto"/>
        <w:left w:val="none" w:sz="0" w:space="0" w:color="auto"/>
        <w:bottom w:val="none" w:sz="0" w:space="0" w:color="auto"/>
        <w:right w:val="none" w:sz="0" w:space="0" w:color="auto"/>
      </w:divBdr>
    </w:div>
    <w:div w:id="152334860">
      <w:bodyDiv w:val="1"/>
      <w:marLeft w:val="0"/>
      <w:marRight w:val="0"/>
      <w:marTop w:val="0"/>
      <w:marBottom w:val="0"/>
      <w:divBdr>
        <w:top w:val="none" w:sz="0" w:space="0" w:color="auto"/>
        <w:left w:val="none" w:sz="0" w:space="0" w:color="auto"/>
        <w:bottom w:val="none" w:sz="0" w:space="0" w:color="auto"/>
        <w:right w:val="none" w:sz="0" w:space="0" w:color="auto"/>
      </w:divBdr>
    </w:div>
    <w:div w:id="156847861">
      <w:bodyDiv w:val="1"/>
      <w:marLeft w:val="0"/>
      <w:marRight w:val="0"/>
      <w:marTop w:val="0"/>
      <w:marBottom w:val="0"/>
      <w:divBdr>
        <w:top w:val="none" w:sz="0" w:space="0" w:color="auto"/>
        <w:left w:val="none" w:sz="0" w:space="0" w:color="auto"/>
        <w:bottom w:val="none" w:sz="0" w:space="0" w:color="auto"/>
        <w:right w:val="none" w:sz="0" w:space="0" w:color="auto"/>
      </w:divBdr>
    </w:div>
    <w:div w:id="157886251">
      <w:bodyDiv w:val="1"/>
      <w:marLeft w:val="0"/>
      <w:marRight w:val="0"/>
      <w:marTop w:val="0"/>
      <w:marBottom w:val="0"/>
      <w:divBdr>
        <w:top w:val="none" w:sz="0" w:space="0" w:color="auto"/>
        <w:left w:val="none" w:sz="0" w:space="0" w:color="auto"/>
        <w:bottom w:val="none" w:sz="0" w:space="0" w:color="auto"/>
        <w:right w:val="none" w:sz="0" w:space="0" w:color="auto"/>
      </w:divBdr>
    </w:div>
    <w:div w:id="159584480">
      <w:bodyDiv w:val="1"/>
      <w:marLeft w:val="0"/>
      <w:marRight w:val="0"/>
      <w:marTop w:val="0"/>
      <w:marBottom w:val="0"/>
      <w:divBdr>
        <w:top w:val="none" w:sz="0" w:space="0" w:color="auto"/>
        <w:left w:val="none" w:sz="0" w:space="0" w:color="auto"/>
        <w:bottom w:val="none" w:sz="0" w:space="0" w:color="auto"/>
        <w:right w:val="none" w:sz="0" w:space="0" w:color="auto"/>
      </w:divBdr>
    </w:div>
    <w:div w:id="164059614">
      <w:bodyDiv w:val="1"/>
      <w:marLeft w:val="0"/>
      <w:marRight w:val="0"/>
      <w:marTop w:val="0"/>
      <w:marBottom w:val="0"/>
      <w:divBdr>
        <w:top w:val="none" w:sz="0" w:space="0" w:color="auto"/>
        <w:left w:val="none" w:sz="0" w:space="0" w:color="auto"/>
        <w:bottom w:val="none" w:sz="0" w:space="0" w:color="auto"/>
        <w:right w:val="none" w:sz="0" w:space="0" w:color="auto"/>
      </w:divBdr>
    </w:div>
    <w:div w:id="172653111">
      <w:bodyDiv w:val="1"/>
      <w:marLeft w:val="0"/>
      <w:marRight w:val="0"/>
      <w:marTop w:val="0"/>
      <w:marBottom w:val="0"/>
      <w:divBdr>
        <w:top w:val="none" w:sz="0" w:space="0" w:color="auto"/>
        <w:left w:val="none" w:sz="0" w:space="0" w:color="auto"/>
        <w:bottom w:val="none" w:sz="0" w:space="0" w:color="auto"/>
        <w:right w:val="none" w:sz="0" w:space="0" w:color="auto"/>
      </w:divBdr>
    </w:div>
    <w:div w:id="184053849">
      <w:bodyDiv w:val="1"/>
      <w:marLeft w:val="0"/>
      <w:marRight w:val="0"/>
      <w:marTop w:val="0"/>
      <w:marBottom w:val="0"/>
      <w:divBdr>
        <w:top w:val="none" w:sz="0" w:space="0" w:color="auto"/>
        <w:left w:val="none" w:sz="0" w:space="0" w:color="auto"/>
        <w:bottom w:val="none" w:sz="0" w:space="0" w:color="auto"/>
        <w:right w:val="none" w:sz="0" w:space="0" w:color="auto"/>
      </w:divBdr>
    </w:div>
    <w:div w:id="188877159">
      <w:bodyDiv w:val="1"/>
      <w:marLeft w:val="0"/>
      <w:marRight w:val="0"/>
      <w:marTop w:val="0"/>
      <w:marBottom w:val="0"/>
      <w:divBdr>
        <w:top w:val="none" w:sz="0" w:space="0" w:color="auto"/>
        <w:left w:val="none" w:sz="0" w:space="0" w:color="auto"/>
        <w:bottom w:val="none" w:sz="0" w:space="0" w:color="auto"/>
        <w:right w:val="none" w:sz="0" w:space="0" w:color="auto"/>
      </w:divBdr>
    </w:div>
    <w:div w:id="193545025">
      <w:bodyDiv w:val="1"/>
      <w:marLeft w:val="0"/>
      <w:marRight w:val="0"/>
      <w:marTop w:val="0"/>
      <w:marBottom w:val="0"/>
      <w:divBdr>
        <w:top w:val="none" w:sz="0" w:space="0" w:color="auto"/>
        <w:left w:val="none" w:sz="0" w:space="0" w:color="auto"/>
        <w:bottom w:val="none" w:sz="0" w:space="0" w:color="auto"/>
        <w:right w:val="none" w:sz="0" w:space="0" w:color="auto"/>
      </w:divBdr>
    </w:div>
    <w:div w:id="194851739">
      <w:bodyDiv w:val="1"/>
      <w:marLeft w:val="0"/>
      <w:marRight w:val="0"/>
      <w:marTop w:val="0"/>
      <w:marBottom w:val="0"/>
      <w:divBdr>
        <w:top w:val="none" w:sz="0" w:space="0" w:color="auto"/>
        <w:left w:val="none" w:sz="0" w:space="0" w:color="auto"/>
        <w:bottom w:val="none" w:sz="0" w:space="0" w:color="auto"/>
        <w:right w:val="none" w:sz="0" w:space="0" w:color="auto"/>
      </w:divBdr>
    </w:div>
    <w:div w:id="195581419">
      <w:bodyDiv w:val="1"/>
      <w:marLeft w:val="0"/>
      <w:marRight w:val="0"/>
      <w:marTop w:val="0"/>
      <w:marBottom w:val="0"/>
      <w:divBdr>
        <w:top w:val="none" w:sz="0" w:space="0" w:color="auto"/>
        <w:left w:val="none" w:sz="0" w:space="0" w:color="auto"/>
        <w:bottom w:val="none" w:sz="0" w:space="0" w:color="auto"/>
        <w:right w:val="none" w:sz="0" w:space="0" w:color="auto"/>
      </w:divBdr>
    </w:div>
    <w:div w:id="196937090">
      <w:bodyDiv w:val="1"/>
      <w:marLeft w:val="0"/>
      <w:marRight w:val="0"/>
      <w:marTop w:val="0"/>
      <w:marBottom w:val="0"/>
      <w:divBdr>
        <w:top w:val="none" w:sz="0" w:space="0" w:color="auto"/>
        <w:left w:val="none" w:sz="0" w:space="0" w:color="auto"/>
        <w:bottom w:val="none" w:sz="0" w:space="0" w:color="auto"/>
        <w:right w:val="none" w:sz="0" w:space="0" w:color="auto"/>
      </w:divBdr>
    </w:div>
    <w:div w:id="198204422">
      <w:bodyDiv w:val="1"/>
      <w:marLeft w:val="0"/>
      <w:marRight w:val="0"/>
      <w:marTop w:val="0"/>
      <w:marBottom w:val="0"/>
      <w:divBdr>
        <w:top w:val="none" w:sz="0" w:space="0" w:color="auto"/>
        <w:left w:val="none" w:sz="0" w:space="0" w:color="auto"/>
        <w:bottom w:val="none" w:sz="0" w:space="0" w:color="auto"/>
        <w:right w:val="none" w:sz="0" w:space="0" w:color="auto"/>
      </w:divBdr>
    </w:div>
    <w:div w:id="199241469">
      <w:bodyDiv w:val="1"/>
      <w:marLeft w:val="0"/>
      <w:marRight w:val="0"/>
      <w:marTop w:val="0"/>
      <w:marBottom w:val="0"/>
      <w:divBdr>
        <w:top w:val="none" w:sz="0" w:space="0" w:color="auto"/>
        <w:left w:val="none" w:sz="0" w:space="0" w:color="auto"/>
        <w:bottom w:val="none" w:sz="0" w:space="0" w:color="auto"/>
        <w:right w:val="none" w:sz="0" w:space="0" w:color="auto"/>
      </w:divBdr>
    </w:div>
    <w:div w:id="200094964">
      <w:bodyDiv w:val="1"/>
      <w:marLeft w:val="0"/>
      <w:marRight w:val="0"/>
      <w:marTop w:val="0"/>
      <w:marBottom w:val="0"/>
      <w:divBdr>
        <w:top w:val="none" w:sz="0" w:space="0" w:color="auto"/>
        <w:left w:val="none" w:sz="0" w:space="0" w:color="auto"/>
        <w:bottom w:val="none" w:sz="0" w:space="0" w:color="auto"/>
        <w:right w:val="none" w:sz="0" w:space="0" w:color="auto"/>
      </w:divBdr>
    </w:div>
    <w:div w:id="200482928">
      <w:bodyDiv w:val="1"/>
      <w:marLeft w:val="0"/>
      <w:marRight w:val="0"/>
      <w:marTop w:val="0"/>
      <w:marBottom w:val="0"/>
      <w:divBdr>
        <w:top w:val="none" w:sz="0" w:space="0" w:color="auto"/>
        <w:left w:val="none" w:sz="0" w:space="0" w:color="auto"/>
        <w:bottom w:val="none" w:sz="0" w:space="0" w:color="auto"/>
        <w:right w:val="none" w:sz="0" w:space="0" w:color="auto"/>
      </w:divBdr>
    </w:div>
    <w:div w:id="203715273">
      <w:bodyDiv w:val="1"/>
      <w:marLeft w:val="0"/>
      <w:marRight w:val="0"/>
      <w:marTop w:val="0"/>
      <w:marBottom w:val="0"/>
      <w:divBdr>
        <w:top w:val="none" w:sz="0" w:space="0" w:color="auto"/>
        <w:left w:val="none" w:sz="0" w:space="0" w:color="auto"/>
        <w:bottom w:val="none" w:sz="0" w:space="0" w:color="auto"/>
        <w:right w:val="none" w:sz="0" w:space="0" w:color="auto"/>
      </w:divBdr>
    </w:div>
    <w:div w:id="205993706">
      <w:bodyDiv w:val="1"/>
      <w:marLeft w:val="0"/>
      <w:marRight w:val="0"/>
      <w:marTop w:val="0"/>
      <w:marBottom w:val="0"/>
      <w:divBdr>
        <w:top w:val="none" w:sz="0" w:space="0" w:color="auto"/>
        <w:left w:val="none" w:sz="0" w:space="0" w:color="auto"/>
        <w:bottom w:val="none" w:sz="0" w:space="0" w:color="auto"/>
        <w:right w:val="none" w:sz="0" w:space="0" w:color="auto"/>
      </w:divBdr>
    </w:div>
    <w:div w:id="207646823">
      <w:bodyDiv w:val="1"/>
      <w:marLeft w:val="0"/>
      <w:marRight w:val="0"/>
      <w:marTop w:val="0"/>
      <w:marBottom w:val="0"/>
      <w:divBdr>
        <w:top w:val="none" w:sz="0" w:space="0" w:color="auto"/>
        <w:left w:val="none" w:sz="0" w:space="0" w:color="auto"/>
        <w:bottom w:val="none" w:sz="0" w:space="0" w:color="auto"/>
        <w:right w:val="none" w:sz="0" w:space="0" w:color="auto"/>
      </w:divBdr>
    </w:div>
    <w:div w:id="217326803">
      <w:bodyDiv w:val="1"/>
      <w:marLeft w:val="0"/>
      <w:marRight w:val="0"/>
      <w:marTop w:val="0"/>
      <w:marBottom w:val="0"/>
      <w:divBdr>
        <w:top w:val="none" w:sz="0" w:space="0" w:color="auto"/>
        <w:left w:val="none" w:sz="0" w:space="0" w:color="auto"/>
        <w:bottom w:val="none" w:sz="0" w:space="0" w:color="auto"/>
        <w:right w:val="none" w:sz="0" w:space="0" w:color="auto"/>
      </w:divBdr>
    </w:div>
    <w:div w:id="221257266">
      <w:bodyDiv w:val="1"/>
      <w:marLeft w:val="0"/>
      <w:marRight w:val="0"/>
      <w:marTop w:val="0"/>
      <w:marBottom w:val="0"/>
      <w:divBdr>
        <w:top w:val="none" w:sz="0" w:space="0" w:color="auto"/>
        <w:left w:val="none" w:sz="0" w:space="0" w:color="auto"/>
        <w:bottom w:val="none" w:sz="0" w:space="0" w:color="auto"/>
        <w:right w:val="none" w:sz="0" w:space="0" w:color="auto"/>
      </w:divBdr>
    </w:div>
    <w:div w:id="224146946">
      <w:bodyDiv w:val="1"/>
      <w:marLeft w:val="0"/>
      <w:marRight w:val="0"/>
      <w:marTop w:val="0"/>
      <w:marBottom w:val="0"/>
      <w:divBdr>
        <w:top w:val="none" w:sz="0" w:space="0" w:color="auto"/>
        <w:left w:val="none" w:sz="0" w:space="0" w:color="auto"/>
        <w:bottom w:val="none" w:sz="0" w:space="0" w:color="auto"/>
        <w:right w:val="none" w:sz="0" w:space="0" w:color="auto"/>
      </w:divBdr>
    </w:div>
    <w:div w:id="227812555">
      <w:bodyDiv w:val="1"/>
      <w:marLeft w:val="0"/>
      <w:marRight w:val="0"/>
      <w:marTop w:val="0"/>
      <w:marBottom w:val="0"/>
      <w:divBdr>
        <w:top w:val="none" w:sz="0" w:space="0" w:color="auto"/>
        <w:left w:val="none" w:sz="0" w:space="0" w:color="auto"/>
        <w:bottom w:val="none" w:sz="0" w:space="0" w:color="auto"/>
        <w:right w:val="none" w:sz="0" w:space="0" w:color="auto"/>
      </w:divBdr>
    </w:div>
    <w:div w:id="248775050">
      <w:bodyDiv w:val="1"/>
      <w:marLeft w:val="0"/>
      <w:marRight w:val="0"/>
      <w:marTop w:val="0"/>
      <w:marBottom w:val="0"/>
      <w:divBdr>
        <w:top w:val="none" w:sz="0" w:space="0" w:color="auto"/>
        <w:left w:val="none" w:sz="0" w:space="0" w:color="auto"/>
        <w:bottom w:val="none" w:sz="0" w:space="0" w:color="auto"/>
        <w:right w:val="none" w:sz="0" w:space="0" w:color="auto"/>
      </w:divBdr>
    </w:div>
    <w:div w:id="257832498">
      <w:bodyDiv w:val="1"/>
      <w:marLeft w:val="0"/>
      <w:marRight w:val="0"/>
      <w:marTop w:val="0"/>
      <w:marBottom w:val="0"/>
      <w:divBdr>
        <w:top w:val="none" w:sz="0" w:space="0" w:color="auto"/>
        <w:left w:val="none" w:sz="0" w:space="0" w:color="auto"/>
        <w:bottom w:val="none" w:sz="0" w:space="0" w:color="auto"/>
        <w:right w:val="none" w:sz="0" w:space="0" w:color="auto"/>
      </w:divBdr>
    </w:div>
    <w:div w:id="264271586">
      <w:bodyDiv w:val="1"/>
      <w:marLeft w:val="0"/>
      <w:marRight w:val="0"/>
      <w:marTop w:val="0"/>
      <w:marBottom w:val="0"/>
      <w:divBdr>
        <w:top w:val="none" w:sz="0" w:space="0" w:color="auto"/>
        <w:left w:val="none" w:sz="0" w:space="0" w:color="auto"/>
        <w:bottom w:val="none" w:sz="0" w:space="0" w:color="auto"/>
        <w:right w:val="none" w:sz="0" w:space="0" w:color="auto"/>
      </w:divBdr>
    </w:div>
    <w:div w:id="265112421">
      <w:bodyDiv w:val="1"/>
      <w:marLeft w:val="0"/>
      <w:marRight w:val="0"/>
      <w:marTop w:val="0"/>
      <w:marBottom w:val="0"/>
      <w:divBdr>
        <w:top w:val="none" w:sz="0" w:space="0" w:color="auto"/>
        <w:left w:val="none" w:sz="0" w:space="0" w:color="auto"/>
        <w:bottom w:val="none" w:sz="0" w:space="0" w:color="auto"/>
        <w:right w:val="none" w:sz="0" w:space="0" w:color="auto"/>
      </w:divBdr>
    </w:div>
    <w:div w:id="268851043">
      <w:bodyDiv w:val="1"/>
      <w:marLeft w:val="0"/>
      <w:marRight w:val="0"/>
      <w:marTop w:val="0"/>
      <w:marBottom w:val="0"/>
      <w:divBdr>
        <w:top w:val="none" w:sz="0" w:space="0" w:color="auto"/>
        <w:left w:val="none" w:sz="0" w:space="0" w:color="auto"/>
        <w:bottom w:val="none" w:sz="0" w:space="0" w:color="auto"/>
        <w:right w:val="none" w:sz="0" w:space="0" w:color="auto"/>
      </w:divBdr>
    </w:div>
    <w:div w:id="270204946">
      <w:bodyDiv w:val="1"/>
      <w:marLeft w:val="0"/>
      <w:marRight w:val="0"/>
      <w:marTop w:val="0"/>
      <w:marBottom w:val="0"/>
      <w:divBdr>
        <w:top w:val="none" w:sz="0" w:space="0" w:color="auto"/>
        <w:left w:val="none" w:sz="0" w:space="0" w:color="auto"/>
        <w:bottom w:val="none" w:sz="0" w:space="0" w:color="auto"/>
        <w:right w:val="none" w:sz="0" w:space="0" w:color="auto"/>
      </w:divBdr>
    </w:div>
    <w:div w:id="273708471">
      <w:bodyDiv w:val="1"/>
      <w:marLeft w:val="0"/>
      <w:marRight w:val="0"/>
      <w:marTop w:val="0"/>
      <w:marBottom w:val="0"/>
      <w:divBdr>
        <w:top w:val="none" w:sz="0" w:space="0" w:color="auto"/>
        <w:left w:val="none" w:sz="0" w:space="0" w:color="auto"/>
        <w:bottom w:val="none" w:sz="0" w:space="0" w:color="auto"/>
        <w:right w:val="none" w:sz="0" w:space="0" w:color="auto"/>
      </w:divBdr>
    </w:div>
    <w:div w:id="274950343">
      <w:bodyDiv w:val="1"/>
      <w:marLeft w:val="0"/>
      <w:marRight w:val="0"/>
      <w:marTop w:val="0"/>
      <w:marBottom w:val="0"/>
      <w:divBdr>
        <w:top w:val="none" w:sz="0" w:space="0" w:color="auto"/>
        <w:left w:val="none" w:sz="0" w:space="0" w:color="auto"/>
        <w:bottom w:val="none" w:sz="0" w:space="0" w:color="auto"/>
        <w:right w:val="none" w:sz="0" w:space="0" w:color="auto"/>
      </w:divBdr>
    </w:div>
    <w:div w:id="281689186">
      <w:bodyDiv w:val="1"/>
      <w:marLeft w:val="0"/>
      <w:marRight w:val="0"/>
      <w:marTop w:val="0"/>
      <w:marBottom w:val="0"/>
      <w:divBdr>
        <w:top w:val="none" w:sz="0" w:space="0" w:color="auto"/>
        <w:left w:val="none" w:sz="0" w:space="0" w:color="auto"/>
        <w:bottom w:val="none" w:sz="0" w:space="0" w:color="auto"/>
        <w:right w:val="none" w:sz="0" w:space="0" w:color="auto"/>
      </w:divBdr>
    </w:div>
    <w:div w:id="282075742">
      <w:bodyDiv w:val="1"/>
      <w:marLeft w:val="0"/>
      <w:marRight w:val="0"/>
      <w:marTop w:val="0"/>
      <w:marBottom w:val="0"/>
      <w:divBdr>
        <w:top w:val="none" w:sz="0" w:space="0" w:color="auto"/>
        <w:left w:val="none" w:sz="0" w:space="0" w:color="auto"/>
        <w:bottom w:val="none" w:sz="0" w:space="0" w:color="auto"/>
        <w:right w:val="none" w:sz="0" w:space="0" w:color="auto"/>
      </w:divBdr>
    </w:div>
    <w:div w:id="282344051">
      <w:bodyDiv w:val="1"/>
      <w:marLeft w:val="0"/>
      <w:marRight w:val="0"/>
      <w:marTop w:val="0"/>
      <w:marBottom w:val="0"/>
      <w:divBdr>
        <w:top w:val="none" w:sz="0" w:space="0" w:color="auto"/>
        <w:left w:val="none" w:sz="0" w:space="0" w:color="auto"/>
        <w:bottom w:val="none" w:sz="0" w:space="0" w:color="auto"/>
        <w:right w:val="none" w:sz="0" w:space="0" w:color="auto"/>
      </w:divBdr>
    </w:div>
    <w:div w:id="287056232">
      <w:bodyDiv w:val="1"/>
      <w:marLeft w:val="0"/>
      <w:marRight w:val="0"/>
      <w:marTop w:val="0"/>
      <w:marBottom w:val="0"/>
      <w:divBdr>
        <w:top w:val="none" w:sz="0" w:space="0" w:color="auto"/>
        <w:left w:val="none" w:sz="0" w:space="0" w:color="auto"/>
        <w:bottom w:val="none" w:sz="0" w:space="0" w:color="auto"/>
        <w:right w:val="none" w:sz="0" w:space="0" w:color="auto"/>
      </w:divBdr>
    </w:div>
    <w:div w:id="294257744">
      <w:bodyDiv w:val="1"/>
      <w:marLeft w:val="0"/>
      <w:marRight w:val="0"/>
      <w:marTop w:val="0"/>
      <w:marBottom w:val="0"/>
      <w:divBdr>
        <w:top w:val="none" w:sz="0" w:space="0" w:color="auto"/>
        <w:left w:val="none" w:sz="0" w:space="0" w:color="auto"/>
        <w:bottom w:val="none" w:sz="0" w:space="0" w:color="auto"/>
        <w:right w:val="none" w:sz="0" w:space="0" w:color="auto"/>
      </w:divBdr>
    </w:div>
    <w:div w:id="303895628">
      <w:bodyDiv w:val="1"/>
      <w:marLeft w:val="0"/>
      <w:marRight w:val="0"/>
      <w:marTop w:val="0"/>
      <w:marBottom w:val="0"/>
      <w:divBdr>
        <w:top w:val="none" w:sz="0" w:space="0" w:color="auto"/>
        <w:left w:val="none" w:sz="0" w:space="0" w:color="auto"/>
        <w:bottom w:val="none" w:sz="0" w:space="0" w:color="auto"/>
        <w:right w:val="none" w:sz="0" w:space="0" w:color="auto"/>
      </w:divBdr>
    </w:div>
    <w:div w:id="309016407">
      <w:bodyDiv w:val="1"/>
      <w:marLeft w:val="0"/>
      <w:marRight w:val="0"/>
      <w:marTop w:val="0"/>
      <w:marBottom w:val="0"/>
      <w:divBdr>
        <w:top w:val="none" w:sz="0" w:space="0" w:color="auto"/>
        <w:left w:val="none" w:sz="0" w:space="0" w:color="auto"/>
        <w:bottom w:val="none" w:sz="0" w:space="0" w:color="auto"/>
        <w:right w:val="none" w:sz="0" w:space="0" w:color="auto"/>
      </w:divBdr>
    </w:div>
    <w:div w:id="309097937">
      <w:bodyDiv w:val="1"/>
      <w:marLeft w:val="0"/>
      <w:marRight w:val="0"/>
      <w:marTop w:val="0"/>
      <w:marBottom w:val="0"/>
      <w:divBdr>
        <w:top w:val="none" w:sz="0" w:space="0" w:color="auto"/>
        <w:left w:val="none" w:sz="0" w:space="0" w:color="auto"/>
        <w:bottom w:val="none" w:sz="0" w:space="0" w:color="auto"/>
        <w:right w:val="none" w:sz="0" w:space="0" w:color="auto"/>
      </w:divBdr>
    </w:div>
    <w:div w:id="309404020">
      <w:bodyDiv w:val="1"/>
      <w:marLeft w:val="0"/>
      <w:marRight w:val="0"/>
      <w:marTop w:val="0"/>
      <w:marBottom w:val="0"/>
      <w:divBdr>
        <w:top w:val="none" w:sz="0" w:space="0" w:color="auto"/>
        <w:left w:val="none" w:sz="0" w:space="0" w:color="auto"/>
        <w:bottom w:val="none" w:sz="0" w:space="0" w:color="auto"/>
        <w:right w:val="none" w:sz="0" w:space="0" w:color="auto"/>
      </w:divBdr>
    </w:div>
    <w:div w:id="313412061">
      <w:bodyDiv w:val="1"/>
      <w:marLeft w:val="0"/>
      <w:marRight w:val="0"/>
      <w:marTop w:val="0"/>
      <w:marBottom w:val="0"/>
      <w:divBdr>
        <w:top w:val="none" w:sz="0" w:space="0" w:color="auto"/>
        <w:left w:val="none" w:sz="0" w:space="0" w:color="auto"/>
        <w:bottom w:val="none" w:sz="0" w:space="0" w:color="auto"/>
        <w:right w:val="none" w:sz="0" w:space="0" w:color="auto"/>
      </w:divBdr>
    </w:div>
    <w:div w:id="314143312">
      <w:bodyDiv w:val="1"/>
      <w:marLeft w:val="0"/>
      <w:marRight w:val="0"/>
      <w:marTop w:val="0"/>
      <w:marBottom w:val="0"/>
      <w:divBdr>
        <w:top w:val="none" w:sz="0" w:space="0" w:color="auto"/>
        <w:left w:val="none" w:sz="0" w:space="0" w:color="auto"/>
        <w:bottom w:val="none" w:sz="0" w:space="0" w:color="auto"/>
        <w:right w:val="none" w:sz="0" w:space="0" w:color="auto"/>
      </w:divBdr>
    </w:div>
    <w:div w:id="314846522">
      <w:bodyDiv w:val="1"/>
      <w:marLeft w:val="0"/>
      <w:marRight w:val="0"/>
      <w:marTop w:val="0"/>
      <w:marBottom w:val="0"/>
      <w:divBdr>
        <w:top w:val="none" w:sz="0" w:space="0" w:color="auto"/>
        <w:left w:val="none" w:sz="0" w:space="0" w:color="auto"/>
        <w:bottom w:val="none" w:sz="0" w:space="0" w:color="auto"/>
        <w:right w:val="none" w:sz="0" w:space="0" w:color="auto"/>
      </w:divBdr>
    </w:div>
    <w:div w:id="317150369">
      <w:bodyDiv w:val="1"/>
      <w:marLeft w:val="0"/>
      <w:marRight w:val="0"/>
      <w:marTop w:val="0"/>
      <w:marBottom w:val="0"/>
      <w:divBdr>
        <w:top w:val="none" w:sz="0" w:space="0" w:color="auto"/>
        <w:left w:val="none" w:sz="0" w:space="0" w:color="auto"/>
        <w:bottom w:val="none" w:sz="0" w:space="0" w:color="auto"/>
        <w:right w:val="none" w:sz="0" w:space="0" w:color="auto"/>
      </w:divBdr>
    </w:div>
    <w:div w:id="318927487">
      <w:bodyDiv w:val="1"/>
      <w:marLeft w:val="0"/>
      <w:marRight w:val="0"/>
      <w:marTop w:val="0"/>
      <w:marBottom w:val="0"/>
      <w:divBdr>
        <w:top w:val="none" w:sz="0" w:space="0" w:color="auto"/>
        <w:left w:val="none" w:sz="0" w:space="0" w:color="auto"/>
        <w:bottom w:val="none" w:sz="0" w:space="0" w:color="auto"/>
        <w:right w:val="none" w:sz="0" w:space="0" w:color="auto"/>
      </w:divBdr>
    </w:div>
    <w:div w:id="327444315">
      <w:bodyDiv w:val="1"/>
      <w:marLeft w:val="0"/>
      <w:marRight w:val="0"/>
      <w:marTop w:val="0"/>
      <w:marBottom w:val="0"/>
      <w:divBdr>
        <w:top w:val="none" w:sz="0" w:space="0" w:color="auto"/>
        <w:left w:val="none" w:sz="0" w:space="0" w:color="auto"/>
        <w:bottom w:val="none" w:sz="0" w:space="0" w:color="auto"/>
        <w:right w:val="none" w:sz="0" w:space="0" w:color="auto"/>
      </w:divBdr>
    </w:div>
    <w:div w:id="333729934">
      <w:bodyDiv w:val="1"/>
      <w:marLeft w:val="0"/>
      <w:marRight w:val="0"/>
      <w:marTop w:val="0"/>
      <w:marBottom w:val="0"/>
      <w:divBdr>
        <w:top w:val="none" w:sz="0" w:space="0" w:color="auto"/>
        <w:left w:val="none" w:sz="0" w:space="0" w:color="auto"/>
        <w:bottom w:val="none" w:sz="0" w:space="0" w:color="auto"/>
        <w:right w:val="none" w:sz="0" w:space="0" w:color="auto"/>
      </w:divBdr>
    </w:div>
    <w:div w:id="338041094">
      <w:bodyDiv w:val="1"/>
      <w:marLeft w:val="0"/>
      <w:marRight w:val="0"/>
      <w:marTop w:val="0"/>
      <w:marBottom w:val="0"/>
      <w:divBdr>
        <w:top w:val="none" w:sz="0" w:space="0" w:color="auto"/>
        <w:left w:val="none" w:sz="0" w:space="0" w:color="auto"/>
        <w:bottom w:val="none" w:sz="0" w:space="0" w:color="auto"/>
        <w:right w:val="none" w:sz="0" w:space="0" w:color="auto"/>
      </w:divBdr>
    </w:div>
    <w:div w:id="341975337">
      <w:bodyDiv w:val="1"/>
      <w:marLeft w:val="0"/>
      <w:marRight w:val="0"/>
      <w:marTop w:val="0"/>
      <w:marBottom w:val="0"/>
      <w:divBdr>
        <w:top w:val="none" w:sz="0" w:space="0" w:color="auto"/>
        <w:left w:val="none" w:sz="0" w:space="0" w:color="auto"/>
        <w:bottom w:val="none" w:sz="0" w:space="0" w:color="auto"/>
        <w:right w:val="none" w:sz="0" w:space="0" w:color="auto"/>
      </w:divBdr>
    </w:div>
    <w:div w:id="349337097">
      <w:bodyDiv w:val="1"/>
      <w:marLeft w:val="0"/>
      <w:marRight w:val="0"/>
      <w:marTop w:val="0"/>
      <w:marBottom w:val="0"/>
      <w:divBdr>
        <w:top w:val="none" w:sz="0" w:space="0" w:color="auto"/>
        <w:left w:val="none" w:sz="0" w:space="0" w:color="auto"/>
        <w:bottom w:val="none" w:sz="0" w:space="0" w:color="auto"/>
        <w:right w:val="none" w:sz="0" w:space="0" w:color="auto"/>
      </w:divBdr>
    </w:div>
    <w:div w:id="365329872">
      <w:bodyDiv w:val="1"/>
      <w:marLeft w:val="0"/>
      <w:marRight w:val="0"/>
      <w:marTop w:val="0"/>
      <w:marBottom w:val="0"/>
      <w:divBdr>
        <w:top w:val="none" w:sz="0" w:space="0" w:color="auto"/>
        <w:left w:val="none" w:sz="0" w:space="0" w:color="auto"/>
        <w:bottom w:val="none" w:sz="0" w:space="0" w:color="auto"/>
        <w:right w:val="none" w:sz="0" w:space="0" w:color="auto"/>
      </w:divBdr>
    </w:div>
    <w:div w:id="369378334">
      <w:bodyDiv w:val="1"/>
      <w:marLeft w:val="0"/>
      <w:marRight w:val="0"/>
      <w:marTop w:val="0"/>
      <w:marBottom w:val="0"/>
      <w:divBdr>
        <w:top w:val="none" w:sz="0" w:space="0" w:color="auto"/>
        <w:left w:val="none" w:sz="0" w:space="0" w:color="auto"/>
        <w:bottom w:val="none" w:sz="0" w:space="0" w:color="auto"/>
        <w:right w:val="none" w:sz="0" w:space="0" w:color="auto"/>
      </w:divBdr>
    </w:div>
    <w:div w:id="369570314">
      <w:bodyDiv w:val="1"/>
      <w:marLeft w:val="0"/>
      <w:marRight w:val="0"/>
      <w:marTop w:val="0"/>
      <w:marBottom w:val="0"/>
      <w:divBdr>
        <w:top w:val="none" w:sz="0" w:space="0" w:color="auto"/>
        <w:left w:val="none" w:sz="0" w:space="0" w:color="auto"/>
        <w:bottom w:val="none" w:sz="0" w:space="0" w:color="auto"/>
        <w:right w:val="none" w:sz="0" w:space="0" w:color="auto"/>
      </w:divBdr>
    </w:div>
    <w:div w:id="398794548">
      <w:bodyDiv w:val="1"/>
      <w:marLeft w:val="0"/>
      <w:marRight w:val="0"/>
      <w:marTop w:val="0"/>
      <w:marBottom w:val="0"/>
      <w:divBdr>
        <w:top w:val="none" w:sz="0" w:space="0" w:color="auto"/>
        <w:left w:val="none" w:sz="0" w:space="0" w:color="auto"/>
        <w:bottom w:val="none" w:sz="0" w:space="0" w:color="auto"/>
        <w:right w:val="none" w:sz="0" w:space="0" w:color="auto"/>
      </w:divBdr>
    </w:div>
    <w:div w:id="400753921">
      <w:bodyDiv w:val="1"/>
      <w:marLeft w:val="0"/>
      <w:marRight w:val="0"/>
      <w:marTop w:val="0"/>
      <w:marBottom w:val="0"/>
      <w:divBdr>
        <w:top w:val="none" w:sz="0" w:space="0" w:color="auto"/>
        <w:left w:val="none" w:sz="0" w:space="0" w:color="auto"/>
        <w:bottom w:val="none" w:sz="0" w:space="0" w:color="auto"/>
        <w:right w:val="none" w:sz="0" w:space="0" w:color="auto"/>
      </w:divBdr>
    </w:div>
    <w:div w:id="405344941">
      <w:bodyDiv w:val="1"/>
      <w:marLeft w:val="0"/>
      <w:marRight w:val="0"/>
      <w:marTop w:val="0"/>
      <w:marBottom w:val="0"/>
      <w:divBdr>
        <w:top w:val="none" w:sz="0" w:space="0" w:color="auto"/>
        <w:left w:val="none" w:sz="0" w:space="0" w:color="auto"/>
        <w:bottom w:val="none" w:sz="0" w:space="0" w:color="auto"/>
        <w:right w:val="none" w:sz="0" w:space="0" w:color="auto"/>
      </w:divBdr>
    </w:div>
    <w:div w:id="411246326">
      <w:bodyDiv w:val="1"/>
      <w:marLeft w:val="0"/>
      <w:marRight w:val="0"/>
      <w:marTop w:val="0"/>
      <w:marBottom w:val="0"/>
      <w:divBdr>
        <w:top w:val="none" w:sz="0" w:space="0" w:color="auto"/>
        <w:left w:val="none" w:sz="0" w:space="0" w:color="auto"/>
        <w:bottom w:val="none" w:sz="0" w:space="0" w:color="auto"/>
        <w:right w:val="none" w:sz="0" w:space="0" w:color="auto"/>
      </w:divBdr>
    </w:div>
    <w:div w:id="412623892">
      <w:bodyDiv w:val="1"/>
      <w:marLeft w:val="0"/>
      <w:marRight w:val="0"/>
      <w:marTop w:val="0"/>
      <w:marBottom w:val="0"/>
      <w:divBdr>
        <w:top w:val="none" w:sz="0" w:space="0" w:color="auto"/>
        <w:left w:val="none" w:sz="0" w:space="0" w:color="auto"/>
        <w:bottom w:val="none" w:sz="0" w:space="0" w:color="auto"/>
        <w:right w:val="none" w:sz="0" w:space="0" w:color="auto"/>
      </w:divBdr>
    </w:div>
    <w:div w:id="418258589">
      <w:bodyDiv w:val="1"/>
      <w:marLeft w:val="0"/>
      <w:marRight w:val="0"/>
      <w:marTop w:val="0"/>
      <w:marBottom w:val="0"/>
      <w:divBdr>
        <w:top w:val="none" w:sz="0" w:space="0" w:color="auto"/>
        <w:left w:val="none" w:sz="0" w:space="0" w:color="auto"/>
        <w:bottom w:val="none" w:sz="0" w:space="0" w:color="auto"/>
        <w:right w:val="none" w:sz="0" w:space="0" w:color="auto"/>
      </w:divBdr>
    </w:div>
    <w:div w:id="420182872">
      <w:bodyDiv w:val="1"/>
      <w:marLeft w:val="0"/>
      <w:marRight w:val="0"/>
      <w:marTop w:val="0"/>
      <w:marBottom w:val="0"/>
      <w:divBdr>
        <w:top w:val="none" w:sz="0" w:space="0" w:color="auto"/>
        <w:left w:val="none" w:sz="0" w:space="0" w:color="auto"/>
        <w:bottom w:val="none" w:sz="0" w:space="0" w:color="auto"/>
        <w:right w:val="none" w:sz="0" w:space="0" w:color="auto"/>
      </w:divBdr>
    </w:div>
    <w:div w:id="422846765">
      <w:bodyDiv w:val="1"/>
      <w:marLeft w:val="0"/>
      <w:marRight w:val="0"/>
      <w:marTop w:val="0"/>
      <w:marBottom w:val="0"/>
      <w:divBdr>
        <w:top w:val="none" w:sz="0" w:space="0" w:color="auto"/>
        <w:left w:val="none" w:sz="0" w:space="0" w:color="auto"/>
        <w:bottom w:val="none" w:sz="0" w:space="0" w:color="auto"/>
        <w:right w:val="none" w:sz="0" w:space="0" w:color="auto"/>
      </w:divBdr>
    </w:div>
    <w:div w:id="425657978">
      <w:bodyDiv w:val="1"/>
      <w:marLeft w:val="0"/>
      <w:marRight w:val="0"/>
      <w:marTop w:val="0"/>
      <w:marBottom w:val="0"/>
      <w:divBdr>
        <w:top w:val="none" w:sz="0" w:space="0" w:color="auto"/>
        <w:left w:val="none" w:sz="0" w:space="0" w:color="auto"/>
        <w:bottom w:val="none" w:sz="0" w:space="0" w:color="auto"/>
        <w:right w:val="none" w:sz="0" w:space="0" w:color="auto"/>
      </w:divBdr>
    </w:div>
    <w:div w:id="428627393">
      <w:bodyDiv w:val="1"/>
      <w:marLeft w:val="0"/>
      <w:marRight w:val="0"/>
      <w:marTop w:val="0"/>
      <w:marBottom w:val="0"/>
      <w:divBdr>
        <w:top w:val="none" w:sz="0" w:space="0" w:color="auto"/>
        <w:left w:val="none" w:sz="0" w:space="0" w:color="auto"/>
        <w:bottom w:val="none" w:sz="0" w:space="0" w:color="auto"/>
        <w:right w:val="none" w:sz="0" w:space="0" w:color="auto"/>
      </w:divBdr>
    </w:div>
    <w:div w:id="430975509">
      <w:bodyDiv w:val="1"/>
      <w:marLeft w:val="0"/>
      <w:marRight w:val="0"/>
      <w:marTop w:val="0"/>
      <w:marBottom w:val="0"/>
      <w:divBdr>
        <w:top w:val="none" w:sz="0" w:space="0" w:color="auto"/>
        <w:left w:val="none" w:sz="0" w:space="0" w:color="auto"/>
        <w:bottom w:val="none" w:sz="0" w:space="0" w:color="auto"/>
        <w:right w:val="none" w:sz="0" w:space="0" w:color="auto"/>
      </w:divBdr>
    </w:div>
    <w:div w:id="447545918">
      <w:bodyDiv w:val="1"/>
      <w:marLeft w:val="0"/>
      <w:marRight w:val="0"/>
      <w:marTop w:val="0"/>
      <w:marBottom w:val="0"/>
      <w:divBdr>
        <w:top w:val="none" w:sz="0" w:space="0" w:color="auto"/>
        <w:left w:val="none" w:sz="0" w:space="0" w:color="auto"/>
        <w:bottom w:val="none" w:sz="0" w:space="0" w:color="auto"/>
        <w:right w:val="none" w:sz="0" w:space="0" w:color="auto"/>
      </w:divBdr>
    </w:div>
    <w:div w:id="451561662">
      <w:bodyDiv w:val="1"/>
      <w:marLeft w:val="0"/>
      <w:marRight w:val="0"/>
      <w:marTop w:val="0"/>
      <w:marBottom w:val="0"/>
      <w:divBdr>
        <w:top w:val="none" w:sz="0" w:space="0" w:color="auto"/>
        <w:left w:val="none" w:sz="0" w:space="0" w:color="auto"/>
        <w:bottom w:val="none" w:sz="0" w:space="0" w:color="auto"/>
        <w:right w:val="none" w:sz="0" w:space="0" w:color="auto"/>
      </w:divBdr>
    </w:div>
    <w:div w:id="456804519">
      <w:bodyDiv w:val="1"/>
      <w:marLeft w:val="0"/>
      <w:marRight w:val="0"/>
      <w:marTop w:val="0"/>
      <w:marBottom w:val="0"/>
      <w:divBdr>
        <w:top w:val="none" w:sz="0" w:space="0" w:color="auto"/>
        <w:left w:val="none" w:sz="0" w:space="0" w:color="auto"/>
        <w:bottom w:val="none" w:sz="0" w:space="0" w:color="auto"/>
        <w:right w:val="none" w:sz="0" w:space="0" w:color="auto"/>
      </w:divBdr>
    </w:div>
    <w:div w:id="458768940">
      <w:bodyDiv w:val="1"/>
      <w:marLeft w:val="0"/>
      <w:marRight w:val="0"/>
      <w:marTop w:val="0"/>
      <w:marBottom w:val="0"/>
      <w:divBdr>
        <w:top w:val="none" w:sz="0" w:space="0" w:color="auto"/>
        <w:left w:val="none" w:sz="0" w:space="0" w:color="auto"/>
        <w:bottom w:val="none" w:sz="0" w:space="0" w:color="auto"/>
        <w:right w:val="none" w:sz="0" w:space="0" w:color="auto"/>
      </w:divBdr>
    </w:div>
    <w:div w:id="469830937">
      <w:bodyDiv w:val="1"/>
      <w:marLeft w:val="0"/>
      <w:marRight w:val="0"/>
      <w:marTop w:val="0"/>
      <w:marBottom w:val="0"/>
      <w:divBdr>
        <w:top w:val="none" w:sz="0" w:space="0" w:color="auto"/>
        <w:left w:val="none" w:sz="0" w:space="0" w:color="auto"/>
        <w:bottom w:val="none" w:sz="0" w:space="0" w:color="auto"/>
        <w:right w:val="none" w:sz="0" w:space="0" w:color="auto"/>
      </w:divBdr>
    </w:div>
    <w:div w:id="472917773">
      <w:bodyDiv w:val="1"/>
      <w:marLeft w:val="0"/>
      <w:marRight w:val="0"/>
      <w:marTop w:val="0"/>
      <w:marBottom w:val="0"/>
      <w:divBdr>
        <w:top w:val="none" w:sz="0" w:space="0" w:color="auto"/>
        <w:left w:val="none" w:sz="0" w:space="0" w:color="auto"/>
        <w:bottom w:val="none" w:sz="0" w:space="0" w:color="auto"/>
        <w:right w:val="none" w:sz="0" w:space="0" w:color="auto"/>
      </w:divBdr>
    </w:div>
    <w:div w:id="473720444">
      <w:bodyDiv w:val="1"/>
      <w:marLeft w:val="0"/>
      <w:marRight w:val="0"/>
      <w:marTop w:val="0"/>
      <w:marBottom w:val="0"/>
      <w:divBdr>
        <w:top w:val="none" w:sz="0" w:space="0" w:color="auto"/>
        <w:left w:val="none" w:sz="0" w:space="0" w:color="auto"/>
        <w:bottom w:val="none" w:sz="0" w:space="0" w:color="auto"/>
        <w:right w:val="none" w:sz="0" w:space="0" w:color="auto"/>
      </w:divBdr>
    </w:div>
    <w:div w:id="475681863">
      <w:bodyDiv w:val="1"/>
      <w:marLeft w:val="0"/>
      <w:marRight w:val="0"/>
      <w:marTop w:val="0"/>
      <w:marBottom w:val="0"/>
      <w:divBdr>
        <w:top w:val="none" w:sz="0" w:space="0" w:color="auto"/>
        <w:left w:val="none" w:sz="0" w:space="0" w:color="auto"/>
        <w:bottom w:val="none" w:sz="0" w:space="0" w:color="auto"/>
        <w:right w:val="none" w:sz="0" w:space="0" w:color="auto"/>
      </w:divBdr>
    </w:div>
    <w:div w:id="475882675">
      <w:bodyDiv w:val="1"/>
      <w:marLeft w:val="0"/>
      <w:marRight w:val="0"/>
      <w:marTop w:val="0"/>
      <w:marBottom w:val="0"/>
      <w:divBdr>
        <w:top w:val="none" w:sz="0" w:space="0" w:color="auto"/>
        <w:left w:val="none" w:sz="0" w:space="0" w:color="auto"/>
        <w:bottom w:val="none" w:sz="0" w:space="0" w:color="auto"/>
        <w:right w:val="none" w:sz="0" w:space="0" w:color="auto"/>
      </w:divBdr>
    </w:div>
    <w:div w:id="477692014">
      <w:bodyDiv w:val="1"/>
      <w:marLeft w:val="0"/>
      <w:marRight w:val="0"/>
      <w:marTop w:val="0"/>
      <w:marBottom w:val="0"/>
      <w:divBdr>
        <w:top w:val="none" w:sz="0" w:space="0" w:color="auto"/>
        <w:left w:val="none" w:sz="0" w:space="0" w:color="auto"/>
        <w:bottom w:val="none" w:sz="0" w:space="0" w:color="auto"/>
        <w:right w:val="none" w:sz="0" w:space="0" w:color="auto"/>
      </w:divBdr>
    </w:div>
    <w:div w:id="477916159">
      <w:bodyDiv w:val="1"/>
      <w:marLeft w:val="0"/>
      <w:marRight w:val="0"/>
      <w:marTop w:val="0"/>
      <w:marBottom w:val="0"/>
      <w:divBdr>
        <w:top w:val="none" w:sz="0" w:space="0" w:color="auto"/>
        <w:left w:val="none" w:sz="0" w:space="0" w:color="auto"/>
        <w:bottom w:val="none" w:sz="0" w:space="0" w:color="auto"/>
        <w:right w:val="none" w:sz="0" w:space="0" w:color="auto"/>
      </w:divBdr>
    </w:div>
    <w:div w:id="479274544">
      <w:bodyDiv w:val="1"/>
      <w:marLeft w:val="0"/>
      <w:marRight w:val="0"/>
      <w:marTop w:val="0"/>
      <w:marBottom w:val="0"/>
      <w:divBdr>
        <w:top w:val="none" w:sz="0" w:space="0" w:color="auto"/>
        <w:left w:val="none" w:sz="0" w:space="0" w:color="auto"/>
        <w:bottom w:val="none" w:sz="0" w:space="0" w:color="auto"/>
        <w:right w:val="none" w:sz="0" w:space="0" w:color="auto"/>
      </w:divBdr>
    </w:div>
    <w:div w:id="482742497">
      <w:bodyDiv w:val="1"/>
      <w:marLeft w:val="0"/>
      <w:marRight w:val="0"/>
      <w:marTop w:val="0"/>
      <w:marBottom w:val="0"/>
      <w:divBdr>
        <w:top w:val="none" w:sz="0" w:space="0" w:color="auto"/>
        <w:left w:val="none" w:sz="0" w:space="0" w:color="auto"/>
        <w:bottom w:val="none" w:sz="0" w:space="0" w:color="auto"/>
        <w:right w:val="none" w:sz="0" w:space="0" w:color="auto"/>
      </w:divBdr>
    </w:div>
    <w:div w:id="488910794">
      <w:bodyDiv w:val="1"/>
      <w:marLeft w:val="0"/>
      <w:marRight w:val="0"/>
      <w:marTop w:val="0"/>
      <w:marBottom w:val="0"/>
      <w:divBdr>
        <w:top w:val="none" w:sz="0" w:space="0" w:color="auto"/>
        <w:left w:val="none" w:sz="0" w:space="0" w:color="auto"/>
        <w:bottom w:val="none" w:sz="0" w:space="0" w:color="auto"/>
        <w:right w:val="none" w:sz="0" w:space="0" w:color="auto"/>
      </w:divBdr>
    </w:div>
    <w:div w:id="489905051">
      <w:bodyDiv w:val="1"/>
      <w:marLeft w:val="0"/>
      <w:marRight w:val="0"/>
      <w:marTop w:val="0"/>
      <w:marBottom w:val="0"/>
      <w:divBdr>
        <w:top w:val="none" w:sz="0" w:space="0" w:color="auto"/>
        <w:left w:val="none" w:sz="0" w:space="0" w:color="auto"/>
        <w:bottom w:val="none" w:sz="0" w:space="0" w:color="auto"/>
        <w:right w:val="none" w:sz="0" w:space="0" w:color="auto"/>
      </w:divBdr>
    </w:div>
    <w:div w:id="495417895">
      <w:bodyDiv w:val="1"/>
      <w:marLeft w:val="0"/>
      <w:marRight w:val="0"/>
      <w:marTop w:val="0"/>
      <w:marBottom w:val="0"/>
      <w:divBdr>
        <w:top w:val="none" w:sz="0" w:space="0" w:color="auto"/>
        <w:left w:val="none" w:sz="0" w:space="0" w:color="auto"/>
        <w:bottom w:val="none" w:sz="0" w:space="0" w:color="auto"/>
        <w:right w:val="none" w:sz="0" w:space="0" w:color="auto"/>
      </w:divBdr>
    </w:div>
    <w:div w:id="499586468">
      <w:bodyDiv w:val="1"/>
      <w:marLeft w:val="0"/>
      <w:marRight w:val="0"/>
      <w:marTop w:val="0"/>
      <w:marBottom w:val="0"/>
      <w:divBdr>
        <w:top w:val="none" w:sz="0" w:space="0" w:color="auto"/>
        <w:left w:val="none" w:sz="0" w:space="0" w:color="auto"/>
        <w:bottom w:val="none" w:sz="0" w:space="0" w:color="auto"/>
        <w:right w:val="none" w:sz="0" w:space="0" w:color="auto"/>
      </w:divBdr>
    </w:div>
    <w:div w:id="509485251">
      <w:bodyDiv w:val="1"/>
      <w:marLeft w:val="0"/>
      <w:marRight w:val="0"/>
      <w:marTop w:val="0"/>
      <w:marBottom w:val="0"/>
      <w:divBdr>
        <w:top w:val="none" w:sz="0" w:space="0" w:color="auto"/>
        <w:left w:val="none" w:sz="0" w:space="0" w:color="auto"/>
        <w:bottom w:val="none" w:sz="0" w:space="0" w:color="auto"/>
        <w:right w:val="none" w:sz="0" w:space="0" w:color="auto"/>
      </w:divBdr>
    </w:div>
    <w:div w:id="516192587">
      <w:bodyDiv w:val="1"/>
      <w:marLeft w:val="0"/>
      <w:marRight w:val="0"/>
      <w:marTop w:val="0"/>
      <w:marBottom w:val="0"/>
      <w:divBdr>
        <w:top w:val="none" w:sz="0" w:space="0" w:color="auto"/>
        <w:left w:val="none" w:sz="0" w:space="0" w:color="auto"/>
        <w:bottom w:val="none" w:sz="0" w:space="0" w:color="auto"/>
        <w:right w:val="none" w:sz="0" w:space="0" w:color="auto"/>
      </w:divBdr>
    </w:div>
    <w:div w:id="521281425">
      <w:bodyDiv w:val="1"/>
      <w:marLeft w:val="0"/>
      <w:marRight w:val="0"/>
      <w:marTop w:val="0"/>
      <w:marBottom w:val="0"/>
      <w:divBdr>
        <w:top w:val="none" w:sz="0" w:space="0" w:color="auto"/>
        <w:left w:val="none" w:sz="0" w:space="0" w:color="auto"/>
        <w:bottom w:val="none" w:sz="0" w:space="0" w:color="auto"/>
        <w:right w:val="none" w:sz="0" w:space="0" w:color="auto"/>
      </w:divBdr>
    </w:div>
    <w:div w:id="521672954">
      <w:bodyDiv w:val="1"/>
      <w:marLeft w:val="0"/>
      <w:marRight w:val="0"/>
      <w:marTop w:val="0"/>
      <w:marBottom w:val="0"/>
      <w:divBdr>
        <w:top w:val="none" w:sz="0" w:space="0" w:color="auto"/>
        <w:left w:val="none" w:sz="0" w:space="0" w:color="auto"/>
        <w:bottom w:val="none" w:sz="0" w:space="0" w:color="auto"/>
        <w:right w:val="none" w:sz="0" w:space="0" w:color="auto"/>
      </w:divBdr>
    </w:div>
    <w:div w:id="525212085">
      <w:bodyDiv w:val="1"/>
      <w:marLeft w:val="0"/>
      <w:marRight w:val="0"/>
      <w:marTop w:val="0"/>
      <w:marBottom w:val="0"/>
      <w:divBdr>
        <w:top w:val="none" w:sz="0" w:space="0" w:color="auto"/>
        <w:left w:val="none" w:sz="0" w:space="0" w:color="auto"/>
        <w:bottom w:val="none" w:sz="0" w:space="0" w:color="auto"/>
        <w:right w:val="none" w:sz="0" w:space="0" w:color="auto"/>
      </w:divBdr>
    </w:div>
    <w:div w:id="527568914">
      <w:bodyDiv w:val="1"/>
      <w:marLeft w:val="0"/>
      <w:marRight w:val="0"/>
      <w:marTop w:val="0"/>
      <w:marBottom w:val="0"/>
      <w:divBdr>
        <w:top w:val="none" w:sz="0" w:space="0" w:color="auto"/>
        <w:left w:val="none" w:sz="0" w:space="0" w:color="auto"/>
        <w:bottom w:val="none" w:sz="0" w:space="0" w:color="auto"/>
        <w:right w:val="none" w:sz="0" w:space="0" w:color="auto"/>
      </w:divBdr>
    </w:div>
    <w:div w:id="534387686">
      <w:bodyDiv w:val="1"/>
      <w:marLeft w:val="0"/>
      <w:marRight w:val="0"/>
      <w:marTop w:val="0"/>
      <w:marBottom w:val="0"/>
      <w:divBdr>
        <w:top w:val="none" w:sz="0" w:space="0" w:color="auto"/>
        <w:left w:val="none" w:sz="0" w:space="0" w:color="auto"/>
        <w:bottom w:val="none" w:sz="0" w:space="0" w:color="auto"/>
        <w:right w:val="none" w:sz="0" w:space="0" w:color="auto"/>
      </w:divBdr>
    </w:div>
    <w:div w:id="544096507">
      <w:bodyDiv w:val="1"/>
      <w:marLeft w:val="0"/>
      <w:marRight w:val="0"/>
      <w:marTop w:val="0"/>
      <w:marBottom w:val="0"/>
      <w:divBdr>
        <w:top w:val="none" w:sz="0" w:space="0" w:color="auto"/>
        <w:left w:val="none" w:sz="0" w:space="0" w:color="auto"/>
        <w:bottom w:val="none" w:sz="0" w:space="0" w:color="auto"/>
        <w:right w:val="none" w:sz="0" w:space="0" w:color="auto"/>
      </w:divBdr>
    </w:div>
    <w:div w:id="549002291">
      <w:bodyDiv w:val="1"/>
      <w:marLeft w:val="0"/>
      <w:marRight w:val="0"/>
      <w:marTop w:val="0"/>
      <w:marBottom w:val="0"/>
      <w:divBdr>
        <w:top w:val="none" w:sz="0" w:space="0" w:color="auto"/>
        <w:left w:val="none" w:sz="0" w:space="0" w:color="auto"/>
        <w:bottom w:val="none" w:sz="0" w:space="0" w:color="auto"/>
        <w:right w:val="none" w:sz="0" w:space="0" w:color="auto"/>
      </w:divBdr>
    </w:div>
    <w:div w:id="560487711">
      <w:bodyDiv w:val="1"/>
      <w:marLeft w:val="0"/>
      <w:marRight w:val="0"/>
      <w:marTop w:val="0"/>
      <w:marBottom w:val="0"/>
      <w:divBdr>
        <w:top w:val="none" w:sz="0" w:space="0" w:color="auto"/>
        <w:left w:val="none" w:sz="0" w:space="0" w:color="auto"/>
        <w:bottom w:val="none" w:sz="0" w:space="0" w:color="auto"/>
        <w:right w:val="none" w:sz="0" w:space="0" w:color="auto"/>
      </w:divBdr>
    </w:div>
    <w:div w:id="562373670">
      <w:bodyDiv w:val="1"/>
      <w:marLeft w:val="0"/>
      <w:marRight w:val="0"/>
      <w:marTop w:val="0"/>
      <w:marBottom w:val="0"/>
      <w:divBdr>
        <w:top w:val="none" w:sz="0" w:space="0" w:color="auto"/>
        <w:left w:val="none" w:sz="0" w:space="0" w:color="auto"/>
        <w:bottom w:val="none" w:sz="0" w:space="0" w:color="auto"/>
        <w:right w:val="none" w:sz="0" w:space="0" w:color="auto"/>
      </w:divBdr>
    </w:div>
    <w:div w:id="570971078">
      <w:bodyDiv w:val="1"/>
      <w:marLeft w:val="0"/>
      <w:marRight w:val="0"/>
      <w:marTop w:val="0"/>
      <w:marBottom w:val="0"/>
      <w:divBdr>
        <w:top w:val="none" w:sz="0" w:space="0" w:color="auto"/>
        <w:left w:val="none" w:sz="0" w:space="0" w:color="auto"/>
        <w:bottom w:val="none" w:sz="0" w:space="0" w:color="auto"/>
        <w:right w:val="none" w:sz="0" w:space="0" w:color="auto"/>
      </w:divBdr>
    </w:div>
    <w:div w:id="576094193">
      <w:bodyDiv w:val="1"/>
      <w:marLeft w:val="0"/>
      <w:marRight w:val="0"/>
      <w:marTop w:val="0"/>
      <w:marBottom w:val="0"/>
      <w:divBdr>
        <w:top w:val="none" w:sz="0" w:space="0" w:color="auto"/>
        <w:left w:val="none" w:sz="0" w:space="0" w:color="auto"/>
        <w:bottom w:val="none" w:sz="0" w:space="0" w:color="auto"/>
        <w:right w:val="none" w:sz="0" w:space="0" w:color="auto"/>
      </w:divBdr>
    </w:div>
    <w:div w:id="577977541">
      <w:bodyDiv w:val="1"/>
      <w:marLeft w:val="0"/>
      <w:marRight w:val="0"/>
      <w:marTop w:val="0"/>
      <w:marBottom w:val="0"/>
      <w:divBdr>
        <w:top w:val="none" w:sz="0" w:space="0" w:color="auto"/>
        <w:left w:val="none" w:sz="0" w:space="0" w:color="auto"/>
        <w:bottom w:val="none" w:sz="0" w:space="0" w:color="auto"/>
        <w:right w:val="none" w:sz="0" w:space="0" w:color="auto"/>
      </w:divBdr>
    </w:div>
    <w:div w:id="579483403">
      <w:bodyDiv w:val="1"/>
      <w:marLeft w:val="0"/>
      <w:marRight w:val="0"/>
      <w:marTop w:val="0"/>
      <w:marBottom w:val="0"/>
      <w:divBdr>
        <w:top w:val="none" w:sz="0" w:space="0" w:color="auto"/>
        <w:left w:val="none" w:sz="0" w:space="0" w:color="auto"/>
        <w:bottom w:val="none" w:sz="0" w:space="0" w:color="auto"/>
        <w:right w:val="none" w:sz="0" w:space="0" w:color="auto"/>
      </w:divBdr>
    </w:div>
    <w:div w:id="580602454">
      <w:bodyDiv w:val="1"/>
      <w:marLeft w:val="0"/>
      <w:marRight w:val="0"/>
      <w:marTop w:val="0"/>
      <w:marBottom w:val="0"/>
      <w:divBdr>
        <w:top w:val="none" w:sz="0" w:space="0" w:color="auto"/>
        <w:left w:val="none" w:sz="0" w:space="0" w:color="auto"/>
        <w:bottom w:val="none" w:sz="0" w:space="0" w:color="auto"/>
        <w:right w:val="none" w:sz="0" w:space="0" w:color="auto"/>
      </w:divBdr>
    </w:div>
    <w:div w:id="582420684">
      <w:bodyDiv w:val="1"/>
      <w:marLeft w:val="0"/>
      <w:marRight w:val="0"/>
      <w:marTop w:val="0"/>
      <w:marBottom w:val="0"/>
      <w:divBdr>
        <w:top w:val="none" w:sz="0" w:space="0" w:color="auto"/>
        <w:left w:val="none" w:sz="0" w:space="0" w:color="auto"/>
        <w:bottom w:val="none" w:sz="0" w:space="0" w:color="auto"/>
        <w:right w:val="none" w:sz="0" w:space="0" w:color="auto"/>
      </w:divBdr>
    </w:div>
    <w:div w:id="588391321">
      <w:bodyDiv w:val="1"/>
      <w:marLeft w:val="0"/>
      <w:marRight w:val="0"/>
      <w:marTop w:val="0"/>
      <w:marBottom w:val="0"/>
      <w:divBdr>
        <w:top w:val="none" w:sz="0" w:space="0" w:color="auto"/>
        <w:left w:val="none" w:sz="0" w:space="0" w:color="auto"/>
        <w:bottom w:val="none" w:sz="0" w:space="0" w:color="auto"/>
        <w:right w:val="none" w:sz="0" w:space="0" w:color="auto"/>
      </w:divBdr>
    </w:div>
    <w:div w:id="601301162">
      <w:bodyDiv w:val="1"/>
      <w:marLeft w:val="0"/>
      <w:marRight w:val="0"/>
      <w:marTop w:val="0"/>
      <w:marBottom w:val="0"/>
      <w:divBdr>
        <w:top w:val="none" w:sz="0" w:space="0" w:color="auto"/>
        <w:left w:val="none" w:sz="0" w:space="0" w:color="auto"/>
        <w:bottom w:val="none" w:sz="0" w:space="0" w:color="auto"/>
        <w:right w:val="none" w:sz="0" w:space="0" w:color="auto"/>
      </w:divBdr>
    </w:div>
    <w:div w:id="603197278">
      <w:bodyDiv w:val="1"/>
      <w:marLeft w:val="0"/>
      <w:marRight w:val="0"/>
      <w:marTop w:val="0"/>
      <w:marBottom w:val="0"/>
      <w:divBdr>
        <w:top w:val="none" w:sz="0" w:space="0" w:color="auto"/>
        <w:left w:val="none" w:sz="0" w:space="0" w:color="auto"/>
        <w:bottom w:val="none" w:sz="0" w:space="0" w:color="auto"/>
        <w:right w:val="none" w:sz="0" w:space="0" w:color="auto"/>
      </w:divBdr>
    </w:div>
    <w:div w:id="606814229">
      <w:bodyDiv w:val="1"/>
      <w:marLeft w:val="0"/>
      <w:marRight w:val="0"/>
      <w:marTop w:val="0"/>
      <w:marBottom w:val="0"/>
      <w:divBdr>
        <w:top w:val="none" w:sz="0" w:space="0" w:color="auto"/>
        <w:left w:val="none" w:sz="0" w:space="0" w:color="auto"/>
        <w:bottom w:val="none" w:sz="0" w:space="0" w:color="auto"/>
        <w:right w:val="none" w:sz="0" w:space="0" w:color="auto"/>
      </w:divBdr>
    </w:div>
    <w:div w:id="617416440">
      <w:bodyDiv w:val="1"/>
      <w:marLeft w:val="0"/>
      <w:marRight w:val="0"/>
      <w:marTop w:val="0"/>
      <w:marBottom w:val="0"/>
      <w:divBdr>
        <w:top w:val="none" w:sz="0" w:space="0" w:color="auto"/>
        <w:left w:val="none" w:sz="0" w:space="0" w:color="auto"/>
        <w:bottom w:val="none" w:sz="0" w:space="0" w:color="auto"/>
        <w:right w:val="none" w:sz="0" w:space="0" w:color="auto"/>
      </w:divBdr>
    </w:div>
    <w:div w:id="618297007">
      <w:bodyDiv w:val="1"/>
      <w:marLeft w:val="0"/>
      <w:marRight w:val="0"/>
      <w:marTop w:val="0"/>
      <w:marBottom w:val="0"/>
      <w:divBdr>
        <w:top w:val="none" w:sz="0" w:space="0" w:color="auto"/>
        <w:left w:val="none" w:sz="0" w:space="0" w:color="auto"/>
        <w:bottom w:val="none" w:sz="0" w:space="0" w:color="auto"/>
        <w:right w:val="none" w:sz="0" w:space="0" w:color="auto"/>
      </w:divBdr>
    </w:div>
    <w:div w:id="620457033">
      <w:bodyDiv w:val="1"/>
      <w:marLeft w:val="0"/>
      <w:marRight w:val="0"/>
      <w:marTop w:val="0"/>
      <w:marBottom w:val="0"/>
      <w:divBdr>
        <w:top w:val="none" w:sz="0" w:space="0" w:color="auto"/>
        <w:left w:val="none" w:sz="0" w:space="0" w:color="auto"/>
        <w:bottom w:val="none" w:sz="0" w:space="0" w:color="auto"/>
        <w:right w:val="none" w:sz="0" w:space="0" w:color="auto"/>
      </w:divBdr>
    </w:div>
    <w:div w:id="622079616">
      <w:bodyDiv w:val="1"/>
      <w:marLeft w:val="0"/>
      <w:marRight w:val="0"/>
      <w:marTop w:val="0"/>
      <w:marBottom w:val="0"/>
      <w:divBdr>
        <w:top w:val="none" w:sz="0" w:space="0" w:color="auto"/>
        <w:left w:val="none" w:sz="0" w:space="0" w:color="auto"/>
        <w:bottom w:val="none" w:sz="0" w:space="0" w:color="auto"/>
        <w:right w:val="none" w:sz="0" w:space="0" w:color="auto"/>
      </w:divBdr>
    </w:div>
    <w:div w:id="623852505">
      <w:bodyDiv w:val="1"/>
      <w:marLeft w:val="0"/>
      <w:marRight w:val="0"/>
      <w:marTop w:val="0"/>
      <w:marBottom w:val="0"/>
      <w:divBdr>
        <w:top w:val="none" w:sz="0" w:space="0" w:color="auto"/>
        <w:left w:val="none" w:sz="0" w:space="0" w:color="auto"/>
        <w:bottom w:val="none" w:sz="0" w:space="0" w:color="auto"/>
        <w:right w:val="none" w:sz="0" w:space="0" w:color="auto"/>
      </w:divBdr>
    </w:div>
    <w:div w:id="625889937">
      <w:bodyDiv w:val="1"/>
      <w:marLeft w:val="0"/>
      <w:marRight w:val="0"/>
      <w:marTop w:val="0"/>
      <w:marBottom w:val="0"/>
      <w:divBdr>
        <w:top w:val="none" w:sz="0" w:space="0" w:color="auto"/>
        <w:left w:val="none" w:sz="0" w:space="0" w:color="auto"/>
        <w:bottom w:val="none" w:sz="0" w:space="0" w:color="auto"/>
        <w:right w:val="none" w:sz="0" w:space="0" w:color="auto"/>
      </w:divBdr>
    </w:div>
    <w:div w:id="627585913">
      <w:bodyDiv w:val="1"/>
      <w:marLeft w:val="0"/>
      <w:marRight w:val="0"/>
      <w:marTop w:val="0"/>
      <w:marBottom w:val="0"/>
      <w:divBdr>
        <w:top w:val="none" w:sz="0" w:space="0" w:color="auto"/>
        <w:left w:val="none" w:sz="0" w:space="0" w:color="auto"/>
        <w:bottom w:val="none" w:sz="0" w:space="0" w:color="auto"/>
        <w:right w:val="none" w:sz="0" w:space="0" w:color="auto"/>
      </w:divBdr>
    </w:div>
    <w:div w:id="630673459">
      <w:bodyDiv w:val="1"/>
      <w:marLeft w:val="0"/>
      <w:marRight w:val="0"/>
      <w:marTop w:val="0"/>
      <w:marBottom w:val="0"/>
      <w:divBdr>
        <w:top w:val="none" w:sz="0" w:space="0" w:color="auto"/>
        <w:left w:val="none" w:sz="0" w:space="0" w:color="auto"/>
        <w:bottom w:val="none" w:sz="0" w:space="0" w:color="auto"/>
        <w:right w:val="none" w:sz="0" w:space="0" w:color="auto"/>
      </w:divBdr>
    </w:div>
    <w:div w:id="630940581">
      <w:bodyDiv w:val="1"/>
      <w:marLeft w:val="0"/>
      <w:marRight w:val="0"/>
      <w:marTop w:val="0"/>
      <w:marBottom w:val="0"/>
      <w:divBdr>
        <w:top w:val="none" w:sz="0" w:space="0" w:color="auto"/>
        <w:left w:val="none" w:sz="0" w:space="0" w:color="auto"/>
        <w:bottom w:val="none" w:sz="0" w:space="0" w:color="auto"/>
        <w:right w:val="none" w:sz="0" w:space="0" w:color="auto"/>
      </w:divBdr>
    </w:div>
    <w:div w:id="635139447">
      <w:bodyDiv w:val="1"/>
      <w:marLeft w:val="0"/>
      <w:marRight w:val="0"/>
      <w:marTop w:val="0"/>
      <w:marBottom w:val="0"/>
      <w:divBdr>
        <w:top w:val="none" w:sz="0" w:space="0" w:color="auto"/>
        <w:left w:val="none" w:sz="0" w:space="0" w:color="auto"/>
        <w:bottom w:val="none" w:sz="0" w:space="0" w:color="auto"/>
        <w:right w:val="none" w:sz="0" w:space="0" w:color="auto"/>
      </w:divBdr>
    </w:div>
    <w:div w:id="638608099">
      <w:bodyDiv w:val="1"/>
      <w:marLeft w:val="0"/>
      <w:marRight w:val="0"/>
      <w:marTop w:val="0"/>
      <w:marBottom w:val="0"/>
      <w:divBdr>
        <w:top w:val="none" w:sz="0" w:space="0" w:color="auto"/>
        <w:left w:val="none" w:sz="0" w:space="0" w:color="auto"/>
        <w:bottom w:val="none" w:sz="0" w:space="0" w:color="auto"/>
        <w:right w:val="none" w:sz="0" w:space="0" w:color="auto"/>
      </w:divBdr>
    </w:div>
    <w:div w:id="641737950">
      <w:bodyDiv w:val="1"/>
      <w:marLeft w:val="0"/>
      <w:marRight w:val="0"/>
      <w:marTop w:val="0"/>
      <w:marBottom w:val="0"/>
      <w:divBdr>
        <w:top w:val="none" w:sz="0" w:space="0" w:color="auto"/>
        <w:left w:val="none" w:sz="0" w:space="0" w:color="auto"/>
        <w:bottom w:val="none" w:sz="0" w:space="0" w:color="auto"/>
        <w:right w:val="none" w:sz="0" w:space="0" w:color="auto"/>
      </w:divBdr>
    </w:div>
    <w:div w:id="650839710">
      <w:bodyDiv w:val="1"/>
      <w:marLeft w:val="0"/>
      <w:marRight w:val="0"/>
      <w:marTop w:val="0"/>
      <w:marBottom w:val="0"/>
      <w:divBdr>
        <w:top w:val="none" w:sz="0" w:space="0" w:color="auto"/>
        <w:left w:val="none" w:sz="0" w:space="0" w:color="auto"/>
        <w:bottom w:val="none" w:sz="0" w:space="0" w:color="auto"/>
        <w:right w:val="none" w:sz="0" w:space="0" w:color="auto"/>
      </w:divBdr>
    </w:div>
    <w:div w:id="658657319">
      <w:bodyDiv w:val="1"/>
      <w:marLeft w:val="0"/>
      <w:marRight w:val="0"/>
      <w:marTop w:val="0"/>
      <w:marBottom w:val="0"/>
      <w:divBdr>
        <w:top w:val="none" w:sz="0" w:space="0" w:color="auto"/>
        <w:left w:val="none" w:sz="0" w:space="0" w:color="auto"/>
        <w:bottom w:val="none" w:sz="0" w:space="0" w:color="auto"/>
        <w:right w:val="none" w:sz="0" w:space="0" w:color="auto"/>
      </w:divBdr>
    </w:div>
    <w:div w:id="664163882">
      <w:bodyDiv w:val="1"/>
      <w:marLeft w:val="0"/>
      <w:marRight w:val="0"/>
      <w:marTop w:val="0"/>
      <w:marBottom w:val="0"/>
      <w:divBdr>
        <w:top w:val="none" w:sz="0" w:space="0" w:color="auto"/>
        <w:left w:val="none" w:sz="0" w:space="0" w:color="auto"/>
        <w:bottom w:val="none" w:sz="0" w:space="0" w:color="auto"/>
        <w:right w:val="none" w:sz="0" w:space="0" w:color="auto"/>
      </w:divBdr>
    </w:div>
    <w:div w:id="664207655">
      <w:bodyDiv w:val="1"/>
      <w:marLeft w:val="0"/>
      <w:marRight w:val="0"/>
      <w:marTop w:val="0"/>
      <w:marBottom w:val="0"/>
      <w:divBdr>
        <w:top w:val="none" w:sz="0" w:space="0" w:color="auto"/>
        <w:left w:val="none" w:sz="0" w:space="0" w:color="auto"/>
        <w:bottom w:val="none" w:sz="0" w:space="0" w:color="auto"/>
        <w:right w:val="none" w:sz="0" w:space="0" w:color="auto"/>
      </w:divBdr>
    </w:div>
    <w:div w:id="664553985">
      <w:bodyDiv w:val="1"/>
      <w:marLeft w:val="0"/>
      <w:marRight w:val="0"/>
      <w:marTop w:val="0"/>
      <w:marBottom w:val="0"/>
      <w:divBdr>
        <w:top w:val="none" w:sz="0" w:space="0" w:color="auto"/>
        <w:left w:val="none" w:sz="0" w:space="0" w:color="auto"/>
        <w:bottom w:val="none" w:sz="0" w:space="0" w:color="auto"/>
        <w:right w:val="none" w:sz="0" w:space="0" w:color="auto"/>
      </w:divBdr>
    </w:div>
    <w:div w:id="665521873">
      <w:bodyDiv w:val="1"/>
      <w:marLeft w:val="0"/>
      <w:marRight w:val="0"/>
      <w:marTop w:val="0"/>
      <w:marBottom w:val="0"/>
      <w:divBdr>
        <w:top w:val="none" w:sz="0" w:space="0" w:color="auto"/>
        <w:left w:val="none" w:sz="0" w:space="0" w:color="auto"/>
        <w:bottom w:val="none" w:sz="0" w:space="0" w:color="auto"/>
        <w:right w:val="none" w:sz="0" w:space="0" w:color="auto"/>
      </w:divBdr>
    </w:div>
    <w:div w:id="671371836">
      <w:bodyDiv w:val="1"/>
      <w:marLeft w:val="0"/>
      <w:marRight w:val="0"/>
      <w:marTop w:val="0"/>
      <w:marBottom w:val="0"/>
      <w:divBdr>
        <w:top w:val="none" w:sz="0" w:space="0" w:color="auto"/>
        <w:left w:val="none" w:sz="0" w:space="0" w:color="auto"/>
        <w:bottom w:val="none" w:sz="0" w:space="0" w:color="auto"/>
        <w:right w:val="none" w:sz="0" w:space="0" w:color="auto"/>
      </w:divBdr>
    </w:div>
    <w:div w:id="679703487">
      <w:bodyDiv w:val="1"/>
      <w:marLeft w:val="0"/>
      <w:marRight w:val="0"/>
      <w:marTop w:val="0"/>
      <w:marBottom w:val="0"/>
      <w:divBdr>
        <w:top w:val="none" w:sz="0" w:space="0" w:color="auto"/>
        <w:left w:val="none" w:sz="0" w:space="0" w:color="auto"/>
        <w:bottom w:val="none" w:sz="0" w:space="0" w:color="auto"/>
        <w:right w:val="none" w:sz="0" w:space="0" w:color="auto"/>
      </w:divBdr>
    </w:div>
    <w:div w:id="683750103">
      <w:bodyDiv w:val="1"/>
      <w:marLeft w:val="0"/>
      <w:marRight w:val="0"/>
      <w:marTop w:val="0"/>
      <w:marBottom w:val="0"/>
      <w:divBdr>
        <w:top w:val="none" w:sz="0" w:space="0" w:color="auto"/>
        <w:left w:val="none" w:sz="0" w:space="0" w:color="auto"/>
        <w:bottom w:val="none" w:sz="0" w:space="0" w:color="auto"/>
        <w:right w:val="none" w:sz="0" w:space="0" w:color="auto"/>
      </w:divBdr>
    </w:div>
    <w:div w:id="687099284">
      <w:bodyDiv w:val="1"/>
      <w:marLeft w:val="0"/>
      <w:marRight w:val="0"/>
      <w:marTop w:val="0"/>
      <w:marBottom w:val="0"/>
      <w:divBdr>
        <w:top w:val="none" w:sz="0" w:space="0" w:color="auto"/>
        <w:left w:val="none" w:sz="0" w:space="0" w:color="auto"/>
        <w:bottom w:val="none" w:sz="0" w:space="0" w:color="auto"/>
        <w:right w:val="none" w:sz="0" w:space="0" w:color="auto"/>
      </w:divBdr>
    </w:div>
    <w:div w:id="687634950">
      <w:bodyDiv w:val="1"/>
      <w:marLeft w:val="0"/>
      <w:marRight w:val="0"/>
      <w:marTop w:val="0"/>
      <w:marBottom w:val="0"/>
      <w:divBdr>
        <w:top w:val="none" w:sz="0" w:space="0" w:color="auto"/>
        <w:left w:val="none" w:sz="0" w:space="0" w:color="auto"/>
        <w:bottom w:val="none" w:sz="0" w:space="0" w:color="auto"/>
        <w:right w:val="none" w:sz="0" w:space="0" w:color="auto"/>
      </w:divBdr>
    </w:div>
    <w:div w:id="692612130">
      <w:bodyDiv w:val="1"/>
      <w:marLeft w:val="0"/>
      <w:marRight w:val="0"/>
      <w:marTop w:val="0"/>
      <w:marBottom w:val="0"/>
      <w:divBdr>
        <w:top w:val="none" w:sz="0" w:space="0" w:color="auto"/>
        <w:left w:val="none" w:sz="0" w:space="0" w:color="auto"/>
        <w:bottom w:val="none" w:sz="0" w:space="0" w:color="auto"/>
        <w:right w:val="none" w:sz="0" w:space="0" w:color="auto"/>
      </w:divBdr>
    </w:div>
    <w:div w:id="695428342">
      <w:bodyDiv w:val="1"/>
      <w:marLeft w:val="0"/>
      <w:marRight w:val="0"/>
      <w:marTop w:val="0"/>
      <w:marBottom w:val="0"/>
      <w:divBdr>
        <w:top w:val="none" w:sz="0" w:space="0" w:color="auto"/>
        <w:left w:val="none" w:sz="0" w:space="0" w:color="auto"/>
        <w:bottom w:val="none" w:sz="0" w:space="0" w:color="auto"/>
        <w:right w:val="none" w:sz="0" w:space="0" w:color="auto"/>
      </w:divBdr>
    </w:div>
    <w:div w:id="699555137">
      <w:bodyDiv w:val="1"/>
      <w:marLeft w:val="0"/>
      <w:marRight w:val="0"/>
      <w:marTop w:val="0"/>
      <w:marBottom w:val="0"/>
      <w:divBdr>
        <w:top w:val="none" w:sz="0" w:space="0" w:color="auto"/>
        <w:left w:val="none" w:sz="0" w:space="0" w:color="auto"/>
        <w:bottom w:val="none" w:sz="0" w:space="0" w:color="auto"/>
        <w:right w:val="none" w:sz="0" w:space="0" w:color="auto"/>
      </w:divBdr>
    </w:div>
    <w:div w:id="701712793">
      <w:bodyDiv w:val="1"/>
      <w:marLeft w:val="0"/>
      <w:marRight w:val="0"/>
      <w:marTop w:val="0"/>
      <w:marBottom w:val="0"/>
      <w:divBdr>
        <w:top w:val="none" w:sz="0" w:space="0" w:color="auto"/>
        <w:left w:val="none" w:sz="0" w:space="0" w:color="auto"/>
        <w:bottom w:val="none" w:sz="0" w:space="0" w:color="auto"/>
        <w:right w:val="none" w:sz="0" w:space="0" w:color="auto"/>
      </w:divBdr>
    </w:div>
    <w:div w:id="703098614">
      <w:bodyDiv w:val="1"/>
      <w:marLeft w:val="0"/>
      <w:marRight w:val="0"/>
      <w:marTop w:val="0"/>
      <w:marBottom w:val="0"/>
      <w:divBdr>
        <w:top w:val="none" w:sz="0" w:space="0" w:color="auto"/>
        <w:left w:val="none" w:sz="0" w:space="0" w:color="auto"/>
        <w:bottom w:val="none" w:sz="0" w:space="0" w:color="auto"/>
        <w:right w:val="none" w:sz="0" w:space="0" w:color="auto"/>
      </w:divBdr>
    </w:div>
    <w:div w:id="708064658">
      <w:bodyDiv w:val="1"/>
      <w:marLeft w:val="0"/>
      <w:marRight w:val="0"/>
      <w:marTop w:val="0"/>
      <w:marBottom w:val="0"/>
      <w:divBdr>
        <w:top w:val="none" w:sz="0" w:space="0" w:color="auto"/>
        <w:left w:val="none" w:sz="0" w:space="0" w:color="auto"/>
        <w:bottom w:val="none" w:sz="0" w:space="0" w:color="auto"/>
        <w:right w:val="none" w:sz="0" w:space="0" w:color="auto"/>
      </w:divBdr>
    </w:div>
    <w:div w:id="710542756">
      <w:bodyDiv w:val="1"/>
      <w:marLeft w:val="0"/>
      <w:marRight w:val="0"/>
      <w:marTop w:val="0"/>
      <w:marBottom w:val="0"/>
      <w:divBdr>
        <w:top w:val="none" w:sz="0" w:space="0" w:color="auto"/>
        <w:left w:val="none" w:sz="0" w:space="0" w:color="auto"/>
        <w:bottom w:val="none" w:sz="0" w:space="0" w:color="auto"/>
        <w:right w:val="none" w:sz="0" w:space="0" w:color="auto"/>
      </w:divBdr>
    </w:div>
    <w:div w:id="713506176">
      <w:bodyDiv w:val="1"/>
      <w:marLeft w:val="0"/>
      <w:marRight w:val="0"/>
      <w:marTop w:val="0"/>
      <w:marBottom w:val="0"/>
      <w:divBdr>
        <w:top w:val="none" w:sz="0" w:space="0" w:color="auto"/>
        <w:left w:val="none" w:sz="0" w:space="0" w:color="auto"/>
        <w:bottom w:val="none" w:sz="0" w:space="0" w:color="auto"/>
        <w:right w:val="none" w:sz="0" w:space="0" w:color="auto"/>
      </w:divBdr>
    </w:div>
    <w:div w:id="716709120">
      <w:bodyDiv w:val="1"/>
      <w:marLeft w:val="0"/>
      <w:marRight w:val="0"/>
      <w:marTop w:val="0"/>
      <w:marBottom w:val="0"/>
      <w:divBdr>
        <w:top w:val="none" w:sz="0" w:space="0" w:color="auto"/>
        <w:left w:val="none" w:sz="0" w:space="0" w:color="auto"/>
        <w:bottom w:val="none" w:sz="0" w:space="0" w:color="auto"/>
        <w:right w:val="none" w:sz="0" w:space="0" w:color="auto"/>
      </w:divBdr>
    </w:div>
    <w:div w:id="717365547">
      <w:bodyDiv w:val="1"/>
      <w:marLeft w:val="0"/>
      <w:marRight w:val="0"/>
      <w:marTop w:val="0"/>
      <w:marBottom w:val="0"/>
      <w:divBdr>
        <w:top w:val="none" w:sz="0" w:space="0" w:color="auto"/>
        <w:left w:val="none" w:sz="0" w:space="0" w:color="auto"/>
        <w:bottom w:val="none" w:sz="0" w:space="0" w:color="auto"/>
        <w:right w:val="none" w:sz="0" w:space="0" w:color="auto"/>
      </w:divBdr>
    </w:div>
    <w:div w:id="737438837">
      <w:bodyDiv w:val="1"/>
      <w:marLeft w:val="0"/>
      <w:marRight w:val="0"/>
      <w:marTop w:val="0"/>
      <w:marBottom w:val="0"/>
      <w:divBdr>
        <w:top w:val="none" w:sz="0" w:space="0" w:color="auto"/>
        <w:left w:val="none" w:sz="0" w:space="0" w:color="auto"/>
        <w:bottom w:val="none" w:sz="0" w:space="0" w:color="auto"/>
        <w:right w:val="none" w:sz="0" w:space="0" w:color="auto"/>
      </w:divBdr>
    </w:div>
    <w:div w:id="738750082">
      <w:bodyDiv w:val="1"/>
      <w:marLeft w:val="0"/>
      <w:marRight w:val="0"/>
      <w:marTop w:val="0"/>
      <w:marBottom w:val="0"/>
      <w:divBdr>
        <w:top w:val="none" w:sz="0" w:space="0" w:color="auto"/>
        <w:left w:val="none" w:sz="0" w:space="0" w:color="auto"/>
        <w:bottom w:val="none" w:sz="0" w:space="0" w:color="auto"/>
        <w:right w:val="none" w:sz="0" w:space="0" w:color="auto"/>
      </w:divBdr>
    </w:div>
    <w:div w:id="740786116">
      <w:bodyDiv w:val="1"/>
      <w:marLeft w:val="0"/>
      <w:marRight w:val="0"/>
      <w:marTop w:val="0"/>
      <w:marBottom w:val="0"/>
      <w:divBdr>
        <w:top w:val="none" w:sz="0" w:space="0" w:color="auto"/>
        <w:left w:val="none" w:sz="0" w:space="0" w:color="auto"/>
        <w:bottom w:val="none" w:sz="0" w:space="0" w:color="auto"/>
        <w:right w:val="none" w:sz="0" w:space="0" w:color="auto"/>
      </w:divBdr>
    </w:div>
    <w:div w:id="750352343">
      <w:bodyDiv w:val="1"/>
      <w:marLeft w:val="0"/>
      <w:marRight w:val="0"/>
      <w:marTop w:val="0"/>
      <w:marBottom w:val="0"/>
      <w:divBdr>
        <w:top w:val="none" w:sz="0" w:space="0" w:color="auto"/>
        <w:left w:val="none" w:sz="0" w:space="0" w:color="auto"/>
        <w:bottom w:val="none" w:sz="0" w:space="0" w:color="auto"/>
        <w:right w:val="none" w:sz="0" w:space="0" w:color="auto"/>
      </w:divBdr>
    </w:div>
    <w:div w:id="752236882">
      <w:bodyDiv w:val="1"/>
      <w:marLeft w:val="0"/>
      <w:marRight w:val="0"/>
      <w:marTop w:val="0"/>
      <w:marBottom w:val="0"/>
      <w:divBdr>
        <w:top w:val="none" w:sz="0" w:space="0" w:color="auto"/>
        <w:left w:val="none" w:sz="0" w:space="0" w:color="auto"/>
        <w:bottom w:val="none" w:sz="0" w:space="0" w:color="auto"/>
        <w:right w:val="none" w:sz="0" w:space="0" w:color="auto"/>
      </w:divBdr>
    </w:div>
    <w:div w:id="756287680">
      <w:bodyDiv w:val="1"/>
      <w:marLeft w:val="0"/>
      <w:marRight w:val="0"/>
      <w:marTop w:val="0"/>
      <w:marBottom w:val="0"/>
      <w:divBdr>
        <w:top w:val="none" w:sz="0" w:space="0" w:color="auto"/>
        <w:left w:val="none" w:sz="0" w:space="0" w:color="auto"/>
        <w:bottom w:val="none" w:sz="0" w:space="0" w:color="auto"/>
        <w:right w:val="none" w:sz="0" w:space="0" w:color="auto"/>
      </w:divBdr>
    </w:div>
    <w:div w:id="764806765">
      <w:bodyDiv w:val="1"/>
      <w:marLeft w:val="0"/>
      <w:marRight w:val="0"/>
      <w:marTop w:val="0"/>
      <w:marBottom w:val="0"/>
      <w:divBdr>
        <w:top w:val="none" w:sz="0" w:space="0" w:color="auto"/>
        <w:left w:val="none" w:sz="0" w:space="0" w:color="auto"/>
        <w:bottom w:val="none" w:sz="0" w:space="0" w:color="auto"/>
        <w:right w:val="none" w:sz="0" w:space="0" w:color="auto"/>
      </w:divBdr>
    </w:div>
    <w:div w:id="772166103">
      <w:bodyDiv w:val="1"/>
      <w:marLeft w:val="0"/>
      <w:marRight w:val="0"/>
      <w:marTop w:val="0"/>
      <w:marBottom w:val="0"/>
      <w:divBdr>
        <w:top w:val="none" w:sz="0" w:space="0" w:color="auto"/>
        <w:left w:val="none" w:sz="0" w:space="0" w:color="auto"/>
        <w:bottom w:val="none" w:sz="0" w:space="0" w:color="auto"/>
        <w:right w:val="none" w:sz="0" w:space="0" w:color="auto"/>
      </w:divBdr>
    </w:div>
    <w:div w:id="772359110">
      <w:bodyDiv w:val="1"/>
      <w:marLeft w:val="0"/>
      <w:marRight w:val="0"/>
      <w:marTop w:val="0"/>
      <w:marBottom w:val="0"/>
      <w:divBdr>
        <w:top w:val="none" w:sz="0" w:space="0" w:color="auto"/>
        <w:left w:val="none" w:sz="0" w:space="0" w:color="auto"/>
        <w:bottom w:val="none" w:sz="0" w:space="0" w:color="auto"/>
        <w:right w:val="none" w:sz="0" w:space="0" w:color="auto"/>
      </w:divBdr>
    </w:div>
    <w:div w:id="773129996">
      <w:bodyDiv w:val="1"/>
      <w:marLeft w:val="0"/>
      <w:marRight w:val="0"/>
      <w:marTop w:val="0"/>
      <w:marBottom w:val="0"/>
      <w:divBdr>
        <w:top w:val="none" w:sz="0" w:space="0" w:color="auto"/>
        <w:left w:val="none" w:sz="0" w:space="0" w:color="auto"/>
        <w:bottom w:val="none" w:sz="0" w:space="0" w:color="auto"/>
        <w:right w:val="none" w:sz="0" w:space="0" w:color="auto"/>
      </w:divBdr>
    </w:div>
    <w:div w:id="773867696">
      <w:bodyDiv w:val="1"/>
      <w:marLeft w:val="0"/>
      <w:marRight w:val="0"/>
      <w:marTop w:val="0"/>
      <w:marBottom w:val="0"/>
      <w:divBdr>
        <w:top w:val="none" w:sz="0" w:space="0" w:color="auto"/>
        <w:left w:val="none" w:sz="0" w:space="0" w:color="auto"/>
        <w:bottom w:val="none" w:sz="0" w:space="0" w:color="auto"/>
        <w:right w:val="none" w:sz="0" w:space="0" w:color="auto"/>
      </w:divBdr>
    </w:div>
    <w:div w:id="778914467">
      <w:bodyDiv w:val="1"/>
      <w:marLeft w:val="0"/>
      <w:marRight w:val="0"/>
      <w:marTop w:val="0"/>
      <w:marBottom w:val="0"/>
      <w:divBdr>
        <w:top w:val="none" w:sz="0" w:space="0" w:color="auto"/>
        <w:left w:val="none" w:sz="0" w:space="0" w:color="auto"/>
        <w:bottom w:val="none" w:sz="0" w:space="0" w:color="auto"/>
        <w:right w:val="none" w:sz="0" w:space="0" w:color="auto"/>
      </w:divBdr>
    </w:div>
    <w:div w:id="778992757">
      <w:bodyDiv w:val="1"/>
      <w:marLeft w:val="0"/>
      <w:marRight w:val="0"/>
      <w:marTop w:val="0"/>
      <w:marBottom w:val="0"/>
      <w:divBdr>
        <w:top w:val="none" w:sz="0" w:space="0" w:color="auto"/>
        <w:left w:val="none" w:sz="0" w:space="0" w:color="auto"/>
        <w:bottom w:val="none" w:sz="0" w:space="0" w:color="auto"/>
        <w:right w:val="none" w:sz="0" w:space="0" w:color="auto"/>
      </w:divBdr>
    </w:div>
    <w:div w:id="787629978">
      <w:bodyDiv w:val="1"/>
      <w:marLeft w:val="0"/>
      <w:marRight w:val="0"/>
      <w:marTop w:val="0"/>
      <w:marBottom w:val="0"/>
      <w:divBdr>
        <w:top w:val="none" w:sz="0" w:space="0" w:color="auto"/>
        <w:left w:val="none" w:sz="0" w:space="0" w:color="auto"/>
        <w:bottom w:val="none" w:sz="0" w:space="0" w:color="auto"/>
        <w:right w:val="none" w:sz="0" w:space="0" w:color="auto"/>
      </w:divBdr>
    </w:div>
    <w:div w:id="798650241">
      <w:bodyDiv w:val="1"/>
      <w:marLeft w:val="0"/>
      <w:marRight w:val="0"/>
      <w:marTop w:val="0"/>
      <w:marBottom w:val="0"/>
      <w:divBdr>
        <w:top w:val="none" w:sz="0" w:space="0" w:color="auto"/>
        <w:left w:val="none" w:sz="0" w:space="0" w:color="auto"/>
        <w:bottom w:val="none" w:sz="0" w:space="0" w:color="auto"/>
        <w:right w:val="none" w:sz="0" w:space="0" w:color="auto"/>
      </w:divBdr>
    </w:div>
    <w:div w:id="801923533">
      <w:bodyDiv w:val="1"/>
      <w:marLeft w:val="0"/>
      <w:marRight w:val="0"/>
      <w:marTop w:val="0"/>
      <w:marBottom w:val="0"/>
      <w:divBdr>
        <w:top w:val="none" w:sz="0" w:space="0" w:color="auto"/>
        <w:left w:val="none" w:sz="0" w:space="0" w:color="auto"/>
        <w:bottom w:val="none" w:sz="0" w:space="0" w:color="auto"/>
        <w:right w:val="none" w:sz="0" w:space="0" w:color="auto"/>
      </w:divBdr>
    </w:div>
    <w:div w:id="807281241">
      <w:bodyDiv w:val="1"/>
      <w:marLeft w:val="0"/>
      <w:marRight w:val="0"/>
      <w:marTop w:val="0"/>
      <w:marBottom w:val="0"/>
      <w:divBdr>
        <w:top w:val="none" w:sz="0" w:space="0" w:color="auto"/>
        <w:left w:val="none" w:sz="0" w:space="0" w:color="auto"/>
        <w:bottom w:val="none" w:sz="0" w:space="0" w:color="auto"/>
        <w:right w:val="none" w:sz="0" w:space="0" w:color="auto"/>
      </w:divBdr>
    </w:div>
    <w:div w:id="813983866">
      <w:bodyDiv w:val="1"/>
      <w:marLeft w:val="0"/>
      <w:marRight w:val="0"/>
      <w:marTop w:val="0"/>
      <w:marBottom w:val="0"/>
      <w:divBdr>
        <w:top w:val="none" w:sz="0" w:space="0" w:color="auto"/>
        <w:left w:val="none" w:sz="0" w:space="0" w:color="auto"/>
        <w:bottom w:val="none" w:sz="0" w:space="0" w:color="auto"/>
        <w:right w:val="none" w:sz="0" w:space="0" w:color="auto"/>
      </w:divBdr>
    </w:div>
    <w:div w:id="814420072">
      <w:bodyDiv w:val="1"/>
      <w:marLeft w:val="0"/>
      <w:marRight w:val="0"/>
      <w:marTop w:val="0"/>
      <w:marBottom w:val="0"/>
      <w:divBdr>
        <w:top w:val="none" w:sz="0" w:space="0" w:color="auto"/>
        <w:left w:val="none" w:sz="0" w:space="0" w:color="auto"/>
        <w:bottom w:val="none" w:sz="0" w:space="0" w:color="auto"/>
        <w:right w:val="none" w:sz="0" w:space="0" w:color="auto"/>
      </w:divBdr>
    </w:div>
    <w:div w:id="817652175">
      <w:bodyDiv w:val="1"/>
      <w:marLeft w:val="0"/>
      <w:marRight w:val="0"/>
      <w:marTop w:val="0"/>
      <w:marBottom w:val="0"/>
      <w:divBdr>
        <w:top w:val="none" w:sz="0" w:space="0" w:color="auto"/>
        <w:left w:val="none" w:sz="0" w:space="0" w:color="auto"/>
        <w:bottom w:val="none" w:sz="0" w:space="0" w:color="auto"/>
        <w:right w:val="none" w:sz="0" w:space="0" w:color="auto"/>
      </w:divBdr>
    </w:div>
    <w:div w:id="817653011">
      <w:bodyDiv w:val="1"/>
      <w:marLeft w:val="0"/>
      <w:marRight w:val="0"/>
      <w:marTop w:val="0"/>
      <w:marBottom w:val="0"/>
      <w:divBdr>
        <w:top w:val="none" w:sz="0" w:space="0" w:color="auto"/>
        <w:left w:val="none" w:sz="0" w:space="0" w:color="auto"/>
        <w:bottom w:val="none" w:sz="0" w:space="0" w:color="auto"/>
        <w:right w:val="none" w:sz="0" w:space="0" w:color="auto"/>
      </w:divBdr>
    </w:div>
    <w:div w:id="826288615">
      <w:bodyDiv w:val="1"/>
      <w:marLeft w:val="0"/>
      <w:marRight w:val="0"/>
      <w:marTop w:val="0"/>
      <w:marBottom w:val="0"/>
      <w:divBdr>
        <w:top w:val="none" w:sz="0" w:space="0" w:color="auto"/>
        <w:left w:val="none" w:sz="0" w:space="0" w:color="auto"/>
        <w:bottom w:val="none" w:sz="0" w:space="0" w:color="auto"/>
        <w:right w:val="none" w:sz="0" w:space="0" w:color="auto"/>
      </w:divBdr>
    </w:div>
    <w:div w:id="827601351">
      <w:bodyDiv w:val="1"/>
      <w:marLeft w:val="0"/>
      <w:marRight w:val="0"/>
      <w:marTop w:val="0"/>
      <w:marBottom w:val="0"/>
      <w:divBdr>
        <w:top w:val="none" w:sz="0" w:space="0" w:color="auto"/>
        <w:left w:val="none" w:sz="0" w:space="0" w:color="auto"/>
        <w:bottom w:val="none" w:sz="0" w:space="0" w:color="auto"/>
        <w:right w:val="none" w:sz="0" w:space="0" w:color="auto"/>
      </w:divBdr>
    </w:div>
    <w:div w:id="833060788">
      <w:bodyDiv w:val="1"/>
      <w:marLeft w:val="0"/>
      <w:marRight w:val="0"/>
      <w:marTop w:val="0"/>
      <w:marBottom w:val="0"/>
      <w:divBdr>
        <w:top w:val="none" w:sz="0" w:space="0" w:color="auto"/>
        <w:left w:val="none" w:sz="0" w:space="0" w:color="auto"/>
        <w:bottom w:val="none" w:sz="0" w:space="0" w:color="auto"/>
        <w:right w:val="none" w:sz="0" w:space="0" w:color="auto"/>
      </w:divBdr>
    </w:div>
    <w:div w:id="833760562">
      <w:bodyDiv w:val="1"/>
      <w:marLeft w:val="0"/>
      <w:marRight w:val="0"/>
      <w:marTop w:val="0"/>
      <w:marBottom w:val="0"/>
      <w:divBdr>
        <w:top w:val="none" w:sz="0" w:space="0" w:color="auto"/>
        <w:left w:val="none" w:sz="0" w:space="0" w:color="auto"/>
        <w:bottom w:val="none" w:sz="0" w:space="0" w:color="auto"/>
        <w:right w:val="none" w:sz="0" w:space="0" w:color="auto"/>
      </w:divBdr>
    </w:div>
    <w:div w:id="841622941">
      <w:bodyDiv w:val="1"/>
      <w:marLeft w:val="0"/>
      <w:marRight w:val="0"/>
      <w:marTop w:val="0"/>
      <w:marBottom w:val="0"/>
      <w:divBdr>
        <w:top w:val="none" w:sz="0" w:space="0" w:color="auto"/>
        <w:left w:val="none" w:sz="0" w:space="0" w:color="auto"/>
        <w:bottom w:val="none" w:sz="0" w:space="0" w:color="auto"/>
        <w:right w:val="none" w:sz="0" w:space="0" w:color="auto"/>
      </w:divBdr>
    </w:div>
    <w:div w:id="842935654">
      <w:bodyDiv w:val="1"/>
      <w:marLeft w:val="0"/>
      <w:marRight w:val="0"/>
      <w:marTop w:val="0"/>
      <w:marBottom w:val="0"/>
      <w:divBdr>
        <w:top w:val="none" w:sz="0" w:space="0" w:color="auto"/>
        <w:left w:val="none" w:sz="0" w:space="0" w:color="auto"/>
        <w:bottom w:val="none" w:sz="0" w:space="0" w:color="auto"/>
        <w:right w:val="none" w:sz="0" w:space="0" w:color="auto"/>
      </w:divBdr>
    </w:div>
    <w:div w:id="845050676">
      <w:bodyDiv w:val="1"/>
      <w:marLeft w:val="0"/>
      <w:marRight w:val="0"/>
      <w:marTop w:val="0"/>
      <w:marBottom w:val="0"/>
      <w:divBdr>
        <w:top w:val="none" w:sz="0" w:space="0" w:color="auto"/>
        <w:left w:val="none" w:sz="0" w:space="0" w:color="auto"/>
        <w:bottom w:val="none" w:sz="0" w:space="0" w:color="auto"/>
        <w:right w:val="none" w:sz="0" w:space="0" w:color="auto"/>
      </w:divBdr>
    </w:div>
    <w:div w:id="854878241">
      <w:bodyDiv w:val="1"/>
      <w:marLeft w:val="0"/>
      <w:marRight w:val="0"/>
      <w:marTop w:val="0"/>
      <w:marBottom w:val="0"/>
      <w:divBdr>
        <w:top w:val="none" w:sz="0" w:space="0" w:color="auto"/>
        <w:left w:val="none" w:sz="0" w:space="0" w:color="auto"/>
        <w:bottom w:val="none" w:sz="0" w:space="0" w:color="auto"/>
        <w:right w:val="none" w:sz="0" w:space="0" w:color="auto"/>
      </w:divBdr>
    </w:div>
    <w:div w:id="858206153">
      <w:bodyDiv w:val="1"/>
      <w:marLeft w:val="0"/>
      <w:marRight w:val="0"/>
      <w:marTop w:val="0"/>
      <w:marBottom w:val="0"/>
      <w:divBdr>
        <w:top w:val="none" w:sz="0" w:space="0" w:color="auto"/>
        <w:left w:val="none" w:sz="0" w:space="0" w:color="auto"/>
        <w:bottom w:val="none" w:sz="0" w:space="0" w:color="auto"/>
        <w:right w:val="none" w:sz="0" w:space="0" w:color="auto"/>
      </w:divBdr>
    </w:div>
    <w:div w:id="860169672">
      <w:bodyDiv w:val="1"/>
      <w:marLeft w:val="0"/>
      <w:marRight w:val="0"/>
      <w:marTop w:val="0"/>
      <w:marBottom w:val="0"/>
      <w:divBdr>
        <w:top w:val="none" w:sz="0" w:space="0" w:color="auto"/>
        <w:left w:val="none" w:sz="0" w:space="0" w:color="auto"/>
        <w:bottom w:val="none" w:sz="0" w:space="0" w:color="auto"/>
        <w:right w:val="none" w:sz="0" w:space="0" w:color="auto"/>
      </w:divBdr>
    </w:div>
    <w:div w:id="869758204">
      <w:bodyDiv w:val="1"/>
      <w:marLeft w:val="0"/>
      <w:marRight w:val="0"/>
      <w:marTop w:val="0"/>
      <w:marBottom w:val="0"/>
      <w:divBdr>
        <w:top w:val="none" w:sz="0" w:space="0" w:color="auto"/>
        <w:left w:val="none" w:sz="0" w:space="0" w:color="auto"/>
        <w:bottom w:val="none" w:sz="0" w:space="0" w:color="auto"/>
        <w:right w:val="none" w:sz="0" w:space="0" w:color="auto"/>
      </w:divBdr>
    </w:div>
    <w:div w:id="873078705">
      <w:bodyDiv w:val="1"/>
      <w:marLeft w:val="0"/>
      <w:marRight w:val="0"/>
      <w:marTop w:val="0"/>
      <w:marBottom w:val="0"/>
      <w:divBdr>
        <w:top w:val="none" w:sz="0" w:space="0" w:color="auto"/>
        <w:left w:val="none" w:sz="0" w:space="0" w:color="auto"/>
        <w:bottom w:val="none" w:sz="0" w:space="0" w:color="auto"/>
        <w:right w:val="none" w:sz="0" w:space="0" w:color="auto"/>
      </w:divBdr>
    </w:div>
    <w:div w:id="878203281">
      <w:bodyDiv w:val="1"/>
      <w:marLeft w:val="0"/>
      <w:marRight w:val="0"/>
      <w:marTop w:val="0"/>
      <w:marBottom w:val="0"/>
      <w:divBdr>
        <w:top w:val="none" w:sz="0" w:space="0" w:color="auto"/>
        <w:left w:val="none" w:sz="0" w:space="0" w:color="auto"/>
        <w:bottom w:val="none" w:sz="0" w:space="0" w:color="auto"/>
        <w:right w:val="none" w:sz="0" w:space="0" w:color="auto"/>
      </w:divBdr>
    </w:div>
    <w:div w:id="881211210">
      <w:bodyDiv w:val="1"/>
      <w:marLeft w:val="0"/>
      <w:marRight w:val="0"/>
      <w:marTop w:val="0"/>
      <w:marBottom w:val="0"/>
      <w:divBdr>
        <w:top w:val="none" w:sz="0" w:space="0" w:color="auto"/>
        <w:left w:val="none" w:sz="0" w:space="0" w:color="auto"/>
        <w:bottom w:val="none" w:sz="0" w:space="0" w:color="auto"/>
        <w:right w:val="none" w:sz="0" w:space="0" w:color="auto"/>
      </w:divBdr>
    </w:div>
    <w:div w:id="882444932">
      <w:bodyDiv w:val="1"/>
      <w:marLeft w:val="0"/>
      <w:marRight w:val="0"/>
      <w:marTop w:val="0"/>
      <w:marBottom w:val="0"/>
      <w:divBdr>
        <w:top w:val="none" w:sz="0" w:space="0" w:color="auto"/>
        <w:left w:val="none" w:sz="0" w:space="0" w:color="auto"/>
        <w:bottom w:val="none" w:sz="0" w:space="0" w:color="auto"/>
        <w:right w:val="none" w:sz="0" w:space="0" w:color="auto"/>
      </w:divBdr>
    </w:div>
    <w:div w:id="889344289">
      <w:bodyDiv w:val="1"/>
      <w:marLeft w:val="0"/>
      <w:marRight w:val="0"/>
      <w:marTop w:val="0"/>
      <w:marBottom w:val="0"/>
      <w:divBdr>
        <w:top w:val="none" w:sz="0" w:space="0" w:color="auto"/>
        <w:left w:val="none" w:sz="0" w:space="0" w:color="auto"/>
        <w:bottom w:val="none" w:sz="0" w:space="0" w:color="auto"/>
        <w:right w:val="none" w:sz="0" w:space="0" w:color="auto"/>
      </w:divBdr>
    </w:div>
    <w:div w:id="892697549">
      <w:bodyDiv w:val="1"/>
      <w:marLeft w:val="0"/>
      <w:marRight w:val="0"/>
      <w:marTop w:val="0"/>
      <w:marBottom w:val="0"/>
      <w:divBdr>
        <w:top w:val="none" w:sz="0" w:space="0" w:color="auto"/>
        <w:left w:val="none" w:sz="0" w:space="0" w:color="auto"/>
        <w:bottom w:val="none" w:sz="0" w:space="0" w:color="auto"/>
        <w:right w:val="none" w:sz="0" w:space="0" w:color="auto"/>
      </w:divBdr>
    </w:div>
    <w:div w:id="893933390">
      <w:bodyDiv w:val="1"/>
      <w:marLeft w:val="0"/>
      <w:marRight w:val="0"/>
      <w:marTop w:val="0"/>
      <w:marBottom w:val="0"/>
      <w:divBdr>
        <w:top w:val="none" w:sz="0" w:space="0" w:color="auto"/>
        <w:left w:val="none" w:sz="0" w:space="0" w:color="auto"/>
        <w:bottom w:val="none" w:sz="0" w:space="0" w:color="auto"/>
        <w:right w:val="none" w:sz="0" w:space="0" w:color="auto"/>
      </w:divBdr>
    </w:div>
    <w:div w:id="897785790">
      <w:bodyDiv w:val="1"/>
      <w:marLeft w:val="0"/>
      <w:marRight w:val="0"/>
      <w:marTop w:val="0"/>
      <w:marBottom w:val="0"/>
      <w:divBdr>
        <w:top w:val="none" w:sz="0" w:space="0" w:color="auto"/>
        <w:left w:val="none" w:sz="0" w:space="0" w:color="auto"/>
        <w:bottom w:val="none" w:sz="0" w:space="0" w:color="auto"/>
        <w:right w:val="none" w:sz="0" w:space="0" w:color="auto"/>
      </w:divBdr>
    </w:div>
    <w:div w:id="898398902">
      <w:bodyDiv w:val="1"/>
      <w:marLeft w:val="0"/>
      <w:marRight w:val="0"/>
      <w:marTop w:val="0"/>
      <w:marBottom w:val="0"/>
      <w:divBdr>
        <w:top w:val="none" w:sz="0" w:space="0" w:color="auto"/>
        <w:left w:val="none" w:sz="0" w:space="0" w:color="auto"/>
        <w:bottom w:val="none" w:sz="0" w:space="0" w:color="auto"/>
        <w:right w:val="none" w:sz="0" w:space="0" w:color="auto"/>
      </w:divBdr>
    </w:div>
    <w:div w:id="901066451">
      <w:bodyDiv w:val="1"/>
      <w:marLeft w:val="0"/>
      <w:marRight w:val="0"/>
      <w:marTop w:val="0"/>
      <w:marBottom w:val="0"/>
      <w:divBdr>
        <w:top w:val="none" w:sz="0" w:space="0" w:color="auto"/>
        <w:left w:val="none" w:sz="0" w:space="0" w:color="auto"/>
        <w:bottom w:val="none" w:sz="0" w:space="0" w:color="auto"/>
        <w:right w:val="none" w:sz="0" w:space="0" w:color="auto"/>
      </w:divBdr>
    </w:div>
    <w:div w:id="902258701">
      <w:bodyDiv w:val="1"/>
      <w:marLeft w:val="0"/>
      <w:marRight w:val="0"/>
      <w:marTop w:val="0"/>
      <w:marBottom w:val="0"/>
      <w:divBdr>
        <w:top w:val="none" w:sz="0" w:space="0" w:color="auto"/>
        <w:left w:val="none" w:sz="0" w:space="0" w:color="auto"/>
        <w:bottom w:val="none" w:sz="0" w:space="0" w:color="auto"/>
        <w:right w:val="none" w:sz="0" w:space="0" w:color="auto"/>
      </w:divBdr>
    </w:div>
    <w:div w:id="907300149">
      <w:bodyDiv w:val="1"/>
      <w:marLeft w:val="0"/>
      <w:marRight w:val="0"/>
      <w:marTop w:val="0"/>
      <w:marBottom w:val="0"/>
      <w:divBdr>
        <w:top w:val="none" w:sz="0" w:space="0" w:color="auto"/>
        <w:left w:val="none" w:sz="0" w:space="0" w:color="auto"/>
        <w:bottom w:val="none" w:sz="0" w:space="0" w:color="auto"/>
        <w:right w:val="none" w:sz="0" w:space="0" w:color="auto"/>
      </w:divBdr>
    </w:div>
    <w:div w:id="911891735">
      <w:bodyDiv w:val="1"/>
      <w:marLeft w:val="0"/>
      <w:marRight w:val="0"/>
      <w:marTop w:val="0"/>
      <w:marBottom w:val="0"/>
      <w:divBdr>
        <w:top w:val="none" w:sz="0" w:space="0" w:color="auto"/>
        <w:left w:val="none" w:sz="0" w:space="0" w:color="auto"/>
        <w:bottom w:val="none" w:sz="0" w:space="0" w:color="auto"/>
        <w:right w:val="none" w:sz="0" w:space="0" w:color="auto"/>
      </w:divBdr>
    </w:div>
    <w:div w:id="920480813">
      <w:bodyDiv w:val="1"/>
      <w:marLeft w:val="0"/>
      <w:marRight w:val="0"/>
      <w:marTop w:val="0"/>
      <w:marBottom w:val="0"/>
      <w:divBdr>
        <w:top w:val="none" w:sz="0" w:space="0" w:color="auto"/>
        <w:left w:val="none" w:sz="0" w:space="0" w:color="auto"/>
        <w:bottom w:val="none" w:sz="0" w:space="0" w:color="auto"/>
        <w:right w:val="none" w:sz="0" w:space="0" w:color="auto"/>
      </w:divBdr>
    </w:div>
    <w:div w:id="921448727">
      <w:bodyDiv w:val="1"/>
      <w:marLeft w:val="0"/>
      <w:marRight w:val="0"/>
      <w:marTop w:val="0"/>
      <w:marBottom w:val="0"/>
      <w:divBdr>
        <w:top w:val="none" w:sz="0" w:space="0" w:color="auto"/>
        <w:left w:val="none" w:sz="0" w:space="0" w:color="auto"/>
        <w:bottom w:val="none" w:sz="0" w:space="0" w:color="auto"/>
        <w:right w:val="none" w:sz="0" w:space="0" w:color="auto"/>
      </w:divBdr>
    </w:div>
    <w:div w:id="922301469">
      <w:bodyDiv w:val="1"/>
      <w:marLeft w:val="0"/>
      <w:marRight w:val="0"/>
      <w:marTop w:val="0"/>
      <w:marBottom w:val="0"/>
      <w:divBdr>
        <w:top w:val="none" w:sz="0" w:space="0" w:color="auto"/>
        <w:left w:val="none" w:sz="0" w:space="0" w:color="auto"/>
        <w:bottom w:val="none" w:sz="0" w:space="0" w:color="auto"/>
        <w:right w:val="none" w:sz="0" w:space="0" w:color="auto"/>
      </w:divBdr>
    </w:div>
    <w:div w:id="922685738">
      <w:bodyDiv w:val="1"/>
      <w:marLeft w:val="0"/>
      <w:marRight w:val="0"/>
      <w:marTop w:val="0"/>
      <w:marBottom w:val="0"/>
      <w:divBdr>
        <w:top w:val="none" w:sz="0" w:space="0" w:color="auto"/>
        <w:left w:val="none" w:sz="0" w:space="0" w:color="auto"/>
        <w:bottom w:val="none" w:sz="0" w:space="0" w:color="auto"/>
        <w:right w:val="none" w:sz="0" w:space="0" w:color="auto"/>
      </w:divBdr>
    </w:div>
    <w:div w:id="932318660">
      <w:bodyDiv w:val="1"/>
      <w:marLeft w:val="0"/>
      <w:marRight w:val="0"/>
      <w:marTop w:val="0"/>
      <w:marBottom w:val="0"/>
      <w:divBdr>
        <w:top w:val="none" w:sz="0" w:space="0" w:color="auto"/>
        <w:left w:val="none" w:sz="0" w:space="0" w:color="auto"/>
        <w:bottom w:val="none" w:sz="0" w:space="0" w:color="auto"/>
        <w:right w:val="none" w:sz="0" w:space="0" w:color="auto"/>
      </w:divBdr>
    </w:div>
    <w:div w:id="933784356">
      <w:bodyDiv w:val="1"/>
      <w:marLeft w:val="0"/>
      <w:marRight w:val="0"/>
      <w:marTop w:val="0"/>
      <w:marBottom w:val="0"/>
      <w:divBdr>
        <w:top w:val="none" w:sz="0" w:space="0" w:color="auto"/>
        <w:left w:val="none" w:sz="0" w:space="0" w:color="auto"/>
        <w:bottom w:val="none" w:sz="0" w:space="0" w:color="auto"/>
        <w:right w:val="none" w:sz="0" w:space="0" w:color="auto"/>
      </w:divBdr>
    </w:div>
    <w:div w:id="934091054">
      <w:bodyDiv w:val="1"/>
      <w:marLeft w:val="0"/>
      <w:marRight w:val="0"/>
      <w:marTop w:val="0"/>
      <w:marBottom w:val="0"/>
      <w:divBdr>
        <w:top w:val="none" w:sz="0" w:space="0" w:color="auto"/>
        <w:left w:val="none" w:sz="0" w:space="0" w:color="auto"/>
        <w:bottom w:val="none" w:sz="0" w:space="0" w:color="auto"/>
        <w:right w:val="none" w:sz="0" w:space="0" w:color="auto"/>
      </w:divBdr>
    </w:div>
    <w:div w:id="936712008">
      <w:bodyDiv w:val="1"/>
      <w:marLeft w:val="0"/>
      <w:marRight w:val="0"/>
      <w:marTop w:val="0"/>
      <w:marBottom w:val="0"/>
      <w:divBdr>
        <w:top w:val="none" w:sz="0" w:space="0" w:color="auto"/>
        <w:left w:val="none" w:sz="0" w:space="0" w:color="auto"/>
        <w:bottom w:val="none" w:sz="0" w:space="0" w:color="auto"/>
        <w:right w:val="none" w:sz="0" w:space="0" w:color="auto"/>
      </w:divBdr>
    </w:div>
    <w:div w:id="936792679">
      <w:bodyDiv w:val="1"/>
      <w:marLeft w:val="0"/>
      <w:marRight w:val="0"/>
      <w:marTop w:val="0"/>
      <w:marBottom w:val="0"/>
      <w:divBdr>
        <w:top w:val="none" w:sz="0" w:space="0" w:color="auto"/>
        <w:left w:val="none" w:sz="0" w:space="0" w:color="auto"/>
        <w:bottom w:val="none" w:sz="0" w:space="0" w:color="auto"/>
        <w:right w:val="none" w:sz="0" w:space="0" w:color="auto"/>
      </w:divBdr>
    </w:div>
    <w:div w:id="937981163">
      <w:bodyDiv w:val="1"/>
      <w:marLeft w:val="0"/>
      <w:marRight w:val="0"/>
      <w:marTop w:val="0"/>
      <w:marBottom w:val="0"/>
      <w:divBdr>
        <w:top w:val="none" w:sz="0" w:space="0" w:color="auto"/>
        <w:left w:val="none" w:sz="0" w:space="0" w:color="auto"/>
        <w:bottom w:val="none" w:sz="0" w:space="0" w:color="auto"/>
        <w:right w:val="none" w:sz="0" w:space="0" w:color="auto"/>
      </w:divBdr>
    </w:div>
    <w:div w:id="951980749">
      <w:bodyDiv w:val="1"/>
      <w:marLeft w:val="0"/>
      <w:marRight w:val="0"/>
      <w:marTop w:val="0"/>
      <w:marBottom w:val="0"/>
      <w:divBdr>
        <w:top w:val="none" w:sz="0" w:space="0" w:color="auto"/>
        <w:left w:val="none" w:sz="0" w:space="0" w:color="auto"/>
        <w:bottom w:val="none" w:sz="0" w:space="0" w:color="auto"/>
        <w:right w:val="none" w:sz="0" w:space="0" w:color="auto"/>
      </w:divBdr>
    </w:div>
    <w:div w:id="962806523">
      <w:bodyDiv w:val="1"/>
      <w:marLeft w:val="0"/>
      <w:marRight w:val="0"/>
      <w:marTop w:val="0"/>
      <w:marBottom w:val="0"/>
      <w:divBdr>
        <w:top w:val="none" w:sz="0" w:space="0" w:color="auto"/>
        <w:left w:val="none" w:sz="0" w:space="0" w:color="auto"/>
        <w:bottom w:val="none" w:sz="0" w:space="0" w:color="auto"/>
        <w:right w:val="none" w:sz="0" w:space="0" w:color="auto"/>
      </w:divBdr>
    </w:div>
    <w:div w:id="966666291">
      <w:bodyDiv w:val="1"/>
      <w:marLeft w:val="0"/>
      <w:marRight w:val="0"/>
      <w:marTop w:val="0"/>
      <w:marBottom w:val="0"/>
      <w:divBdr>
        <w:top w:val="none" w:sz="0" w:space="0" w:color="auto"/>
        <w:left w:val="none" w:sz="0" w:space="0" w:color="auto"/>
        <w:bottom w:val="none" w:sz="0" w:space="0" w:color="auto"/>
        <w:right w:val="none" w:sz="0" w:space="0" w:color="auto"/>
      </w:divBdr>
    </w:div>
    <w:div w:id="977801468">
      <w:bodyDiv w:val="1"/>
      <w:marLeft w:val="0"/>
      <w:marRight w:val="0"/>
      <w:marTop w:val="0"/>
      <w:marBottom w:val="0"/>
      <w:divBdr>
        <w:top w:val="none" w:sz="0" w:space="0" w:color="auto"/>
        <w:left w:val="none" w:sz="0" w:space="0" w:color="auto"/>
        <w:bottom w:val="none" w:sz="0" w:space="0" w:color="auto"/>
        <w:right w:val="none" w:sz="0" w:space="0" w:color="auto"/>
      </w:divBdr>
    </w:div>
    <w:div w:id="981081983">
      <w:bodyDiv w:val="1"/>
      <w:marLeft w:val="0"/>
      <w:marRight w:val="0"/>
      <w:marTop w:val="0"/>
      <w:marBottom w:val="0"/>
      <w:divBdr>
        <w:top w:val="none" w:sz="0" w:space="0" w:color="auto"/>
        <w:left w:val="none" w:sz="0" w:space="0" w:color="auto"/>
        <w:bottom w:val="none" w:sz="0" w:space="0" w:color="auto"/>
        <w:right w:val="none" w:sz="0" w:space="0" w:color="auto"/>
      </w:divBdr>
    </w:div>
    <w:div w:id="981889376">
      <w:bodyDiv w:val="1"/>
      <w:marLeft w:val="0"/>
      <w:marRight w:val="0"/>
      <w:marTop w:val="0"/>
      <w:marBottom w:val="0"/>
      <w:divBdr>
        <w:top w:val="none" w:sz="0" w:space="0" w:color="auto"/>
        <w:left w:val="none" w:sz="0" w:space="0" w:color="auto"/>
        <w:bottom w:val="none" w:sz="0" w:space="0" w:color="auto"/>
        <w:right w:val="none" w:sz="0" w:space="0" w:color="auto"/>
      </w:divBdr>
    </w:div>
    <w:div w:id="987320828">
      <w:bodyDiv w:val="1"/>
      <w:marLeft w:val="0"/>
      <w:marRight w:val="0"/>
      <w:marTop w:val="0"/>
      <w:marBottom w:val="0"/>
      <w:divBdr>
        <w:top w:val="none" w:sz="0" w:space="0" w:color="auto"/>
        <w:left w:val="none" w:sz="0" w:space="0" w:color="auto"/>
        <w:bottom w:val="none" w:sz="0" w:space="0" w:color="auto"/>
        <w:right w:val="none" w:sz="0" w:space="0" w:color="auto"/>
      </w:divBdr>
    </w:div>
    <w:div w:id="991249563">
      <w:bodyDiv w:val="1"/>
      <w:marLeft w:val="0"/>
      <w:marRight w:val="0"/>
      <w:marTop w:val="0"/>
      <w:marBottom w:val="0"/>
      <w:divBdr>
        <w:top w:val="none" w:sz="0" w:space="0" w:color="auto"/>
        <w:left w:val="none" w:sz="0" w:space="0" w:color="auto"/>
        <w:bottom w:val="none" w:sz="0" w:space="0" w:color="auto"/>
        <w:right w:val="none" w:sz="0" w:space="0" w:color="auto"/>
      </w:divBdr>
    </w:div>
    <w:div w:id="996962476">
      <w:bodyDiv w:val="1"/>
      <w:marLeft w:val="0"/>
      <w:marRight w:val="0"/>
      <w:marTop w:val="0"/>
      <w:marBottom w:val="0"/>
      <w:divBdr>
        <w:top w:val="none" w:sz="0" w:space="0" w:color="auto"/>
        <w:left w:val="none" w:sz="0" w:space="0" w:color="auto"/>
        <w:bottom w:val="none" w:sz="0" w:space="0" w:color="auto"/>
        <w:right w:val="none" w:sz="0" w:space="0" w:color="auto"/>
      </w:divBdr>
    </w:div>
    <w:div w:id="1001662632">
      <w:bodyDiv w:val="1"/>
      <w:marLeft w:val="0"/>
      <w:marRight w:val="0"/>
      <w:marTop w:val="0"/>
      <w:marBottom w:val="0"/>
      <w:divBdr>
        <w:top w:val="none" w:sz="0" w:space="0" w:color="auto"/>
        <w:left w:val="none" w:sz="0" w:space="0" w:color="auto"/>
        <w:bottom w:val="none" w:sz="0" w:space="0" w:color="auto"/>
        <w:right w:val="none" w:sz="0" w:space="0" w:color="auto"/>
      </w:divBdr>
    </w:div>
    <w:div w:id="1001664093">
      <w:bodyDiv w:val="1"/>
      <w:marLeft w:val="0"/>
      <w:marRight w:val="0"/>
      <w:marTop w:val="0"/>
      <w:marBottom w:val="0"/>
      <w:divBdr>
        <w:top w:val="none" w:sz="0" w:space="0" w:color="auto"/>
        <w:left w:val="none" w:sz="0" w:space="0" w:color="auto"/>
        <w:bottom w:val="none" w:sz="0" w:space="0" w:color="auto"/>
        <w:right w:val="none" w:sz="0" w:space="0" w:color="auto"/>
      </w:divBdr>
    </w:div>
    <w:div w:id="1002320490">
      <w:bodyDiv w:val="1"/>
      <w:marLeft w:val="0"/>
      <w:marRight w:val="0"/>
      <w:marTop w:val="0"/>
      <w:marBottom w:val="0"/>
      <w:divBdr>
        <w:top w:val="none" w:sz="0" w:space="0" w:color="auto"/>
        <w:left w:val="none" w:sz="0" w:space="0" w:color="auto"/>
        <w:bottom w:val="none" w:sz="0" w:space="0" w:color="auto"/>
        <w:right w:val="none" w:sz="0" w:space="0" w:color="auto"/>
      </w:divBdr>
    </w:div>
    <w:div w:id="1002392890">
      <w:bodyDiv w:val="1"/>
      <w:marLeft w:val="0"/>
      <w:marRight w:val="0"/>
      <w:marTop w:val="0"/>
      <w:marBottom w:val="0"/>
      <w:divBdr>
        <w:top w:val="none" w:sz="0" w:space="0" w:color="auto"/>
        <w:left w:val="none" w:sz="0" w:space="0" w:color="auto"/>
        <w:bottom w:val="none" w:sz="0" w:space="0" w:color="auto"/>
        <w:right w:val="none" w:sz="0" w:space="0" w:color="auto"/>
      </w:divBdr>
    </w:div>
    <w:div w:id="1007174856">
      <w:bodyDiv w:val="1"/>
      <w:marLeft w:val="0"/>
      <w:marRight w:val="0"/>
      <w:marTop w:val="0"/>
      <w:marBottom w:val="0"/>
      <w:divBdr>
        <w:top w:val="none" w:sz="0" w:space="0" w:color="auto"/>
        <w:left w:val="none" w:sz="0" w:space="0" w:color="auto"/>
        <w:bottom w:val="none" w:sz="0" w:space="0" w:color="auto"/>
        <w:right w:val="none" w:sz="0" w:space="0" w:color="auto"/>
      </w:divBdr>
    </w:div>
    <w:div w:id="1017193454">
      <w:bodyDiv w:val="1"/>
      <w:marLeft w:val="0"/>
      <w:marRight w:val="0"/>
      <w:marTop w:val="0"/>
      <w:marBottom w:val="0"/>
      <w:divBdr>
        <w:top w:val="none" w:sz="0" w:space="0" w:color="auto"/>
        <w:left w:val="none" w:sz="0" w:space="0" w:color="auto"/>
        <w:bottom w:val="none" w:sz="0" w:space="0" w:color="auto"/>
        <w:right w:val="none" w:sz="0" w:space="0" w:color="auto"/>
      </w:divBdr>
    </w:div>
    <w:div w:id="1019353969">
      <w:bodyDiv w:val="1"/>
      <w:marLeft w:val="0"/>
      <w:marRight w:val="0"/>
      <w:marTop w:val="0"/>
      <w:marBottom w:val="0"/>
      <w:divBdr>
        <w:top w:val="none" w:sz="0" w:space="0" w:color="auto"/>
        <w:left w:val="none" w:sz="0" w:space="0" w:color="auto"/>
        <w:bottom w:val="none" w:sz="0" w:space="0" w:color="auto"/>
        <w:right w:val="none" w:sz="0" w:space="0" w:color="auto"/>
      </w:divBdr>
    </w:div>
    <w:div w:id="1024593329">
      <w:bodyDiv w:val="1"/>
      <w:marLeft w:val="0"/>
      <w:marRight w:val="0"/>
      <w:marTop w:val="0"/>
      <w:marBottom w:val="0"/>
      <w:divBdr>
        <w:top w:val="none" w:sz="0" w:space="0" w:color="auto"/>
        <w:left w:val="none" w:sz="0" w:space="0" w:color="auto"/>
        <w:bottom w:val="none" w:sz="0" w:space="0" w:color="auto"/>
        <w:right w:val="none" w:sz="0" w:space="0" w:color="auto"/>
      </w:divBdr>
    </w:div>
    <w:div w:id="1026754837">
      <w:bodyDiv w:val="1"/>
      <w:marLeft w:val="0"/>
      <w:marRight w:val="0"/>
      <w:marTop w:val="0"/>
      <w:marBottom w:val="0"/>
      <w:divBdr>
        <w:top w:val="none" w:sz="0" w:space="0" w:color="auto"/>
        <w:left w:val="none" w:sz="0" w:space="0" w:color="auto"/>
        <w:bottom w:val="none" w:sz="0" w:space="0" w:color="auto"/>
        <w:right w:val="none" w:sz="0" w:space="0" w:color="auto"/>
      </w:divBdr>
    </w:div>
    <w:div w:id="1032224063">
      <w:bodyDiv w:val="1"/>
      <w:marLeft w:val="0"/>
      <w:marRight w:val="0"/>
      <w:marTop w:val="0"/>
      <w:marBottom w:val="0"/>
      <w:divBdr>
        <w:top w:val="none" w:sz="0" w:space="0" w:color="auto"/>
        <w:left w:val="none" w:sz="0" w:space="0" w:color="auto"/>
        <w:bottom w:val="none" w:sz="0" w:space="0" w:color="auto"/>
        <w:right w:val="none" w:sz="0" w:space="0" w:color="auto"/>
      </w:divBdr>
    </w:div>
    <w:div w:id="1032458410">
      <w:bodyDiv w:val="1"/>
      <w:marLeft w:val="0"/>
      <w:marRight w:val="0"/>
      <w:marTop w:val="0"/>
      <w:marBottom w:val="0"/>
      <w:divBdr>
        <w:top w:val="none" w:sz="0" w:space="0" w:color="auto"/>
        <w:left w:val="none" w:sz="0" w:space="0" w:color="auto"/>
        <w:bottom w:val="none" w:sz="0" w:space="0" w:color="auto"/>
        <w:right w:val="none" w:sz="0" w:space="0" w:color="auto"/>
      </w:divBdr>
    </w:div>
    <w:div w:id="1037512644">
      <w:bodyDiv w:val="1"/>
      <w:marLeft w:val="0"/>
      <w:marRight w:val="0"/>
      <w:marTop w:val="0"/>
      <w:marBottom w:val="0"/>
      <w:divBdr>
        <w:top w:val="none" w:sz="0" w:space="0" w:color="auto"/>
        <w:left w:val="none" w:sz="0" w:space="0" w:color="auto"/>
        <w:bottom w:val="none" w:sz="0" w:space="0" w:color="auto"/>
        <w:right w:val="none" w:sz="0" w:space="0" w:color="auto"/>
      </w:divBdr>
    </w:div>
    <w:div w:id="1041787678">
      <w:bodyDiv w:val="1"/>
      <w:marLeft w:val="0"/>
      <w:marRight w:val="0"/>
      <w:marTop w:val="0"/>
      <w:marBottom w:val="0"/>
      <w:divBdr>
        <w:top w:val="none" w:sz="0" w:space="0" w:color="auto"/>
        <w:left w:val="none" w:sz="0" w:space="0" w:color="auto"/>
        <w:bottom w:val="none" w:sz="0" w:space="0" w:color="auto"/>
        <w:right w:val="none" w:sz="0" w:space="0" w:color="auto"/>
      </w:divBdr>
    </w:div>
    <w:div w:id="1042946870">
      <w:bodyDiv w:val="1"/>
      <w:marLeft w:val="0"/>
      <w:marRight w:val="0"/>
      <w:marTop w:val="0"/>
      <w:marBottom w:val="0"/>
      <w:divBdr>
        <w:top w:val="none" w:sz="0" w:space="0" w:color="auto"/>
        <w:left w:val="none" w:sz="0" w:space="0" w:color="auto"/>
        <w:bottom w:val="none" w:sz="0" w:space="0" w:color="auto"/>
        <w:right w:val="none" w:sz="0" w:space="0" w:color="auto"/>
      </w:divBdr>
    </w:div>
    <w:div w:id="1053696620">
      <w:bodyDiv w:val="1"/>
      <w:marLeft w:val="0"/>
      <w:marRight w:val="0"/>
      <w:marTop w:val="0"/>
      <w:marBottom w:val="0"/>
      <w:divBdr>
        <w:top w:val="none" w:sz="0" w:space="0" w:color="auto"/>
        <w:left w:val="none" w:sz="0" w:space="0" w:color="auto"/>
        <w:bottom w:val="none" w:sz="0" w:space="0" w:color="auto"/>
        <w:right w:val="none" w:sz="0" w:space="0" w:color="auto"/>
      </w:divBdr>
    </w:div>
    <w:div w:id="1069116892">
      <w:bodyDiv w:val="1"/>
      <w:marLeft w:val="0"/>
      <w:marRight w:val="0"/>
      <w:marTop w:val="0"/>
      <w:marBottom w:val="0"/>
      <w:divBdr>
        <w:top w:val="none" w:sz="0" w:space="0" w:color="auto"/>
        <w:left w:val="none" w:sz="0" w:space="0" w:color="auto"/>
        <w:bottom w:val="none" w:sz="0" w:space="0" w:color="auto"/>
        <w:right w:val="none" w:sz="0" w:space="0" w:color="auto"/>
      </w:divBdr>
    </w:div>
    <w:div w:id="1072119124">
      <w:bodyDiv w:val="1"/>
      <w:marLeft w:val="0"/>
      <w:marRight w:val="0"/>
      <w:marTop w:val="0"/>
      <w:marBottom w:val="0"/>
      <w:divBdr>
        <w:top w:val="none" w:sz="0" w:space="0" w:color="auto"/>
        <w:left w:val="none" w:sz="0" w:space="0" w:color="auto"/>
        <w:bottom w:val="none" w:sz="0" w:space="0" w:color="auto"/>
        <w:right w:val="none" w:sz="0" w:space="0" w:color="auto"/>
      </w:divBdr>
    </w:div>
    <w:div w:id="1078283554">
      <w:bodyDiv w:val="1"/>
      <w:marLeft w:val="0"/>
      <w:marRight w:val="0"/>
      <w:marTop w:val="0"/>
      <w:marBottom w:val="0"/>
      <w:divBdr>
        <w:top w:val="none" w:sz="0" w:space="0" w:color="auto"/>
        <w:left w:val="none" w:sz="0" w:space="0" w:color="auto"/>
        <w:bottom w:val="none" w:sz="0" w:space="0" w:color="auto"/>
        <w:right w:val="none" w:sz="0" w:space="0" w:color="auto"/>
      </w:divBdr>
    </w:div>
    <w:div w:id="1078405349">
      <w:bodyDiv w:val="1"/>
      <w:marLeft w:val="0"/>
      <w:marRight w:val="0"/>
      <w:marTop w:val="0"/>
      <w:marBottom w:val="0"/>
      <w:divBdr>
        <w:top w:val="none" w:sz="0" w:space="0" w:color="auto"/>
        <w:left w:val="none" w:sz="0" w:space="0" w:color="auto"/>
        <w:bottom w:val="none" w:sz="0" w:space="0" w:color="auto"/>
        <w:right w:val="none" w:sz="0" w:space="0" w:color="auto"/>
      </w:divBdr>
    </w:div>
    <w:div w:id="1085032715">
      <w:bodyDiv w:val="1"/>
      <w:marLeft w:val="0"/>
      <w:marRight w:val="0"/>
      <w:marTop w:val="0"/>
      <w:marBottom w:val="0"/>
      <w:divBdr>
        <w:top w:val="none" w:sz="0" w:space="0" w:color="auto"/>
        <w:left w:val="none" w:sz="0" w:space="0" w:color="auto"/>
        <w:bottom w:val="none" w:sz="0" w:space="0" w:color="auto"/>
        <w:right w:val="none" w:sz="0" w:space="0" w:color="auto"/>
      </w:divBdr>
    </w:div>
    <w:div w:id="1091002365">
      <w:bodyDiv w:val="1"/>
      <w:marLeft w:val="0"/>
      <w:marRight w:val="0"/>
      <w:marTop w:val="0"/>
      <w:marBottom w:val="0"/>
      <w:divBdr>
        <w:top w:val="none" w:sz="0" w:space="0" w:color="auto"/>
        <w:left w:val="none" w:sz="0" w:space="0" w:color="auto"/>
        <w:bottom w:val="none" w:sz="0" w:space="0" w:color="auto"/>
        <w:right w:val="none" w:sz="0" w:space="0" w:color="auto"/>
      </w:divBdr>
    </w:div>
    <w:div w:id="1094129785">
      <w:bodyDiv w:val="1"/>
      <w:marLeft w:val="0"/>
      <w:marRight w:val="0"/>
      <w:marTop w:val="0"/>
      <w:marBottom w:val="0"/>
      <w:divBdr>
        <w:top w:val="none" w:sz="0" w:space="0" w:color="auto"/>
        <w:left w:val="none" w:sz="0" w:space="0" w:color="auto"/>
        <w:bottom w:val="none" w:sz="0" w:space="0" w:color="auto"/>
        <w:right w:val="none" w:sz="0" w:space="0" w:color="auto"/>
      </w:divBdr>
    </w:div>
    <w:div w:id="1099714150">
      <w:bodyDiv w:val="1"/>
      <w:marLeft w:val="0"/>
      <w:marRight w:val="0"/>
      <w:marTop w:val="0"/>
      <w:marBottom w:val="0"/>
      <w:divBdr>
        <w:top w:val="none" w:sz="0" w:space="0" w:color="auto"/>
        <w:left w:val="none" w:sz="0" w:space="0" w:color="auto"/>
        <w:bottom w:val="none" w:sz="0" w:space="0" w:color="auto"/>
        <w:right w:val="none" w:sz="0" w:space="0" w:color="auto"/>
      </w:divBdr>
    </w:div>
    <w:div w:id="1104837318">
      <w:bodyDiv w:val="1"/>
      <w:marLeft w:val="0"/>
      <w:marRight w:val="0"/>
      <w:marTop w:val="0"/>
      <w:marBottom w:val="0"/>
      <w:divBdr>
        <w:top w:val="none" w:sz="0" w:space="0" w:color="auto"/>
        <w:left w:val="none" w:sz="0" w:space="0" w:color="auto"/>
        <w:bottom w:val="none" w:sz="0" w:space="0" w:color="auto"/>
        <w:right w:val="none" w:sz="0" w:space="0" w:color="auto"/>
      </w:divBdr>
    </w:div>
    <w:div w:id="1106773029">
      <w:bodyDiv w:val="1"/>
      <w:marLeft w:val="0"/>
      <w:marRight w:val="0"/>
      <w:marTop w:val="0"/>
      <w:marBottom w:val="0"/>
      <w:divBdr>
        <w:top w:val="none" w:sz="0" w:space="0" w:color="auto"/>
        <w:left w:val="none" w:sz="0" w:space="0" w:color="auto"/>
        <w:bottom w:val="none" w:sz="0" w:space="0" w:color="auto"/>
        <w:right w:val="none" w:sz="0" w:space="0" w:color="auto"/>
      </w:divBdr>
    </w:div>
    <w:div w:id="1110784115">
      <w:bodyDiv w:val="1"/>
      <w:marLeft w:val="0"/>
      <w:marRight w:val="0"/>
      <w:marTop w:val="0"/>
      <w:marBottom w:val="0"/>
      <w:divBdr>
        <w:top w:val="none" w:sz="0" w:space="0" w:color="auto"/>
        <w:left w:val="none" w:sz="0" w:space="0" w:color="auto"/>
        <w:bottom w:val="none" w:sz="0" w:space="0" w:color="auto"/>
        <w:right w:val="none" w:sz="0" w:space="0" w:color="auto"/>
      </w:divBdr>
    </w:div>
    <w:div w:id="1120300409">
      <w:bodyDiv w:val="1"/>
      <w:marLeft w:val="0"/>
      <w:marRight w:val="0"/>
      <w:marTop w:val="0"/>
      <w:marBottom w:val="0"/>
      <w:divBdr>
        <w:top w:val="none" w:sz="0" w:space="0" w:color="auto"/>
        <w:left w:val="none" w:sz="0" w:space="0" w:color="auto"/>
        <w:bottom w:val="none" w:sz="0" w:space="0" w:color="auto"/>
        <w:right w:val="none" w:sz="0" w:space="0" w:color="auto"/>
      </w:divBdr>
    </w:div>
    <w:div w:id="1123423344">
      <w:bodyDiv w:val="1"/>
      <w:marLeft w:val="0"/>
      <w:marRight w:val="0"/>
      <w:marTop w:val="0"/>
      <w:marBottom w:val="0"/>
      <w:divBdr>
        <w:top w:val="none" w:sz="0" w:space="0" w:color="auto"/>
        <w:left w:val="none" w:sz="0" w:space="0" w:color="auto"/>
        <w:bottom w:val="none" w:sz="0" w:space="0" w:color="auto"/>
        <w:right w:val="none" w:sz="0" w:space="0" w:color="auto"/>
      </w:divBdr>
    </w:div>
    <w:div w:id="1133449867">
      <w:bodyDiv w:val="1"/>
      <w:marLeft w:val="0"/>
      <w:marRight w:val="0"/>
      <w:marTop w:val="0"/>
      <w:marBottom w:val="0"/>
      <w:divBdr>
        <w:top w:val="none" w:sz="0" w:space="0" w:color="auto"/>
        <w:left w:val="none" w:sz="0" w:space="0" w:color="auto"/>
        <w:bottom w:val="none" w:sz="0" w:space="0" w:color="auto"/>
        <w:right w:val="none" w:sz="0" w:space="0" w:color="auto"/>
      </w:divBdr>
    </w:div>
    <w:div w:id="1133792318">
      <w:bodyDiv w:val="1"/>
      <w:marLeft w:val="0"/>
      <w:marRight w:val="0"/>
      <w:marTop w:val="0"/>
      <w:marBottom w:val="0"/>
      <w:divBdr>
        <w:top w:val="none" w:sz="0" w:space="0" w:color="auto"/>
        <w:left w:val="none" w:sz="0" w:space="0" w:color="auto"/>
        <w:bottom w:val="none" w:sz="0" w:space="0" w:color="auto"/>
        <w:right w:val="none" w:sz="0" w:space="0" w:color="auto"/>
      </w:divBdr>
    </w:div>
    <w:div w:id="1135370489">
      <w:bodyDiv w:val="1"/>
      <w:marLeft w:val="0"/>
      <w:marRight w:val="0"/>
      <w:marTop w:val="0"/>
      <w:marBottom w:val="0"/>
      <w:divBdr>
        <w:top w:val="none" w:sz="0" w:space="0" w:color="auto"/>
        <w:left w:val="none" w:sz="0" w:space="0" w:color="auto"/>
        <w:bottom w:val="none" w:sz="0" w:space="0" w:color="auto"/>
        <w:right w:val="none" w:sz="0" w:space="0" w:color="auto"/>
      </w:divBdr>
    </w:div>
    <w:div w:id="1138063301">
      <w:bodyDiv w:val="1"/>
      <w:marLeft w:val="0"/>
      <w:marRight w:val="0"/>
      <w:marTop w:val="0"/>
      <w:marBottom w:val="0"/>
      <w:divBdr>
        <w:top w:val="none" w:sz="0" w:space="0" w:color="auto"/>
        <w:left w:val="none" w:sz="0" w:space="0" w:color="auto"/>
        <w:bottom w:val="none" w:sz="0" w:space="0" w:color="auto"/>
        <w:right w:val="none" w:sz="0" w:space="0" w:color="auto"/>
      </w:divBdr>
    </w:div>
    <w:div w:id="1138304983">
      <w:bodyDiv w:val="1"/>
      <w:marLeft w:val="0"/>
      <w:marRight w:val="0"/>
      <w:marTop w:val="0"/>
      <w:marBottom w:val="0"/>
      <w:divBdr>
        <w:top w:val="none" w:sz="0" w:space="0" w:color="auto"/>
        <w:left w:val="none" w:sz="0" w:space="0" w:color="auto"/>
        <w:bottom w:val="none" w:sz="0" w:space="0" w:color="auto"/>
        <w:right w:val="none" w:sz="0" w:space="0" w:color="auto"/>
      </w:divBdr>
    </w:div>
    <w:div w:id="1157115408">
      <w:bodyDiv w:val="1"/>
      <w:marLeft w:val="0"/>
      <w:marRight w:val="0"/>
      <w:marTop w:val="0"/>
      <w:marBottom w:val="0"/>
      <w:divBdr>
        <w:top w:val="none" w:sz="0" w:space="0" w:color="auto"/>
        <w:left w:val="none" w:sz="0" w:space="0" w:color="auto"/>
        <w:bottom w:val="none" w:sz="0" w:space="0" w:color="auto"/>
        <w:right w:val="none" w:sz="0" w:space="0" w:color="auto"/>
      </w:divBdr>
    </w:div>
    <w:div w:id="1159885741">
      <w:bodyDiv w:val="1"/>
      <w:marLeft w:val="0"/>
      <w:marRight w:val="0"/>
      <w:marTop w:val="0"/>
      <w:marBottom w:val="0"/>
      <w:divBdr>
        <w:top w:val="none" w:sz="0" w:space="0" w:color="auto"/>
        <w:left w:val="none" w:sz="0" w:space="0" w:color="auto"/>
        <w:bottom w:val="none" w:sz="0" w:space="0" w:color="auto"/>
        <w:right w:val="none" w:sz="0" w:space="0" w:color="auto"/>
      </w:divBdr>
    </w:div>
    <w:div w:id="1171678318">
      <w:bodyDiv w:val="1"/>
      <w:marLeft w:val="0"/>
      <w:marRight w:val="0"/>
      <w:marTop w:val="0"/>
      <w:marBottom w:val="0"/>
      <w:divBdr>
        <w:top w:val="none" w:sz="0" w:space="0" w:color="auto"/>
        <w:left w:val="none" w:sz="0" w:space="0" w:color="auto"/>
        <w:bottom w:val="none" w:sz="0" w:space="0" w:color="auto"/>
        <w:right w:val="none" w:sz="0" w:space="0" w:color="auto"/>
      </w:divBdr>
    </w:div>
    <w:div w:id="1174538797">
      <w:bodyDiv w:val="1"/>
      <w:marLeft w:val="0"/>
      <w:marRight w:val="0"/>
      <w:marTop w:val="0"/>
      <w:marBottom w:val="0"/>
      <w:divBdr>
        <w:top w:val="none" w:sz="0" w:space="0" w:color="auto"/>
        <w:left w:val="none" w:sz="0" w:space="0" w:color="auto"/>
        <w:bottom w:val="none" w:sz="0" w:space="0" w:color="auto"/>
        <w:right w:val="none" w:sz="0" w:space="0" w:color="auto"/>
      </w:divBdr>
    </w:div>
    <w:div w:id="1181553958">
      <w:bodyDiv w:val="1"/>
      <w:marLeft w:val="0"/>
      <w:marRight w:val="0"/>
      <w:marTop w:val="0"/>
      <w:marBottom w:val="0"/>
      <w:divBdr>
        <w:top w:val="none" w:sz="0" w:space="0" w:color="auto"/>
        <w:left w:val="none" w:sz="0" w:space="0" w:color="auto"/>
        <w:bottom w:val="none" w:sz="0" w:space="0" w:color="auto"/>
        <w:right w:val="none" w:sz="0" w:space="0" w:color="auto"/>
      </w:divBdr>
    </w:div>
    <w:div w:id="1183979606">
      <w:bodyDiv w:val="1"/>
      <w:marLeft w:val="0"/>
      <w:marRight w:val="0"/>
      <w:marTop w:val="0"/>
      <w:marBottom w:val="0"/>
      <w:divBdr>
        <w:top w:val="none" w:sz="0" w:space="0" w:color="auto"/>
        <w:left w:val="none" w:sz="0" w:space="0" w:color="auto"/>
        <w:bottom w:val="none" w:sz="0" w:space="0" w:color="auto"/>
        <w:right w:val="none" w:sz="0" w:space="0" w:color="auto"/>
      </w:divBdr>
    </w:div>
    <w:div w:id="1190148624">
      <w:bodyDiv w:val="1"/>
      <w:marLeft w:val="0"/>
      <w:marRight w:val="0"/>
      <w:marTop w:val="0"/>
      <w:marBottom w:val="0"/>
      <w:divBdr>
        <w:top w:val="none" w:sz="0" w:space="0" w:color="auto"/>
        <w:left w:val="none" w:sz="0" w:space="0" w:color="auto"/>
        <w:bottom w:val="none" w:sz="0" w:space="0" w:color="auto"/>
        <w:right w:val="none" w:sz="0" w:space="0" w:color="auto"/>
      </w:divBdr>
    </w:div>
    <w:div w:id="1196046197">
      <w:bodyDiv w:val="1"/>
      <w:marLeft w:val="0"/>
      <w:marRight w:val="0"/>
      <w:marTop w:val="0"/>
      <w:marBottom w:val="0"/>
      <w:divBdr>
        <w:top w:val="none" w:sz="0" w:space="0" w:color="auto"/>
        <w:left w:val="none" w:sz="0" w:space="0" w:color="auto"/>
        <w:bottom w:val="none" w:sz="0" w:space="0" w:color="auto"/>
        <w:right w:val="none" w:sz="0" w:space="0" w:color="auto"/>
      </w:divBdr>
    </w:div>
    <w:div w:id="1200585494">
      <w:bodyDiv w:val="1"/>
      <w:marLeft w:val="0"/>
      <w:marRight w:val="0"/>
      <w:marTop w:val="0"/>
      <w:marBottom w:val="0"/>
      <w:divBdr>
        <w:top w:val="none" w:sz="0" w:space="0" w:color="auto"/>
        <w:left w:val="none" w:sz="0" w:space="0" w:color="auto"/>
        <w:bottom w:val="none" w:sz="0" w:space="0" w:color="auto"/>
        <w:right w:val="none" w:sz="0" w:space="0" w:color="auto"/>
      </w:divBdr>
    </w:div>
    <w:div w:id="1202748137">
      <w:bodyDiv w:val="1"/>
      <w:marLeft w:val="0"/>
      <w:marRight w:val="0"/>
      <w:marTop w:val="0"/>
      <w:marBottom w:val="0"/>
      <w:divBdr>
        <w:top w:val="none" w:sz="0" w:space="0" w:color="auto"/>
        <w:left w:val="none" w:sz="0" w:space="0" w:color="auto"/>
        <w:bottom w:val="none" w:sz="0" w:space="0" w:color="auto"/>
        <w:right w:val="none" w:sz="0" w:space="0" w:color="auto"/>
      </w:divBdr>
    </w:div>
    <w:div w:id="1204634110">
      <w:bodyDiv w:val="1"/>
      <w:marLeft w:val="0"/>
      <w:marRight w:val="0"/>
      <w:marTop w:val="0"/>
      <w:marBottom w:val="0"/>
      <w:divBdr>
        <w:top w:val="none" w:sz="0" w:space="0" w:color="auto"/>
        <w:left w:val="none" w:sz="0" w:space="0" w:color="auto"/>
        <w:bottom w:val="none" w:sz="0" w:space="0" w:color="auto"/>
        <w:right w:val="none" w:sz="0" w:space="0" w:color="auto"/>
      </w:divBdr>
    </w:div>
    <w:div w:id="1207794150">
      <w:bodyDiv w:val="1"/>
      <w:marLeft w:val="0"/>
      <w:marRight w:val="0"/>
      <w:marTop w:val="0"/>
      <w:marBottom w:val="0"/>
      <w:divBdr>
        <w:top w:val="none" w:sz="0" w:space="0" w:color="auto"/>
        <w:left w:val="none" w:sz="0" w:space="0" w:color="auto"/>
        <w:bottom w:val="none" w:sz="0" w:space="0" w:color="auto"/>
        <w:right w:val="none" w:sz="0" w:space="0" w:color="auto"/>
      </w:divBdr>
    </w:div>
    <w:div w:id="1216889384">
      <w:bodyDiv w:val="1"/>
      <w:marLeft w:val="0"/>
      <w:marRight w:val="0"/>
      <w:marTop w:val="0"/>
      <w:marBottom w:val="0"/>
      <w:divBdr>
        <w:top w:val="none" w:sz="0" w:space="0" w:color="auto"/>
        <w:left w:val="none" w:sz="0" w:space="0" w:color="auto"/>
        <w:bottom w:val="none" w:sz="0" w:space="0" w:color="auto"/>
        <w:right w:val="none" w:sz="0" w:space="0" w:color="auto"/>
      </w:divBdr>
    </w:div>
    <w:div w:id="1228154399">
      <w:bodyDiv w:val="1"/>
      <w:marLeft w:val="0"/>
      <w:marRight w:val="0"/>
      <w:marTop w:val="0"/>
      <w:marBottom w:val="0"/>
      <w:divBdr>
        <w:top w:val="none" w:sz="0" w:space="0" w:color="auto"/>
        <w:left w:val="none" w:sz="0" w:space="0" w:color="auto"/>
        <w:bottom w:val="none" w:sz="0" w:space="0" w:color="auto"/>
        <w:right w:val="none" w:sz="0" w:space="0" w:color="auto"/>
      </w:divBdr>
    </w:div>
    <w:div w:id="1235319286">
      <w:bodyDiv w:val="1"/>
      <w:marLeft w:val="0"/>
      <w:marRight w:val="0"/>
      <w:marTop w:val="0"/>
      <w:marBottom w:val="0"/>
      <w:divBdr>
        <w:top w:val="none" w:sz="0" w:space="0" w:color="auto"/>
        <w:left w:val="none" w:sz="0" w:space="0" w:color="auto"/>
        <w:bottom w:val="none" w:sz="0" w:space="0" w:color="auto"/>
        <w:right w:val="none" w:sz="0" w:space="0" w:color="auto"/>
      </w:divBdr>
    </w:div>
    <w:div w:id="1236012066">
      <w:bodyDiv w:val="1"/>
      <w:marLeft w:val="0"/>
      <w:marRight w:val="0"/>
      <w:marTop w:val="0"/>
      <w:marBottom w:val="0"/>
      <w:divBdr>
        <w:top w:val="none" w:sz="0" w:space="0" w:color="auto"/>
        <w:left w:val="none" w:sz="0" w:space="0" w:color="auto"/>
        <w:bottom w:val="none" w:sz="0" w:space="0" w:color="auto"/>
        <w:right w:val="none" w:sz="0" w:space="0" w:color="auto"/>
      </w:divBdr>
    </w:div>
    <w:div w:id="1239630956">
      <w:bodyDiv w:val="1"/>
      <w:marLeft w:val="0"/>
      <w:marRight w:val="0"/>
      <w:marTop w:val="0"/>
      <w:marBottom w:val="0"/>
      <w:divBdr>
        <w:top w:val="none" w:sz="0" w:space="0" w:color="auto"/>
        <w:left w:val="none" w:sz="0" w:space="0" w:color="auto"/>
        <w:bottom w:val="none" w:sz="0" w:space="0" w:color="auto"/>
        <w:right w:val="none" w:sz="0" w:space="0" w:color="auto"/>
      </w:divBdr>
    </w:div>
    <w:div w:id="1240943518">
      <w:bodyDiv w:val="1"/>
      <w:marLeft w:val="0"/>
      <w:marRight w:val="0"/>
      <w:marTop w:val="0"/>
      <w:marBottom w:val="0"/>
      <w:divBdr>
        <w:top w:val="none" w:sz="0" w:space="0" w:color="auto"/>
        <w:left w:val="none" w:sz="0" w:space="0" w:color="auto"/>
        <w:bottom w:val="none" w:sz="0" w:space="0" w:color="auto"/>
        <w:right w:val="none" w:sz="0" w:space="0" w:color="auto"/>
      </w:divBdr>
    </w:div>
    <w:div w:id="1244757504">
      <w:bodyDiv w:val="1"/>
      <w:marLeft w:val="0"/>
      <w:marRight w:val="0"/>
      <w:marTop w:val="0"/>
      <w:marBottom w:val="0"/>
      <w:divBdr>
        <w:top w:val="none" w:sz="0" w:space="0" w:color="auto"/>
        <w:left w:val="none" w:sz="0" w:space="0" w:color="auto"/>
        <w:bottom w:val="none" w:sz="0" w:space="0" w:color="auto"/>
        <w:right w:val="none" w:sz="0" w:space="0" w:color="auto"/>
      </w:divBdr>
    </w:div>
    <w:div w:id="1253508971">
      <w:bodyDiv w:val="1"/>
      <w:marLeft w:val="0"/>
      <w:marRight w:val="0"/>
      <w:marTop w:val="0"/>
      <w:marBottom w:val="0"/>
      <w:divBdr>
        <w:top w:val="none" w:sz="0" w:space="0" w:color="auto"/>
        <w:left w:val="none" w:sz="0" w:space="0" w:color="auto"/>
        <w:bottom w:val="none" w:sz="0" w:space="0" w:color="auto"/>
        <w:right w:val="none" w:sz="0" w:space="0" w:color="auto"/>
      </w:divBdr>
    </w:div>
    <w:div w:id="1256981476">
      <w:bodyDiv w:val="1"/>
      <w:marLeft w:val="0"/>
      <w:marRight w:val="0"/>
      <w:marTop w:val="0"/>
      <w:marBottom w:val="0"/>
      <w:divBdr>
        <w:top w:val="none" w:sz="0" w:space="0" w:color="auto"/>
        <w:left w:val="none" w:sz="0" w:space="0" w:color="auto"/>
        <w:bottom w:val="none" w:sz="0" w:space="0" w:color="auto"/>
        <w:right w:val="none" w:sz="0" w:space="0" w:color="auto"/>
      </w:divBdr>
    </w:div>
    <w:div w:id="1258320789">
      <w:bodyDiv w:val="1"/>
      <w:marLeft w:val="0"/>
      <w:marRight w:val="0"/>
      <w:marTop w:val="0"/>
      <w:marBottom w:val="0"/>
      <w:divBdr>
        <w:top w:val="none" w:sz="0" w:space="0" w:color="auto"/>
        <w:left w:val="none" w:sz="0" w:space="0" w:color="auto"/>
        <w:bottom w:val="none" w:sz="0" w:space="0" w:color="auto"/>
        <w:right w:val="none" w:sz="0" w:space="0" w:color="auto"/>
      </w:divBdr>
    </w:div>
    <w:div w:id="1263879703">
      <w:bodyDiv w:val="1"/>
      <w:marLeft w:val="0"/>
      <w:marRight w:val="0"/>
      <w:marTop w:val="0"/>
      <w:marBottom w:val="0"/>
      <w:divBdr>
        <w:top w:val="none" w:sz="0" w:space="0" w:color="auto"/>
        <w:left w:val="none" w:sz="0" w:space="0" w:color="auto"/>
        <w:bottom w:val="none" w:sz="0" w:space="0" w:color="auto"/>
        <w:right w:val="none" w:sz="0" w:space="0" w:color="auto"/>
      </w:divBdr>
    </w:div>
    <w:div w:id="1266770995">
      <w:bodyDiv w:val="1"/>
      <w:marLeft w:val="0"/>
      <w:marRight w:val="0"/>
      <w:marTop w:val="0"/>
      <w:marBottom w:val="0"/>
      <w:divBdr>
        <w:top w:val="none" w:sz="0" w:space="0" w:color="auto"/>
        <w:left w:val="none" w:sz="0" w:space="0" w:color="auto"/>
        <w:bottom w:val="none" w:sz="0" w:space="0" w:color="auto"/>
        <w:right w:val="none" w:sz="0" w:space="0" w:color="auto"/>
      </w:divBdr>
    </w:div>
    <w:div w:id="1279331946">
      <w:bodyDiv w:val="1"/>
      <w:marLeft w:val="0"/>
      <w:marRight w:val="0"/>
      <w:marTop w:val="0"/>
      <w:marBottom w:val="0"/>
      <w:divBdr>
        <w:top w:val="none" w:sz="0" w:space="0" w:color="auto"/>
        <w:left w:val="none" w:sz="0" w:space="0" w:color="auto"/>
        <w:bottom w:val="none" w:sz="0" w:space="0" w:color="auto"/>
        <w:right w:val="none" w:sz="0" w:space="0" w:color="auto"/>
      </w:divBdr>
    </w:div>
    <w:div w:id="1293248287">
      <w:bodyDiv w:val="1"/>
      <w:marLeft w:val="0"/>
      <w:marRight w:val="0"/>
      <w:marTop w:val="0"/>
      <w:marBottom w:val="0"/>
      <w:divBdr>
        <w:top w:val="none" w:sz="0" w:space="0" w:color="auto"/>
        <w:left w:val="none" w:sz="0" w:space="0" w:color="auto"/>
        <w:bottom w:val="none" w:sz="0" w:space="0" w:color="auto"/>
        <w:right w:val="none" w:sz="0" w:space="0" w:color="auto"/>
      </w:divBdr>
    </w:div>
    <w:div w:id="1301106276">
      <w:bodyDiv w:val="1"/>
      <w:marLeft w:val="0"/>
      <w:marRight w:val="0"/>
      <w:marTop w:val="0"/>
      <w:marBottom w:val="0"/>
      <w:divBdr>
        <w:top w:val="none" w:sz="0" w:space="0" w:color="auto"/>
        <w:left w:val="none" w:sz="0" w:space="0" w:color="auto"/>
        <w:bottom w:val="none" w:sz="0" w:space="0" w:color="auto"/>
        <w:right w:val="none" w:sz="0" w:space="0" w:color="auto"/>
      </w:divBdr>
    </w:div>
    <w:div w:id="1302346003">
      <w:bodyDiv w:val="1"/>
      <w:marLeft w:val="0"/>
      <w:marRight w:val="0"/>
      <w:marTop w:val="0"/>
      <w:marBottom w:val="0"/>
      <w:divBdr>
        <w:top w:val="none" w:sz="0" w:space="0" w:color="auto"/>
        <w:left w:val="none" w:sz="0" w:space="0" w:color="auto"/>
        <w:bottom w:val="none" w:sz="0" w:space="0" w:color="auto"/>
        <w:right w:val="none" w:sz="0" w:space="0" w:color="auto"/>
      </w:divBdr>
    </w:div>
    <w:div w:id="1302617819">
      <w:bodyDiv w:val="1"/>
      <w:marLeft w:val="0"/>
      <w:marRight w:val="0"/>
      <w:marTop w:val="0"/>
      <w:marBottom w:val="0"/>
      <w:divBdr>
        <w:top w:val="none" w:sz="0" w:space="0" w:color="auto"/>
        <w:left w:val="none" w:sz="0" w:space="0" w:color="auto"/>
        <w:bottom w:val="none" w:sz="0" w:space="0" w:color="auto"/>
        <w:right w:val="none" w:sz="0" w:space="0" w:color="auto"/>
      </w:divBdr>
    </w:div>
    <w:div w:id="1307051634">
      <w:bodyDiv w:val="1"/>
      <w:marLeft w:val="0"/>
      <w:marRight w:val="0"/>
      <w:marTop w:val="0"/>
      <w:marBottom w:val="0"/>
      <w:divBdr>
        <w:top w:val="none" w:sz="0" w:space="0" w:color="auto"/>
        <w:left w:val="none" w:sz="0" w:space="0" w:color="auto"/>
        <w:bottom w:val="none" w:sz="0" w:space="0" w:color="auto"/>
        <w:right w:val="none" w:sz="0" w:space="0" w:color="auto"/>
      </w:divBdr>
    </w:div>
    <w:div w:id="1307710454">
      <w:bodyDiv w:val="1"/>
      <w:marLeft w:val="0"/>
      <w:marRight w:val="0"/>
      <w:marTop w:val="0"/>
      <w:marBottom w:val="0"/>
      <w:divBdr>
        <w:top w:val="none" w:sz="0" w:space="0" w:color="auto"/>
        <w:left w:val="none" w:sz="0" w:space="0" w:color="auto"/>
        <w:bottom w:val="none" w:sz="0" w:space="0" w:color="auto"/>
        <w:right w:val="none" w:sz="0" w:space="0" w:color="auto"/>
      </w:divBdr>
    </w:div>
    <w:div w:id="1308438959">
      <w:bodyDiv w:val="1"/>
      <w:marLeft w:val="0"/>
      <w:marRight w:val="0"/>
      <w:marTop w:val="0"/>
      <w:marBottom w:val="0"/>
      <w:divBdr>
        <w:top w:val="none" w:sz="0" w:space="0" w:color="auto"/>
        <w:left w:val="none" w:sz="0" w:space="0" w:color="auto"/>
        <w:bottom w:val="none" w:sz="0" w:space="0" w:color="auto"/>
        <w:right w:val="none" w:sz="0" w:space="0" w:color="auto"/>
      </w:divBdr>
    </w:div>
    <w:div w:id="1310402127">
      <w:bodyDiv w:val="1"/>
      <w:marLeft w:val="0"/>
      <w:marRight w:val="0"/>
      <w:marTop w:val="0"/>
      <w:marBottom w:val="0"/>
      <w:divBdr>
        <w:top w:val="none" w:sz="0" w:space="0" w:color="auto"/>
        <w:left w:val="none" w:sz="0" w:space="0" w:color="auto"/>
        <w:bottom w:val="none" w:sz="0" w:space="0" w:color="auto"/>
        <w:right w:val="none" w:sz="0" w:space="0" w:color="auto"/>
      </w:divBdr>
    </w:div>
    <w:div w:id="1320646634">
      <w:bodyDiv w:val="1"/>
      <w:marLeft w:val="0"/>
      <w:marRight w:val="0"/>
      <w:marTop w:val="0"/>
      <w:marBottom w:val="0"/>
      <w:divBdr>
        <w:top w:val="none" w:sz="0" w:space="0" w:color="auto"/>
        <w:left w:val="none" w:sz="0" w:space="0" w:color="auto"/>
        <w:bottom w:val="none" w:sz="0" w:space="0" w:color="auto"/>
        <w:right w:val="none" w:sz="0" w:space="0" w:color="auto"/>
      </w:divBdr>
    </w:div>
    <w:div w:id="1323898019">
      <w:bodyDiv w:val="1"/>
      <w:marLeft w:val="0"/>
      <w:marRight w:val="0"/>
      <w:marTop w:val="0"/>
      <w:marBottom w:val="0"/>
      <w:divBdr>
        <w:top w:val="none" w:sz="0" w:space="0" w:color="auto"/>
        <w:left w:val="none" w:sz="0" w:space="0" w:color="auto"/>
        <w:bottom w:val="none" w:sz="0" w:space="0" w:color="auto"/>
        <w:right w:val="none" w:sz="0" w:space="0" w:color="auto"/>
      </w:divBdr>
    </w:div>
    <w:div w:id="1328750886">
      <w:bodyDiv w:val="1"/>
      <w:marLeft w:val="0"/>
      <w:marRight w:val="0"/>
      <w:marTop w:val="0"/>
      <w:marBottom w:val="0"/>
      <w:divBdr>
        <w:top w:val="none" w:sz="0" w:space="0" w:color="auto"/>
        <w:left w:val="none" w:sz="0" w:space="0" w:color="auto"/>
        <w:bottom w:val="none" w:sz="0" w:space="0" w:color="auto"/>
        <w:right w:val="none" w:sz="0" w:space="0" w:color="auto"/>
      </w:divBdr>
    </w:div>
    <w:div w:id="1342900571">
      <w:bodyDiv w:val="1"/>
      <w:marLeft w:val="0"/>
      <w:marRight w:val="0"/>
      <w:marTop w:val="0"/>
      <w:marBottom w:val="0"/>
      <w:divBdr>
        <w:top w:val="none" w:sz="0" w:space="0" w:color="auto"/>
        <w:left w:val="none" w:sz="0" w:space="0" w:color="auto"/>
        <w:bottom w:val="none" w:sz="0" w:space="0" w:color="auto"/>
        <w:right w:val="none" w:sz="0" w:space="0" w:color="auto"/>
      </w:divBdr>
    </w:div>
    <w:div w:id="1356690949">
      <w:bodyDiv w:val="1"/>
      <w:marLeft w:val="0"/>
      <w:marRight w:val="0"/>
      <w:marTop w:val="0"/>
      <w:marBottom w:val="0"/>
      <w:divBdr>
        <w:top w:val="none" w:sz="0" w:space="0" w:color="auto"/>
        <w:left w:val="none" w:sz="0" w:space="0" w:color="auto"/>
        <w:bottom w:val="none" w:sz="0" w:space="0" w:color="auto"/>
        <w:right w:val="none" w:sz="0" w:space="0" w:color="auto"/>
      </w:divBdr>
    </w:div>
    <w:div w:id="1358896865">
      <w:bodyDiv w:val="1"/>
      <w:marLeft w:val="0"/>
      <w:marRight w:val="0"/>
      <w:marTop w:val="0"/>
      <w:marBottom w:val="0"/>
      <w:divBdr>
        <w:top w:val="none" w:sz="0" w:space="0" w:color="auto"/>
        <w:left w:val="none" w:sz="0" w:space="0" w:color="auto"/>
        <w:bottom w:val="none" w:sz="0" w:space="0" w:color="auto"/>
        <w:right w:val="none" w:sz="0" w:space="0" w:color="auto"/>
      </w:divBdr>
    </w:div>
    <w:div w:id="1361397902">
      <w:bodyDiv w:val="1"/>
      <w:marLeft w:val="0"/>
      <w:marRight w:val="0"/>
      <w:marTop w:val="0"/>
      <w:marBottom w:val="0"/>
      <w:divBdr>
        <w:top w:val="none" w:sz="0" w:space="0" w:color="auto"/>
        <w:left w:val="none" w:sz="0" w:space="0" w:color="auto"/>
        <w:bottom w:val="none" w:sz="0" w:space="0" w:color="auto"/>
        <w:right w:val="none" w:sz="0" w:space="0" w:color="auto"/>
      </w:divBdr>
    </w:div>
    <w:div w:id="1366909201">
      <w:bodyDiv w:val="1"/>
      <w:marLeft w:val="0"/>
      <w:marRight w:val="0"/>
      <w:marTop w:val="0"/>
      <w:marBottom w:val="0"/>
      <w:divBdr>
        <w:top w:val="none" w:sz="0" w:space="0" w:color="auto"/>
        <w:left w:val="none" w:sz="0" w:space="0" w:color="auto"/>
        <w:bottom w:val="none" w:sz="0" w:space="0" w:color="auto"/>
        <w:right w:val="none" w:sz="0" w:space="0" w:color="auto"/>
      </w:divBdr>
    </w:div>
    <w:div w:id="1375471176">
      <w:bodyDiv w:val="1"/>
      <w:marLeft w:val="0"/>
      <w:marRight w:val="0"/>
      <w:marTop w:val="0"/>
      <w:marBottom w:val="0"/>
      <w:divBdr>
        <w:top w:val="none" w:sz="0" w:space="0" w:color="auto"/>
        <w:left w:val="none" w:sz="0" w:space="0" w:color="auto"/>
        <w:bottom w:val="none" w:sz="0" w:space="0" w:color="auto"/>
        <w:right w:val="none" w:sz="0" w:space="0" w:color="auto"/>
      </w:divBdr>
    </w:div>
    <w:div w:id="1377856061">
      <w:bodyDiv w:val="1"/>
      <w:marLeft w:val="0"/>
      <w:marRight w:val="0"/>
      <w:marTop w:val="0"/>
      <w:marBottom w:val="0"/>
      <w:divBdr>
        <w:top w:val="none" w:sz="0" w:space="0" w:color="auto"/>
        <w:left w:val="none" w:sz="0" w:space="0" w:color="auto"/>
        <w:bottom w:val="none" w:sz="0" w:space="0" w:color="auto"/>
        <w:right w:val="none" w:sz="0" w:space="0" w:color="auto"/>
      </w:divBdr>
    </w:div>
    <w:div w:id="1379356284">
      <w:bodyDiv w:val="1"/>
      <w:marLeft w:val="0"/>
      <w:marRight w:val="0"/>
      <w:marTop w:val="0"/>
      <w:marBottom w:val="0"/>
      <w:divBdr>
        <w:top w:val="none" w:sz="0" w:space="0" w:color="auto"/>
        <w:left w:val="none" w:sz="0" w:space="0" w:color="auto"/>
        <w:bottom w:val="none" w:sz="0" w:space="0" w:color="auto"/>
        <w:right w:val="none" w:sz="0" w:space="0" w:color="auto"/>
      </w:divBdr>
    </w:div>
    <w:div w:id="1390575609">
      <w:bodyDiv w:val="1"/>
      <w:marLeft w:val="0"/>
      <w:marRight w:val="0"/>
      <w:marTop w:val="0"/>
      <w:marBottom w:val="0"/>
      <w:divBdr>
        <w:top w:val="none" w:sz="0" w:space="0" w:color="auto"/>
        <w:left w:val="none" w:sz="0" w:space="0" w:color="auto"/>
        <w:bottom w:val="none" w:sz="0" w:space="0" w:color="auto"/>
        <w:right w:val="none" w:sz="0" w:space="0" w:color="auto"/>
      </w:divBdr>
    </w:div>
    <w:div w:id="1393314110">
      <w:bodyDiv w:val="1"/>
      <w:marLeft w:val="0"/>
      <w:marRight w:val="0"/>
      <w:marTop w:val="0"/>
      <w:marBottom w:val="0"/>
      <w:divBdr>
        <w:top w:val="none" w:sz="0" w:space="0" w:color="auto"/>
        <w:left w:val="none" w:sz="0" w:space="0" w:color="auto"/>
        <w:bottom w:val="none" w:sz="0" w:space="0" w:color="auto"/>
        <w:right w:val="none" w:sz="0" w:space="0" w:color="auto"/>
      </w:divBdr>
    </w:div>
    <w:div w:id="1393390347">
      <w:bodyDiv w:val="1"/>
      <w:marLeft w:val="0"/>
      <w:marRight w:val="0"/>
      <w:marTop w:val="0"/>
      <w:marBottom w:val="0"/>
      <w:divBdr>
        <w:top w:val="none" w:sz="0" w:space="0" w:color="auto"/>
        <w:left w:val="none" w:sz="0" w:space="0" w:color="auto"/>
        <w:bottom w:val="none" w:sz="0" w:space="0" w:color="auto"/>
        <w:right w:val="none" w:sz="0" w:space="0" w:color="auto"/>
      </w:divBdr>
    </w:div>
    <w:div w:id="1393580895">
      <w:bodyDiv w:val="1"/>
      <w:marLeft w:val="0"/>
      <w:marRight w:val="0"/>
      <w:marTop w:val="0"/>
      <w:marBottom w:val="0"/>
      <w:divBdr>
        <w:top w:val="none" w:sz="0" w:space="0" w:color="auto"/>
        <w:left w:val="none" w:sz="0" w:space="0" w:color="auto"/>
        <w:bottom w:val="none" w:sz="0" w:space="0" w:color="auto"/>
        <w:right w:val="none" w:sz="0" w:space="0" w:color="auto"/>
      </w:divBdr>
    </w:div>
    <w:div w:id="1396586254">
      <w:bodyDiv w:val="1"/>
      <w:marLeft w:val="0"/>
      <w:marRight w:val="0"/>
      <w:marTop w:val="0"/>
      <w:marBottom w:val="0"/>
      <w:divBdr>
        <w:top w:val="none" w:sz="0" w:space="0" w:color="auto"/>
        <w:left w:val="none" w:sz="0" w:space="0" w:color="auto"/>
        <w:bottom w:val="none" w:sz="0" w:space="0" w:color="auto"/>
        <w:right w:val="none" w:sz="0" w:space="0" w:color="auto"/>
      </w:divBdr>
    </w:div>
    <w:div w:id="1397896963">
      <w:bodyDiv w:val="1"/>
      <w:marLeft w:val="0"/>
      <w:marRight w:val="0"/>
      <w:marTop w:val="0"/>
      <w:marBottom w:val="0"/>
      <w:divBdr>
        <w:top w:val="none" w:sz="0" w:space="0" w:color="auto"/>
        <w:left w:val="none" w:sz="0" w:space="0" w:color="auto"/>
        <w:bottom w:val="none" w:sz="0" w:space="0" w:color="auto"/>
        <w:right w:val="none" w:sz="0" w:space="0" w:color="auto"/>
      </w:divBdr>
    </w:div>
    <w:div w:id="1408846571">
      <w:bodyDiv w:val="1"/>
      <w:marLeft w:val="0"/>
      <w:marRight w:val="0"/>
      <w:marTop w:val="0"/>
      <w:marBottom w:val="0"/>
      <w:divBdr>
        <w:top w:val="none" w:sz="0" w:space="0" w:color="auto"/>
        <w:left w:val="none" w:sz="0" w:space="0" w:color="auto"/>
        <w:bottom w:val="none" w:sz="0" w:space="0" w:color="auto"/>
        <w:right w:val="none" w:sz="0" w:space="0" w:color="auto"/>
      </w:divBdr>
    </w:div>
    <w:div w:id="1409687861">
      <w:bodyDiv w:val="1"/>
      <w:marLeft w:val="0"/>
      <w:marRight w:val="0"/>
      <w:marTop w:val="0"/>
      <w:marBottom w:val="0"/>
      <w:divBdr>
        <w:top w:val="none" w:sz="0" w:space="0" w:color="auto"/>
        <w:left w:val="none" w:sz="0" w:space="0" w:color="auto"/>
        <w:bottom w:val="none" w:sz="0" w:space="0" w:color="auto"/>
        <w:right w:val="none" w:sz="0" w:space="0" w:color="auto"/>
      </w:divBdr>
    </w:div>
    <w:div w:id="1415469206">
      <w:bodyDiv w:val="1"/>
      <w:marLeft w:val="0"/>
      <w:marRight w:val="0"/>
      <w:marTop w:val="0"/>
      <w:marBottom w:val="0"/>
      <w:divBdr>
        <w:top w:val="none" w:sz="0" w:space="0" w:color="auto"/>
        <w:left w:val="none" w:sz="0" w:space="0" w:color="auto"/>
        <w:bottom w:val="none" w:sz="0" w:space="0" w:color="auto"/>
        <w:right w:val="none" w:sz="0" w:space="0" w:color="auto"/>
      </w:divBdr>
    </w:div>
    <w:div w:id="1418165621">
      <w:bodyDiv w:val="1"/>
      <w:marLeft w:val="0"/>
      <w:marRight w:val="0"/>
      <w:marTop w:val="0"/>
      <w:marBottom w:val="0"/>
      <w:divBdr>
        <w:top w:val="none" w:sz="0" w:space="0" w:color="auto"/>
        <w:left w:val="none" w:sz="0" w:space="0" w:color="auto"/>
        <w:bottom w:val="none" w:sz="0" w:space="0" w:color="auto"/>
        <w:right w:val="none" w:sz="0" w:space="0" w:color="auto"/>
      </w:divBdr>
    </w:div>
    <w:div w:id="1418215238">
      <w:bodyDiv w:val="1"/>
      <w:marLeft w:val="0"/>
      <w:marRight w:val="0"/>
      <w:marTop w:val="0"/>
      <w:marBottom w:val="0"/>
      <w:divBdr>
        <w:top w:val="none" w:sz="0" w:space="0" w:color="auto"/>
        <w:left w:val="none" w:sz="0" w:space="0" w:color="auto"/>
        <w:bottom w:val="none" w:sz="0" w:space="0" w:color="auto"/>
        <w:right w:val="none" w:sz="0" w:space="0" w:color="auto"/>
      </w:divBdr>
    </w:div>
    <w:div w:id="1420522285">
      <w:bodyDiv w:val="1"/>
      <w:marLeft w:val="0"/>
      <w:marRight w:val="0"/>
      <w:marTop w:val="0"/>
      <w:marBottom w:val="0"/>
      <w:divBdr>
        <w:top w:val="none" w:sz="0" w:space="0" w:color="auto"/>
        <w:left w:val="none" w:sz="0" w:space="0" w:color="auto"/>
        <w:bottom w:val="none" w:sz="0" w:space="0" w:color="auto"/>
        <w:right w:val="none" w:sz="0" w:space="0" w:color="auto"/>
      </w:divBdr>
    </w:div>
    <w:div w:id="1420786850">
      <w:bodyDiv w:val="1"/>
      <w:marLeft w:val="0"/>
      <w:marRight w:val="0"/>
      <w:marTop w:val="0"/>
      <w:marBottom w:val="0"/>
      <w:divBdr>
        <w:top w:val="none" w:sz="0" w:space="0" w:color="auto"/>
        <w:left w:val="none" w:sz="0" w:space="0" w:color="auto"/>
        <w:bottom w:val="none" w:sz="0" w:space="0" w:color="auto"/>
        <w:right w:val="none" w:sz="0" w:space="0" w:color="auto"/>
      </w:divBdr>
    </w:div>
    <w:div w:id="1430082050">
      <w:bodyDiv w:val="1"/>
      <w:marLeft w:val="0"/>
      <w:marRight w:val="0"/>
      <w:marTop w:val="0"/>
      <w:marBottom w:val="0"/>
      <w:divBdr>
        <w:top w:val="none" w:sz="0" w:space="0" w:color="auto"/>
        <w:left w:val="none" w:sz="0" w:space="0" w:color="auto"/>
        <w:bottom w:val="none" w:sz="0" w:space="0" w:color="auto"/>
        <w:right w:val="none" w:sz="0" w:space="0" w:color="auto"/>
      </w:divBdr>
    </w:div>
    <w:div w:id="1430539403">
      <w:bodyDiv w:val="1"/>
      <w:marLeft w:val="0"/>
      <w:marRight w:val="0"/>
      <w:marTop w:val="0"/>
      <w:marBottom w:val="0"/>
      <w:divBdr>
        <w:top w:val="none" w:sz="0" w:space="0" w:color="auto"/>
        <w:left w:val="none" w:sz="0" w:space="0" w:color="auto"/>
        <w:bottom w:val="none" w:sz="0" w:space="0" w:color="auto"/>
        <w:right w:val="none" w:sz="0" w:space="0" w:color="auto"/>
      </w:divBdr>
    </w:div>
    <w:div w:id="1431048780">
      <w:bodyDiv w:val="1"/>
      <w:marLeft w:val="0"/>
      <w:marRight w:val="0"/>
      <w:marTop w:val="0"/>
      <w:marBottom w:val="0"/>
      <w:divBdr>
        <w:top w:val="none" w:sz="0" w:space="0" w:color="auto"/>
        <w:left w:val="none" w:sz="0" w:space="0" w:color="auto"/>
        <w:bottom w:val="none" w:sz="0" w:space="0" w:color="auto"/>
        <w:right w:val="none" w:sz="0" w:space="0" w:color="auto"/>
      </w:divBdr>
    </w:div>
    <w:div w:id="1432631102">
      <w:bodyDiv w:val="1"/>
      <w:marLeft w:val="0"/>
      <w:marRight w:val="0"/>
      <w:marTop w:val="0"/>
      <w:marBottom w:val="0"/>
      <w:divBdr>
        <w:top w:val="none" w:sz="0" w:space="0" w:color="auto"/>
        <w:left w:val="none" w:sz="0" w:space="0" w:color="auto"/>
        <w:bottom w:val="none" w:sz="0" w:space="0" w:color="auto"/>
        <w:right w:val="none" w:sz="0" w:space="0" w:color="auto"/>
      </w:divBdr>
    </w:div>
    <w:div w:id="1433821333">
      <w:bodyDiv w:val="1"/>
      <w:marLeft w:val="0"/>
      <w:marRight w:val="0"/>
      <w:marTop w:val="0"/>
      <w:marBottom w:val="0"/>
      <w:divBdr>
        <w:top w:val="none" w:sz="0" w:space="0" w:color="auto"/>
        <w:left w:val="none" w:sz="0" w:space="0" w:color="auto"/>
        <w:bottom w:val="none" w:sz="0" w:space="0" w:color="auto"/>
        <w:right w:val="none" w:sz="0" w:space="0" w:color="auto"/>
      </w:divBdr>
    </w:div>
    <w:div w:id="1434399000">
      <w:bodyDiv w:val="1"/>
      <w:marLeft w:val="0"/>
      <w:marRight w:val="0"/>
      <w:marTop w:val="0"/>
      <w:marBottom w:val="0"/>
      <w:divBdr>
        <w:top w:val="none" w:sz="0" w:space="0" w:color="auto"/>
        <w:left w:val="none" w:sz="0" w:space="0" w:color="auto"/>
        <w:bottom w:val="none" w:sz="0" w:space="0" w:color="auto"/>
        <w:right w:val="none" w:sz="0" w:space="0" w:color="auto"/>
      </w:divBdr>
    </w:div>
    <w:div w:id="1445610025">
      <w:bodyDiv w:val="1"/>
      <w:marLeft w:val="0"/>
      <w:marRight w:val="0"/>
      <w:marTop w:val="0"/>
      <w:marBottom w:val="0"/>
      <w:divBdr>
        <w:top w:val="none" w:sz="0" w:space="0" w:color="auto"/>
        <w:left w:val="none" w:sz="0" w:space="0" w:color="auto"/>
        <w:bottom w:val="none" w:sz="0" w:space="0" w:color="auto"/>
        <w:right w:val="none" w:sz="0" w:space="0" w:color="auto"/>
      </w:divBdr>
    </w:div>
    <w:div w:id="1449815046">
      <w:bodyDiv w:val="1"/>
      <w:marLeft w:val="0"/>
      <w:marRight w:val="0"/>
      <w:marTop w:val="0"/>
      <w:marBottom w:val="0"/>
      <w:divBdr>
        <w:top w:val="none" w:sz="0" w:space="0" w:color="auto"/>
        <w:left w:val="none" w:sz="0" w:space="0" w:color="auto"/>
        <w:bottom w:val="none" w:sz="0" w:space="0" w:color="auto"/>
        <w:right w:val="none" w:sz="0" w:space="0" w:color="auto"/>
      </w:divBdr>
    </w:div>
    <w:div w:id="1474175782">
      <w:bodyDiv w:val="1"/>
      <w:marLeft w:val="0"/>
      <w:marRight w:val="0"/>
      <w:marTop w:val="0"/>
      <w:marBottom w:val="0"/>
      <w:divBdr>
        <w:top w:val="none" w:sz="0" w:space="0" w:color="auto"/>
        <w:left w:val="none" w:sz="0" w:space="0" w:color="auto"/>
        <w:bottom w:val="none" w:sz="0" w:space="0" w:color="auto"/>
        <w:right w:val="none" w:sz="0" w:space="0" w:color="auto"/>
      </w:divBdr>
    </w:div>
    <w:div w:id="1478108428">
      <w:bodyDiv w:val="1"/>
      <w:marLeft w:val="0"/>
      <w:marRight w:val="0"/>
      <w:marTop w:val="0"/>
      <w:marBottom w:val="0"/>
      <w:divBdr>
        <w:top w:val="none" w:sz="0" w:space="0" w:color="auto"/>
        <w:left w:val="none" w:sz="0" w:space="0" w:color="auto"/>
        <w:bottom w:val="none" w:sz="0" w:space="0" w:color="auto"/>
        <w:right w:val="none" w:sz="0" w:space="0" w:color="auto"/>
      </w:divBdr>
    </w:div>
    <w:div w:id="1491756034">
      <w:bodyDiv w:val="1"/>
      <w:marLeft w:val="0"/>
      <w:marRight w:val="0"/>
      <w:marTop w:val="0"/>
      <w:marBottom w:val="0"/>
      <w:divBdr>
        <w:top w:val="none" w:sz="0" w:space="0" w:color="auto"/>
        <w:left w:val="none" w:sz="0" w:space="0" w:color="auto"/>
        <w:bottom w:val="none" w:sz="0" w:space="0" w:color="auto"/>
        <w:right w:val="none" w:sz="0" w:space="0" w:color="auto"/>
      </w:divBdr>
    </w:div>
    <w:div w:id="1496797965">
      <w:bodyDiv w:val="1"/>
      <w:marLeft w:val="0"/>
      <w:marRight w:val="0"/>
      <w:marTop w:val="0"/>
      <w:marBottom w:val="0"/>
      <w:divBdr>
        <w:top w:val="none" w:sz="0" w:space="0" w:color="auto"/>
        <w:left w:val="none" w:sz="0" w:space="0" w:color="auto"/>
        <w:bottom w:val="none" w:sz="0" w:space="0" w:color="auto"/>
        <w:right w:val="none" w:sz="0" w:space="0" w:color="auto"/>
      </w:divBdr>
    </w:div>
    <w:div w:id="1497375904">
      <w:bodyDiv w:val="1"/>
      <w:marLeft w:val="0"/>
      <w:marRight w:val="0"/>
      <w:marTop w:val="0"/>
      <w:marBottom w:val="0"/>
      <w:divBdr>
        <w:top w:val="none" w:sz="0" w:space="0" w:color="auto"/>
        <w:left w:val="none" w:sz="0" w:space="0" w:color="auto"/>
        <w:bottom w:val="none" w:sz="0" w:space="0" w:color="auto"/>
        <w:right w:val="none" w:sz="0" w:space="0" w:color="auto"/>
      </w:divBdr>
    </w:div>
    <w:div w:id="1505970522">
      <w:bodyDiv w:val="1"/>
      <w:marLeft w:val="0"/>
      <w:marRight w:val="0"/>
      <w:marTop w:val="0"/>
      <w:marBottom w:val="0"/>
      <w:divBdr>
        <w:top w:val="none" w:sz="0" w:space="0" w:color="auto"/>
        <w:left w:val="none" w:sz="0" w:space="0" w:color="auto"/>
        <w:bottom w:val="none" w:sz="0" w:space="0" w:color="auto"/>
        <w:right w:val="none" w:sz="0" w:space="0" w:color="auto"/>
      </w:divBdr>
    </w:div>
    <w:div w:id="1508866977">
      <w:bodyDiv w:val="1"/>
      <w:marLeft w:val="0"/>
      <w:marRight w:val="0"/>
      <w:marTop w:val="0"/>
      <w:marBottom w:val="0"/>
      <w:divBdr>
        <w:top w:val="none" w:sz="0" w:space="0" w:color="auto"/>
        <w:left w:val="none" w:sz="0" w:space="0" w:color="auto"/>
        <w:bottom w:val="none" w:sz="0" w:space="0" w:color="auto"/>
        <w:right w:val="none" w:sz="0" w:space="0" w:color="auto"/>
      </w:divBdr>
    </w:div>
    <w:div w:id="1509753451">
      <w:bodyDiv w:val="1"/>
      <w:marLeft w:val="0"/>
      <w:marRight w:val="0"/>
      <w:marTop w:val="0"/>
      <w:marBottom w:val="0"/>
      <w:divBdr>
        <w:top w:val="none" w:sz="0" w:space="0" w:color="auto"/>
        <w:left w:val="none" w:sz="0" w:space="0" w:color="auto"/>
        <w:bottom w:val="none" w:sz="0" w:space="0" w:color="auto"/>
        <w:right w:val="none" w:sz="0" w:space="0" w:color="auto"/>
      </w:divBdr>
    </w:div>
    <w:div w:id="1510290194">
      <w:bodyDiv w:val="1"/>
      <w:marLeft w:val="0"/>
      <w:marRight w:val="0"/>
      <w:marTop w:val="0"/>
      <w:marBottom w:val="0"/>
      <w:divBdr>
        <w:top w:val="none" w:sz="0" w:space="0" w:color="auto"/>
        <w:left w:val="none" w:sz="0" w:space="0" w:color="auto"/>
        <w:bottom w:val="none" w:sz="0" w:space="0" w:color="auto"/>
        <w:right w:val="none" w:sz="0" w:space="0" w:color="auto"/>
      </w:divBdr>
    </w:div>
    <w:div w:id="1511947368">
      <w:bodyDiv w:val="1"/>
      <w:marLeft w:val="0"/>
      <w:marRight w:val="0"/>
      <w:marTop w:val="0"/>
      <w:marBottom w:val="0"/>
      <w:divBdr>
        <w:top w:val="none" w:sz="0" w:space="0" w:color="auto"/>
        <w:left w:val="none" w:sz="0" w:space="0" w:color="auto"/>
        <w:bottom w:val="none" w:sz="0" w:space="0" w:color="auto"/>
        <w:right w:val="none" w:sz="0" w:space="0" w:color="auto"/>
      </w:divBdr>
    </w:div>
    <w:div w:id="1515656413">
      <w:bodyDiv w:val="1"/>
      <w:marLeft w:val="0"/>
      <w:marRight w:val="0"/>
      <w:marTop w:val="0"/>
      <w:marBottom w:val="0"/>
      <w:divBdr>
        <w:top w:val="none" w:sz="0" w:space="0" w:color="auto"/>
        <w:left w:val="none" w:sz="0" w:space="0" w:color="auto"/>
        <w:bottom w:val="none" w:sz="0" w:space="0" w:color="auto"/>
        <w:right w:val="none" w:sz="0" w:space="0" w:color="auto"/>
      </w:divBdr>
    </w:div>
    <w:div w:id="1517572133">
      <w:bodyDiv w:val="1"/>
      <w:marLeft w:val="0"/>
      <w:marRight w:val="0"/>
      <w:marTop w:val="0"/>
      <w:marBottom w:val="0"/>
      <w:divBdr>
        <w:top w:val="none" w:sz="0" w:space="0" w:color="auto"/>
        <w:left w:val="none" w:sz="0" w:space="0" w:color="auto"/>
        <w:bottom w:val="none" w:sz="0" w:space="0" w:color="auto"/>
        <w:right w:val="none" w:sz="0" w:space="0" w:color="auto"/>
      </w:divBdr>
    </w:div>
    <w:div w:id="1518303150">
      <w:bodyDiv w:val="1"/>
      <w:marLeft w:val="0"/>
      <w:marRight w:val="0"/>
      <w:marTop w:val="0"/>
      <w:marBottom w:val="0"/>
      <w:divBdr>
        <w:top w:val="none" w:sz="0" w:space="0" w:color="auto"/>
        <w:left w:val="none" w:sz="0" w:space="0" w:color="auto"/>
        <w:bottom w:val="none" w:sz="0" w:space="0" w:color="auto"/>
        <w:right w:val="none" w:sz="0" w:space="0" w:color="auto"/>
      </w:divBdr>
    </w:div>
    <w:div w:id="1539660840">
      <w:bodyDiv w:val="1"/>
      <w:marLeft w:val="0"/>
      <w:marRight w:val="0"/>
      <w:marTop w:val="0"/>
      <w:marBottom w:val="0"/>
      <w:divBdr>
        <w:top w:val="none" w:sz="0" w:space="0" w:color="auto"/>
        <w:left w:val="none" w:sz="0" w:space="0" w:color="auto"/>
        <w:bottom w:val="none" w:sz="0" w:space="0" w:color="auto"/>
        <w:right w:val="none" w:sz="0" w:space="0" w:color="auto"/>
      </w:divBdr>
    </w:div>
    <w:div w:id="1539976203">
      <w:bodyDiv w:val="1"/>
      <w:marLeft w:val="0"/>
      <w:marRight w:val="0"/>
      <w:marTop w:val="0"/>
      <w:marBottom w:val="0"/>
      <w:divBdr>
        <w:top w:val="none" w:sz="0" w:space="0" w:color="auto"/>
        <w:left w:val="none" w:sz="0" w:space="0" w:color="auto"/>
        <w:bottom w:val="none" w:sz="0" w:space="0" w:color="auto"/>
        <w:right w:val="none" w:sz="0" w:space="0" w:color="auto"/>
      </w:divBdr>
    </w:div>
    <w:div w:id="1547109517">
      <w:bodyDiv w:val="1"/>
      <w:marLeft w:val="0"/>
      <w:marRight w:val="0"/>
      <w:marTop w:val="0"/>
      <w:marBottom w:val="0"/>
      <w:divBdr>
        <w:top w:val="none" w:sz="0" w:space="0" w:color="auto"/>
        <w:left w:val="none" w:sz="0" w:space="0" w:color="auto"/>
        <w:bottom w:val="none" w:sz="0" w:space="0" w:color="auto"/>
        <w:right w:val="none" w:sz="0" w:space="0" w:color="auto"/>
      </w:divBdr>
    </w:div>
    <w:div w:id="1547833764">
      <w:bodyDiv w:val="1"/>
      <w:marLeft w:val="0"/>
      <w:marRight w:val="0"/>
      <w:marTop w:val="0"/>
      <w:marBottom w:val="0"/>
      <w:divBdr>
        <w:top w:val="none" w:sz="0" w:space="0" w:color="auto"/>
        <w:left w:val="none" w:sz="0" w:space="0" w:color="auto"/>
        <w:bottom w:val="none" w:sz="0" w:space="0" w:color="auto"/>
        <w:right w:val="none" w:sz="0" w:space="0" w:color="auto"/>
      </w:divBdr>
    </w:div>
    <w:div w:id="1562599116">
      <w:bodyDiv w:val="1"/>
      <w:marLeft w:val="0"/>
      <w:marRight w:val="0"/>
      <w:marTop w:val="0"/>
      <w:marBottom w:val="0"/>
      <w:divBdr>
        <w:top w:val="none" w:sz="0" w:space="0" w:color="auto"/>
        <w:left w:val="none" w:sz="0" w:space="0" w:color="auto"/>
        <w:bottom w:val="none" w:sz="0" w:space="0" w:color="auto"/>
        <w:right w:val="none" w:sz="0" w:space="0" w:color="auto"/>
      </w:divBdr>
    </w:div>
    <w:div w:id="1567491607">
      <w:bodyDiv w:val="1"/>
      <w:marLeft w:val="0"/>
      <w:marRight w:val="0"/>
      <w:marTop w:val="0"/>
      <w:marBottom w:val="0"/>
      <w:divBdr>
        <w:top w:val="none" w:sz="0" w:space="0" w:color="auto"/>
        <w:left w:val="none" w:sz="0" w:space="0" w:color="auto"/>
        <w:bottom w:val="none" w:sz="0" w:space="0" w:color="auto"/>
        <w:right w:val="none" w:sz="0" w:space="0" w:color="auto"/>
      </w:divBdr>
    </w:div>
    <w:div w:id="1567835687">
      <w:bodyDiv w:val="1"/>
      <w:marLeft w:val="0"/>
      <w:marRight w:val="0"/>
      <w:marTop w:val="0"/>
      <w:marBottom w:val="0"/>
      <w:divBdr>
        <w:top w:val="none" w:sz="0" w:space="0" w:color="auto"/>
        <w:left w:val="none" w:sz="0" w:space="0" w:color="auto"/>
        <w:bottom w:val="none" w:sz="0" w:space="0" w:color="auto"/>
        <w:right w:val="none" w:sz="0" w:space="0" w:color="auto"/>
      </w:divBdr>
    </w:div>
    <w:div w:id="1572160854">
      <w:bodyDiv w:val="1"/>
      <w:marLeft w:val="0"/>
      <w:marRight w:val="0"/>
      <w:marTop w:val="0"/>
      <w:marBottom w:val="0"/>
      <w:divBdr>
        <w:top w:val="none" w:sz="0" w:space="0" w:color="auto"/>
        <w:left w:val="none" w:sz="0" w:space="0" w:color="auto"/>
        <w:bottom w:val="none" w:sz="0" w:space="0" w:color="auto"/>
        <w:right w:val="none" w:sz="0" w:space="0" w:color="auto"/>
      </w:divBdr>
    </w:div>
    <w:div w:id="1573268720">
      <w:bodyDiv w:val="1"/>
      <w:marLeft w:val="0"/>
      <w:marRight w:val="0"/>
      <w:marTop w:val="0"/>
      <w:marBottom w:val="0"/>
      <w:divBdr>
        <w:top w:val="none" w:sz="0" w:space="0" w:color="auto"/>
        <w:left w:val="none" w:sz="0" w:space="0" w:color="auto"/>
        <w:bottom w:val="none" w:sz="0" w:space="0" w:color="auto"/>
        <w:right w:val="none" w:sz="0" w:space="0" w:color="auto"/>
      </w:divBdr>
    </w:div>
    <w:div w:id="1575815448">
      <w:bodyDiv w:val="1"/>
      <w:marLeft w:val="0"/>
      <w:marRight w:val="0"/>
      <w:marTop w:val="0"/>
      <w:marBottom w:val="0"/>
      <w:divBdr>
        <w:top w:val="none" w:sz="0" w:space="0" w:color="auto"/>
        <w:left w:val="none" w:sz="0" w:space="0" w:color="auto"/>
        <w:bottom w:val="none" w:sz="0" w:space="0" w:color="auto"/>
        <w:right w:val="none" w:sz="0" w:space="0" w:color="auto"/>
      </w:divBdr>
    </w:div>
    <w:div w:id="1578788684">
      <w:bodyDiv w:val="1"/>
      <w:marLeft w:val="0"/>
      <w:marRight w:val="0"/>
      <w:marTop w:val="0"/>
      <w:marBottom w:val="0"/>
      <w:divBdr>
        <w:top w:val="none" w:sz="0" w:space="0" w:color="auto"/>
        <w:left w:val="none" w:sz="0" w:space="0" w:color="auto"/>
        <w:bottom w:val="none" w:sz="0" w:space="0" w:color="auto"/>
        <w:right w:val="none" w:sz="0" w:space="0" w:color="auto"/>
      </w:divBdr>
    </w:div>
    <w:div w:id="1578982258">
      <w:bodyDiv w:val="1"/>
      <w:marLeft w:val="0"/>
      <w:marRight w:val="0"/>
      <w:marTop w:val="0"/>
      <w:marBottom w:val="0"/>
      <w:divBdr>
        <w:top w:val="none" w:sz="0" w:space="0" w:color="auto"/>
        <w:left w:val="none" w:sz="0" w:space="0" w:color="auto"/>
        <w:bottom w:val="none" w:sz="0" w:space="0" w:color="auto"/>
        <w:right w:val="none" w:sz="0" w:space="0" w:color="auto"/>
      </w:divBdr>
    </w:div>
    <w:div w:id="1582909278">
      <w:bodyDiv w:val="1"/>
      <w:marLeft w:val="0"/>
      <w:marRight w:val="0"/>
      <w:marTop w:val="0"/>
      <w:marBottom w:val="0"/>
      <w:divBdr>
        <w:top w:val="none" w:sz="0" w:space="0" w:color="auto"/>
        <w:left w:val="none" w:sz="0" w:space="0" w:color="auto"/>
        <w:bottom w:val="none" w:sz="0" w:space="0" w:color="auto"/>
        <w:right w:val="none" w:sz="0" w:space="0" w:color="auto"/>
      </w:divBdr>
    </w:div>
    <w:div w:id="1584685716">
      <w:bodyDiv w:val="1"/>
      <w:marLeft w:val="0"/>
      <w:marRight w:val="0"/>
      <w:marTop w:val="0"/>
      <w:marBottom w:val="0"/>
      <w:divBdr>
        <w:top w:val="none" w:sz="0" w:space="0" w:color="auto"/>
        <w:left w:val="none" w:sz="0" w:space="0" w:color="auto"/>
        <w:bottom w:val="none" w:sz="0" w:space="0" w:color="auto"/>
        <w:right w:val="none" w:sz="0" w:space="0" w:color="auto"/>
      </w:divBdr>
    </w:div>
    <w:div w:id="1589651563">
      <w:bodyDiv w:val="1"/>
      <w:marLeft w:val="0"/>
      <w:marRight w:val="0"/>
      <w:marTop w:val="0"/>
      <w:marBottom w:val="0"/>
      <w:divBdr>
        <w:top w:val="none" w:sz="0" w:space="0" w:color="auto"/>
        <w:left w:val="none" w:sz="0" w:space="0" w:color="auto"/>
        <w:bottom w:val="none" w:sz="0" w:space="0" w:color="auto"/>
        <w:right w:val="none" w:sz="0" w:space="0" w:color="auto"/>
      </w:divBdr>
    </w:div>
    <w:div w:id="1593590205">
      <w:bodyDiv w:val="1"/>
      <w:marLeft w:val="0"/>
      <w:marRight w:val="0"/>
      <w:marTop w:val="0"/>
      <w:marBottom w:val="0"/>
      <w:divBdr>
        <w:top w:val="none" w:sz="0" w:space="0" w:color="auto"/>
        <w:left w:val="none" w:sz="0" w:space="0" w:color="auto"/>
        <w:bottom w:val="none" w:sz="0" w:space="0" w:color="auto"/>
        <w:right w:val="none" w:sz="0" w:space="0" w:color="auto"/>
      </w:divBdr>
    </w:div>
    <w:div w:id="1598102715">
      <w:bodyDiv w:val="1"/>
      <w:marLeft w:val="0"/>
      <w:marRight w:val="0"/>
      <w:marTop w:val="0"/>
      <w:marBottom w:val="0"/>
      <w:divBdr>
        <w:top w:val="none" w:sz="0" w:space="0" w:color="auto"/>
        <w:left w:val="none" w:sz="0" w:space="0" w:color="auto"/>
        <w:bottom w:val="none" w:sz="0" w:space="0" w:color="auto"/>
        <w:right w:val="none" w:sz="0" w:space="0" w:color="auto"/>
      </w:divBdr>
    </w:div>
    <w:div w:id="1599017476">
      <w:bodyDiv w:val="1"/>
      <w:marLeft w:val="0"/>
      <w:marRight w:val="0"/>
      <w:marTop w:val="0"/>
      <w:marBottom w:val="0"/>
      <w:divBdr>
        <w:top w:val="none" w:sz="0" w:space="0" w:color="auto"/>
        <w:left w:val="none" w:sz="0" w:space="0" w:color="auto"/>
        <w:bottom w:val="none" w:sz="0" w:space="0" w:color="auto"/>
        <w:right w:val="none" w:sz="0" w:space="0" w:color="auto"/>
      </w:divBdr>
    </w:div>
    <w:div w:id="1604653450">
      <w:bodyDiv w:val="1"/>
      <w:marLeft w:val="0"/>
      <w:marRight w:val="0"/>
      <w:marTop w:val="0"/>
      <w:marBottom w:val="0"/>
      <w:divBdr>
        <w:top w:val="none" w:sz="0" w:space="0" w:color="auto"/>
        <w:left w:val="none" w:sz="0" w:space="0" w:color="auto"/>
        <w:bottom w:val="none" w:sz="0" w:space="0" w:color="auto"/>
        <w:right w:val="none" w:sz="0" w:space="0" w:color="auto"/>
      </w:divBdr>
    </w:div>
    <w:div w:id="1616447832">
      <w:bodyDiv w:val="1"/>
      <w:marLeft w:val="0"/>
      <w:marRight w:val="0"/>
      <w:marTop w:val="0"/>
      <w:marBottom w:val="0"/>
      <w:divBdr>
        <w:top w:val="none" w:sz="0" w:space="0" w:color="auto"/>
        <w:left w:val="none" w:sz="0" w:space="0" w:color="auto"/>
        <w:bottom w:val="none" w:sz="0" w:space="0" w:color="auto"/>
        <w:right w:val="none" w:sz="0" w:space="0" w:color="auto"/>
      </w:divBdr>
    </w:div>
    <w:div w:id="1618902920">
      <w:bodyDiv w:val="1"/>
      <w:marLeft w:val="0"/>
      <w:marRight w:val="0"/>
      <w:marTop w:val="0"/>
      <w:marBottom w:val="0"/>
      <w:divBdr>
        <w:top w:val="none" w:sz="0" w:space="0" w:color="auto"/>
        <w:left w:val="none" w:sz="0" w:space="0" w:color="auto"/>
        <w:bottom w:val="none" w:sz="0" w:space="0" w:color="auto"/>
        <w:right w:val="none" w:sz="0" w:space="0" w:color="auto"/>
      </w:divBdr>
    </w:div>
    <w:div w:id="1628470608">
      <w:bodyDiv w:val="1"/>
      <w:marLeft w:val="0"/>
      <w:marRight w:val="0"/>
      <w:marTop w:val="0"/>
      <w:marBottom w:val="0"/>
      <w:divBdr>
        <w:top w:val="none" w:sz="0" w:space="0" w:color="auto"/>
        <w:left w:val="none" w:sz="0" w:space="0" w:color="auto"/>
        <w:bottom w:val="none" w:sz="0" w:space="0" w:color="auto"/>
        <w:right w:val="none" w:sz="0" w:space="0" w:color="auto"/>
      </w:divBdr>
    </w:div>
    <w:div w:id="1632904689">
      <w:bodyDiv w:val="1"/>
      <w:marLeft w:val="0"/>
      <w:marRight w:val="0"/>
      <w:marTop w:val="0"/>
      <w:marBottom w:val="0"/>
      <w:divBdr>
        <w:top w:val="none" w:sz="0" w:space="0" w:color="auto"/>
        <w:left w:val="none" w:sz="0" w:space="0" w:color="auto"/>
        <w:bottom w:val="none" w:sz="0" w:space="0" w:color="auto"/>
        <w:right w:val="none" w:sz="0" w:space="0" w:color="auto"/>
      </w:divBdr>
    </w:div>
    <w:div w:id="1638097980">
      <w:bodyDiv w:val="1"/>
      <w:marLeft w:val="0"/>
      <w:marRight w:val="0"/>
      <w:marTop w:val="0"/>
      <w:marBottom w:val="0"/>
      <w:divBdr>
        <w:top w:val="none" w:sz="0" w:space="0" w:color="auto"/>
        <w:left w:val="none" w:sz="0" w:space="0" w:color="auto"/>
        <w:bottom w:val="none" w:sz="0" w:space="0" w:color="auto"/>
        <w:right w:val="none" w:sz="0" w:space="0" w:color="auto"/>
      </w:divBdr>
    </w:div>
    <w:div w:id="1640454120">
      <w:bodyDiv w:val="1"/>
      <w:marLeft w:val="0"/>
      <w:marRight w:val="0"/>
      <w:marTop w:val="0"/>
      <w:marBottom w:val="0"/>
      <w:divBdr>
        <w:top w:val="none" w:sz="0" w:space="0" w:color="auto"/>
        <w:left w:val="none" w:sz="0" w:space="0" w:color="auto"/>
        <w:bottom w:val="none" w:sz="0" w:space="0" w:color="auto"/>
        <w:right w:val="none" w:sz="0" w:space="0" w:color="auto"/>
      </w:divBdr>
    </w:div>
    <w:div w:id="1644386909">
      <w:bodyDiv w:val="1"/>
      <w:marLeft w:val="0"/>
      <w:marRight w:val="0"/>
      <w:marTop w:val="0"/>
      <w:marBottom w:val="0"/>
      <w:divBdr>
        <w:top w:val="none" w:sz="0" w:space="0" w:color="auto"/>
        <w:left w:val="none" w:sz="0" w:space="0" w:color="auto"/>
        <w:bottom w:val="none" w:sz="0" w:space="0" w:color="auto"/>
        <w:right w:val="none" w:sz="0" w:space="0" w:color="auto"/>
      </w:divBdr>
    </w:div>
    <w:div w:id="1646396810">
      <w:bodyDiv w:val="1"/>
      <w:marLeft w:val="0"/>
      <w:marRight w:val="0"/>
      <w:marTop w:val="0"/>
      <w:marBottom w:val="0"/>
      <w:divBdr>
        <w:top w:val="none" w:sz="0" w:space="0" w:color="auto"/>
        <w:left w:val="none" w:sz="0" w:space="0" w:color="auto"/>
        <w:bottom w:val="none" w:sz="0" w:space="0" w:color="auto"/>
        <w:right w:val="none" w:sz="0" w:space="0" w:color="auto"/>
      </w:divBdr>
    </w:div>
    <w:div w:id="1648512538">
      <w:bodyDiv w:val="1"/>
      <w:marLeft w:val="0"/>
      <w:marRight w:val="0"/>
      <w:marTop w:val="0"/>
      <w:marBottom w:val="0"/>
      <w:divBdr>
        <w:top w:val="none" w:sz="0" w:space="0" w:color="auto"/>
        <w:left w:val="none" w:sz="0" w:space="0" w:color="auto"/>
        <w:bottom w:val="none" w:sz="0" w:space="0" w:color="auto"/>
        <w:right w:val="none" w:sz="0" w:space="0" w:color="auto"/>
      </w:divBdr>
    </w:div>
    <w:div w:id="1656687483">
      <w:bodyDiv w:val="1"/>
      <w:marLeft w:val="0"/>
      <w:marRight w:val="0"/>
      <w:marTop w:val="0"/>
      <w:marBottom w:val="0"/>
      <w:divBdr>
        <w:top w:val="none" w:sz="0" w:space="0" w:color="auto"/>
        <w:left w:val="none" w:sz="0" w:space="0" w:color="auto"/>
        <w:bottom w:val="none" w:sz="0" w:space="0" w:color="auto"/>
        <w:right w:val="none" w:sz="0" w:space="0" w:color="auto"/>
      </w:divBdr>
    </w:div>
    <w:div w:id="1656882078">
      <w:bodyDiv w:val="1"/>
      <w:marLeft w:val="0"/>
      <w:marRight w:val="0"/>
      <w:marTop w:val="0"/>
      <w:marBottom w:val="0"/>
      <w:divBdr>
        <w:top w:val="none" w:sz="0" w:space="0" w:color="auto"/>
        <w:left w:val="none" w:sz="0" w:space="0" w:color="auto"/>
        <w:bottom w:val="none" w:sz="0" w:space="0" w:color="auto"/>
        <w:right w:val="none" w:sz="0" w:space="0" w:color="auto"/>
      </w:divBdr>
    </w:div>
    <w:div w:id="1657030053">
      <w:bodyDiv w:val="1"/>
      <w:marLeft w:val="0"/>
      <w:marRight w:val="0"/>
      <w:marTop w:val="0"/>
      <w:marBottom w:val="0"/>
      <w:divBdr>
        <w:top w:val="none" w:sz="0" w:space="0" w:color="auto"/>
        <w:left w:val="none" w:sz="0" w:space="0" w:color="auto"/>
        <w:bottom w:val="none" w:sz="0" w:space="0" w:color="auto"/>
        <w:right w:val="none" w:sz="0" w:space="0" w:color="auto"/>
      </w:divBdr>
    </w:div>
    <w:div w:id="1661998869">
      <w:bodyDiv w:val="1"/>
      <w:marLeft w:val="0"/>
      <w:marRight w:val="0"/>
      <w:marTop w:val="0"/>
      <w:marBottom w:val="0"/>
      <w:divBdr>
        <w:top w:val="none" w:sz="0" w:space="0" w:color="auto"/>
        <w:left w:val="none" w:sz="0" w:space="0" w:color="auto"/>
        <w:bottom w:val="none" w:sz="0" w:space="0" w:color="auto"/>
        <w:right w:val="none" w:sz="0" w:space="0" w:color="auto"/>
      </w:divBdr>
    </w:div>
    <w:div w:id="1666978314">
      <w:bodyDiv w:val="1"/>
      <w:marLeft w:val="0"/>
      <w:marRight w:val="0"/>
      <w:marTop w:val="0"/>
      <w:marBottom w:val="0"/>
      <w:divBdr>
        <w:top w:val="none" w:sz="0" w:space="0" w:color="auto"/>
        <w:left w:val="none" w:sz="0" w:space="0" w:color="auto"/>
        <w:bottom w:val="none" w:sz="0" w:space="0" w:color="auto"/>
        <w:right w:val="none" w:sz="0" w:space="0" w:color="auto"/>
      </w:divBdr>
    </w:div>
    <w:div w:id="1667631300">
      <w:bodyDiv w:val="1"/>
      <w:marLeft w:val="0"/>
      <w:marRight w:val="0"/>
      <w:marTop w:val="0"/>
      <w:marBottom w:val="0"/>
      <w:divBdr>
        <w:top w:val="none" w:sz="0" w:space="0" w:color="auto"/>
        <w:left w:val="none" w:sz="0" w:space="0" w:color="auto"/>
        <w:bottom w:val="none" w:sz="0" w:space="0" w:color="auto"/>
        <w:right w:val="none" w:sz="0" w:space="0" w:color="auto"/>
      </w:divBdr>
    </w:div>
    <w:div w:id="1668900660">
      <w:bodyDiv w:val="1"/>
      <w:marLeft w:val="0"/>
      <w:marRight w:val="0"/>
      <w:marTop w:val="0"/>
      <w:marBottom w:val="0"/>
      <w:divBdr>
        <w:top w:val="none" w:sz="0" w:space="0" w:color="auto"/>
        <w:left w:val="none" w:sz="0" w:space="0" w:color="auto"/>
        <w:bottom w:val="none" w:sz="0" w:space="0" w:color="auto"/>
        <w:right w:val="none" w:sz="0" w:space="0" w:color="auto"/>
      </w:divBdr>
    </w:div>
    <w:div w:id="1670676266">
      <w:bodyDiv w:val="1"/>
      <w:marLeft w:val="0"/>
      <w:marRight w:val="0"/>
      <w:marTop w:val="0"/>
      <w:marBottom w:val="0"/>
      <w:divBdr>
        <w:top w:val="none" w:sz="0" w:space="0" w:color="auto"/>
        <w:left w:val="none" w:sz="0" w:space="0" w:color="auto"/>
        <w:bottom w:val="none" w:sz="0" w:space="0" w:color="auto"/>
        <w:right w:val="none" w:sz="0" w:space="0" w:color="auto"/>
      </w:divBdr>
    </w:div>
    <w:div w:id="1673681241">
      <w:bodyDiv w:val="1"/>
      <w:marLeft w:val="0"/>
      <w:marRight w:val="0"/>
      <w:marTop w:val="0"/>
      <w:marBottom w:val="0"/>
      <w:divBdr>
        <w:top w:val="none" w:sz="0" w:space="0" w:color="auto"/>
        <w:left w:val="none" w:sz="0" w:space="0" w:color="auto"/>
        <w:bottom w:val="none" w:sz="0" w:space="0" w:color="auto"/>
        <w:right w:val="none" w:sz="0" w:space="0" w:color="auto"/>
      </w:divBdr>
    </w:div>
    <w:div w:id="1678071130">
      <w:bodyDiv w:val="1"/>
      <w:marLeft w:val="0"/>
      <w:marRight w:val="0"/>
      <w:marTop w:val="0"/>
      <w:marBottom w:val="0"/>
      <w:divBdr>
        <w:top w:val="none" w:sz="0" w:space="0" w:color="auto"/>
        <w:left w:val="none" w:sz="0" w:space="0" w:color="auto"/>
        <w:bottom w:val="none" w:sz="0" w:space="0" w:color="auto"/>
        <w:right w:val="none" w:sz="0" w:space="0" w:color="auto"/>
      </w:divBdr>
    </w:div>
    <w:div w:id="1679884831">
      <w:bodyDiv w:val="1"/>
      <w:marLeft w:val="0"/>
      <w:marRight w:val="0"/>
      <w:marTop w:val="0"/>
      <w:marBottom w:val="0"/>
      <w:divBdr>
        <w:top w:val="none" w:sz="0" w:space="0" w:color="auto"/>
        <w:left w:val="none" w:sz="0" w:space="0" w:color="auto"/>
        <w:bottom w:val="none" w:sz="0" w:space="0" w:color="auto"/>
        <w:right w:val="none" w:sz="0" w:space="0" w:color="auto"/>
      </w:divBdr>
    </w:div>
    <w:div w:id="1695837400">
      <w:bodyDiv w:val="1"/>
      <w:marLeft w:val="0"/>
      <w:marRight w:val="0"/>
      <w:marTop w:val="0"/>
      <w:marBottom w:val="0"/>
      <w:divBdr>
        <w:top w:val="none" w:sz="0" w:space="0" w:color="auto"/>
        <w:left w:val="none" w:sz="0" w:space="0" w:color="auto"/>
        <w:bottom w:val="none" w:sz="0" w:space="0" w:color="auto"/>
        <w:right w:val="none" w:sz="0" w:space="0" w:color="auto"/>
      </w:divBdr>
    </w:div>
    <w:div w:id="1696270525">
      <w:bodyDiv w:val="1"/>
      <w:marLeft w:val="0"/>
      <w:marRight w:val="0"/>
      <w:marTop w:val="0"/>
      <w:marBottom w:val="0"/>
      <w:divBdr>
        <w:top w:val="none" w:sz="0" w:space="0" w:color="auto"/>
        <w:left w:val="none" w:sz="0" w:space="0" w:color="auto"/>
        <w:bottom w:val="none" w:sz="0" w:space="0" w:color="auto"/>
        <w:right w:val="none" w:sz="0" w:space="0" w:color="auto"/>
      </w:divBdr>
      <w:divsChild>
        <w:div w:id="255288995">
          <w:marLeft w:val="0"/>
          <w:marRight w:val="0"/>
          <w:marTop w:val="0"/>
          <w:marBottom w:val="0"/>
          <w:divBdr>
            <w:top w:val="none" w:sz="0" w:space="0" w:color="auto"/>
            <w:left w:val="none" w:sz="0" w:space="0" w:color="auto"/>
            <w:bottom w:val="none" w:sz="0" w:space="0" w:color="auto"/>
            <w:right w:val="none" w:sz="0" w:space="0" w:color="auto"/>
          </w:divBdr>
          <w:divsChild>
            <w:div w:id="1265111692">
              <w:marLeft w:val="0"/>
              <w:marRight w:val="0"/>
              <w:marTop w:val="0"/>
              <w:marBottom w:val="0"/>
              <w:divBdr>
                <w:top w:val="none" w:sz="0" w:space="0" w:color="auto"/>
                <w:left w:val="none" w:sz="0" w:space="0" w:color="auto"/>
                <w:bottom w:val="none" w:sz="0" w:space="0" w:color="auto"/>
                <w:right w:val="none" w:sz="0" w:space="0" w:color="auto"/>
              </w:divBdr>
            </w:div>
          </w:divsChild>
        </w:div>
        <w:div w:id="1016888743">
          <w:marLeft w:val="0"/>
          <w:marRight w:val="0"/>
          <w:marTop w:val="0"/>
          <w:marBottom w:val="0"/>
          <w:divBdr>
            <w:top w:val="none" w:sz="0" w:space="0" w:color="auto"/>
            <w:left w:val="none" w:sz="0" w:space="0" w:color="auto"/>
            <w:bottom w:val="none" w:sz="0" w:space="0" w:color="auto"/>
            <w:right w:val="none" w:sz="0" w:space="0" w:color="auto"/>
          </w:divBdr>
          <w:divsChild>
            <w:div w:id="498928322">
              <w:marLeft w:val="0"/>
              <w:marRight w:val="0"/>
              <w:marTop w:val="0"/>
              <w:marBottom w:val="0"/>
              <w:divBdr>
                <w:top w:val="none" w:sz="0" w:space="0" w:color="auto"/>
                <w:left w:val="none" w:sz="0" w:space="0" w:color="auto"/>
                <w:bottom w:val="none" w:sz="0" w:space="0" w:color="auto"/>
                <w:right w:val="none" w:sz="0" w:space="0" w:color="auto"/>
              </w:divBdr>
            </w:div>
          </w:divsChild>
        </w:div>
        <w:div w:id="1987472955">
          <w:marLeft w:val="0"/>
          <w:marRight w:val="0"/>
          <w:marTop w:val="0"/>
          <w:marBottom w:val="0"/>
          <w:divBdr>
            <w:top w:val="none" w:sz="0" w:space="0" w:color="auto"/>
            <w:left w:val="none" w:sz="0" w:space="0" w:color="auto"/>
            <w:bottom w:val="none" w:sz="0" w:space="0" w:color="auto"/>
            <w:right w:val="none" w:sz="0" w:space="0" w:color="auto"/>
          </w:divBdr>
          <w:divsChild>
            <w:div w:id="538131620">
              <w:marLeft w:val="0"/>
              <w:marRight w:val="0"/>
              <w:marTop w:val="0"/>
              <w:marBottom w:val="0"/>
              <w:divBdr>
                <w:top w:val="none" w:sz="0" w:space="0" w:color="auto"/>
                <w:left w:val="none" w:sz="0" w:space="0" w:color="auto"/>
                <w:bottom w:val="none" w:sz="0" w:space="0" w:color="auto"/>
                <w:right w:val="none" w:sz="0" w:space="0" w:color="auto"/>
              </w:divBdr>
            </w:div>
          </w:divsChild>
        </w:div>
        <w:div w:id="1492213569">
          <w:marLeft w:val="0"/>
          <w:marRight w:val="0"/>
          <w:marTop w:val="0"/>
          <w:marBottom w:val="0"/>
          <w:divBdr>
            <w:top w:val="none" w:sz="0" w:space="0" w:color="auto"/>
            <w:left w:val="none" w:sz="0" w:space="0" w:color="auto"/>
            <w:bottom w:val="none" w:sz="0" w:space="0" w:color="auto"/>
            <w:right w:val="none" w:sz="0" w:space="0" w:color="auto"/>
          </w:divBdr>
          <w:divsChild>
            <w:div w:id="63333992">
              <w:marLeft w:val="0"/>
              <w:marRight w:val="0"/>
              <w:marTop w:val="0"/>
              <w:marBottom w:val="0"/>
              <w:divBdr>
                <w:top w:val="none" w:sz="0" w:space="0" w:color="auto"/>
                <w:left w:val="none" w:sz="0" w:space="0" w:color="auto"/>
                <w:bottom w:val="none" w:sz="0" w:space="0" w:color="auto"/>
                <w:right w:val="none" w:sz="0" w:space="0" w:color="auto"/>
              </w:divBdr>
            </w:div>
          </w:divsChild>
        </w:div>
        <w:div w:id="1705672031">
          <w:marLeft w:val="0"/>
          <w:marRight w:val="0"/>
          <w:marTop w:val="0"/>
          <w:marBottom w:val="0"/>
          <w:divBdr>
            <w:top w:val="none" w:sz="0" w:space="0" w:color="auto"/>
            <w:left w:val="none" w:sz="0" w:space="0" w:color="auto"/>
            <w:bottom w:val="none" w:sz="0" w:space="0" w:color="auto"/>
            <w:right w:val="none" w:sz="0" w:space="0" w:color="auto"/>
          </w:divBdr>
          <w:divsChild>
            <w:div w:id="1754232379">
              <w:marLeft w:val="0"/>
              <w:marRight w:val="0"/>
              <w:marTop w:val="0"/>
              <w:marBottom w:val="0"/>
              <w:divBdr>
                <w:top w:val="none" w:sz="0" w:space="0" w:color="auto"/>
                <w:left w:val="none" w:sz="0" w:space="0" w:color="auto"/>
                <w:bottom w:val="none" w:sz="0" w:space="0" w:color="auto"/>
                <w:right w:val="none" w:sz="0" w:space="0" w:color="auto"/>
              </w:divBdr>
            </w:div>
          </w:divsChild>
        </w:div>
        <w:div w:id="1435514341">
          <w:marLeft w:val="0"/>
          <w:marRight w:val="0"/>
          <w:marTop w:val="0"/>
          <w:marBottom w:val="0"/>
          <w:divBdr>
            <w:top w:val="none" w:sz="0" w:space="0" w:color="auto"/>
            <w:left w:val="none" w:sz="0" w:space="0" w:color="auto"/>
            <w:bottom w:val="none" w:sz="0" w:space="0" w:color="auto"/>
            <w:right w:val="none" w:sz="0" w:space="0" w:color="auto"/>
          </w:divBdr>
          <w:divsChild>
            <w:div w:id="1495949234">
              <w:marLeft w:val="0"/>
              <w:marRight w:val="0"/>
              <w:marTop w:val="0"/>
              <w:marBottom w:val="0"/>
              <w:divBdr>
                <w:top w:val="none" w:sz="0" w:space="0" w:color="auto"/>
                <w:left w:val="none" w:sz="0" w:space="0" w:color="auto"/>
                <w:bottom w:val="none" w:sz="0" w:space="0" w:color="auto"/>
                <w:right w:val="none" w:sz="0" w:space="0" w:color="auto"/>
              </w:divBdr>
            </w:div>
          </w:divsChild>
        </w:div>
        <w:div w:id="2054502278">
          <w:marLeft w:val="0"/>
          <w:marRight w:val="0"/>
          <w:marTop w:val="0"/>
          <w:marBottom w:val="0"/>
          <w:divBdr>
            <w:top w:val="none" w:sz="0" w:space="0" w:color="auto"/>
            <w:left w:val="none" w:sz="0" w:space="0" w:color="auto"/>
            <w:bottom w:val="none" w:sz="0" w:space="0" w:color="auto"/>
            <w:right w:val="none" w:sz="0" w:space="0" w:color="auto"/>
          </w:divBdr>
          <w:divsChild>
            <w:div w:id="733504178">
              <w:marLeft w:val="0"/>
              <w:marRight w:val="0"/>
              <w:marTop w:val="0"/>
              <w:marBottom w:val="0"/>
              <w:divBdr>
                <w:top w:val="none" w:sz="0" w:space="0" w:color="auto"/>
                <w:left w:val="none" w:sz="0" w:space="0" w:color="auto"/>
                <w:bottom w:val="none" w:sz="0" w:space="0" w:color="auto"/>
                <w:right w:val="none" w:sz="0" w:space="0" w:color="auto"/>
              </w:divBdr>
            </w:div>
          </w:divsChild>
        </w:div>
        <w:div w:id="706295451">
          <w:marLeft w:val="0"/>
          <w:marRight w:val="0"/>
          <w:marTop w:val="0"/>
          <w:marBottom w:val="0"/>
          <w:divBdr>
            <w:top w:val="none" w:sz="0" w:space="0" w:color="auto"/>
            <w:left w:val="none" w:sz="0" w:space="0" w:color="auto"/>
            <w:bottom w:val="none" w:sz="0" w:space="0" w:color="auto"/>
            <w:right w:val="none" w:sz="0" w:space="0" w:color="auto"/>
          </w:divBdr>
          <w:divsChild>
            <w:div w:id="598147550">
              <w:marLeft w:val="0"/>
              <w:marRight w:val="0"/>
              <w:marTop w:val="0"/>
              <w:marBottom w:val="0"/>
              <w:divBdr>
                <w:top w:val="none" w:sz="0" w:space="0" w:color="auto"/>
                <w:left w:val="none" w:sz="0" w:space="0" w:color="auto"/>
                <w:bottom w:val="none" w:sz="0" w:space="0" w:color="auto"/>
                <w:right w:val="none" w:sz="0" w:space="0" w:color="auto"/>
              </w:divBdr>
            </w:div>
          </w:divsChild>
        </w:div>
        <w:div w:id="505021178">
          <w:marLeft w:val="0"/>
          <w:marRight w:val="0"/>
          <w:marTop w:val="0"/>
          <w:marBottom w:val="0"/>
          <w:divBdr>
            <w:top w:val="none" w:sz="0" w:space="0" w:color="auto"/>
            <w:left w:val="none" w:sz="0" w:space="0" w:color="auto"/>
            <w:bottom w:val="none" w:sz="0" w:space="0" w:color="auto"/>
            <w:right w:val="none" w:sz="0" w:space="0" w:color="auto"/>
          </w:divBdr>
          <w:divsChild>
            <w:div w:id="1685396262">
              <w:marLeft w:val="0"/>
              <w:marRight w:val="0"/>
              <w:marTop w:val="0"/>
              <w:marBottom w:val="0"/>
              <w:divBdr>
                <w:top w:val="none" w:sz="0" w:space="0" w:color="auto"/>
                <w:left w:val="none" w:sz="0" w:space="0" w:color="auto"/>
                <w:bottom w:val="none" w:sz="0" w:space="0" w:color="auto"/>
                <w:right w:val="none" w:sz="0" w:space="0" w:color="auto"/>
              </w:divBdr>
            </w:div>
          </w:divsChild>
        </w:div>
        <w:div w:id="376321100">
          <w:marLeft w:val="0"/>
          <w:marRight w:val="0"/>
          <w:marTop w:val="0"/>
          <w:marBottom w:val="0"/>
          <w:divBdr>
            <w:top w:val="none" w:sz="0" w:space="0" w:color="auto"/>
            <w:left w:val="none" w:sz="0" w:space="0" w:color="auto"/>
            <w:bottom w:val="none" w:sz="0" w:space="0" w:color="auto"/>
            <w:right w:val="none" w:sz="0" w:space="0" w:color="auto"/>
          </w:divBdr>
          <w:divsChild>
            <w:div w:id="1278826843">
              <w:marLeft w:val="0"/>
              <w:marRight w:val="0"/>
              <w:marTop w:val="0"/>
              <w:marBottom w:val="0"/>
              <w:divBdr>
                <w:top w:val="none" w:sz="0" w:space="0" w:color="auto"/>
                <w:left w:val="none" w:sz="0" w:space="0" w:color="auto"/>
                <w:bottom w:val="none" w:sz="0" w:space="0" w:color="auto"/>
                <w:right w:val="none" w:sz="0" w:space="0" w:color="auto"/>
              </w:divBdr>
            </w:div>
          </w:divsChild>
        </w:div>
        <w:div w:id="207373582">
          <w:marLeft w:val="0"/>
          <w:marRight w:val="0"/>
          <w:marTop w:val="0"/>
          <w:marBottom w:val="0"/>
          <w:divBdr>
            <w:top w:val="none" w:sz="0" w:space="0" w:color="auto"/>
            <w:left w:val="none" w:sz="0" w:space="0" w:color="auto"/>
            <w:bottom w:val="none" w:sz="0" w:space="0" w:color="auto"/>
            <w:right w:val="none" w:sz="0" w:space="0" w:color="auto"/>
          </w:divBdr>
          <w:divsChild>
            <w:div w:id="1886406745">
              <w:marLeft w:val="0"/>
              <w:marRight w:val="0"/>
              <w:marTop w:val="0"/>
              <w:marBottom w:val="0"/>
              <w:divBdr>
                <w:top w:val="none" w:sz="0" w:space="0" w:color="auto"/>
                <w:left w:val="none" w:sz="0" w:space="0" w:color="auto"/>
                <w:bottom w:val="none" w:sz="0" w:space="0" w:color="auto"/>
                <w:right w:val="none" w:sz="0" w:space="0" w:color="auto"/>
              </w:divBdr>
            </w:div>
          </w:divsChild>
        </w:div>
        <w:div w:id="1476799889">
          <w:marLeft w:val="0"/>
          <w:marRight w:val="0"/>
          <w:marTop w:val="0"/>
          <w:marBottom w:val="0"/>
          <w:divBdr>
            <w:top w:val="none" w:sz="0" w:space="0" w:color="auto"/>
            <w:left w:val="none" w:sz="0" w:space="0" w:color="auto"/>
            <w:bottom w:val="none" w:sz="0" w:space="0" w:color="auto"/>
            <w:right w:val="none" w:sz="0" w:space="0" w:color="auto"/>
          </w:divBdr>
          <w:divsChild>
            <w:div w:id="1401252310">
              <w:marLeft w:val="0"/>
              <w:marRight w:val="0"/>
              <w:marTop w:val="0"/>
              <w:marBottom w:val="0"/>
              <w:divBdr>
                <w:top w:val="none" w:sz="0" w:space="0" w:color="auto"/>
                <w:left w:val="none" w:sz="0" w:space="0" w:color="auto"/>
                <w:bottom w:val="none" w:sz="0" w:space="0" w:color="auto"/>
                <w:right w:val="none" w:sz="0" w:space="0" w:color="auto"/>
              </w:divBdr>
            </w:div>
          </w:divsChild>
        </w:div>
        <w:div w:id="728190538">
          <w:marLeft w:val="0"/>
          <w:marRight w:val="0"/>
          <w:marTop w:val="0"/>
          <w:marBottom w:val="0"/>
          <w:divBdr>
            <w:top w:val="none" w:sz="0" w:space="0" w:color="auto"/>
            <w:left w:val="none" w:sz="0" w:space="0" w:color="auto"/>
            <w:bottom w:val="none" w:sz="0" w:space="0" w:color="auto"/>
            <w:right w:val="none" w:sz="0" w:space="0" w:color="auto"/>
          </w:divBdr>
          <w:divsChild>
            <w:div w:id="974215562">
              <w:marLeft w:val="0"/>
              <w:marRight w:val="0"/>
              <w:marTop w:val="0"/>
              <w:marBottom w:val="0"/>
              <w:divBdr>
                <w:top w:val="none" w:sz="0" w:space="0" w:color="auto"/>
                <w:left w:val="none" w:sz="0" w:space="0" w:color="auto"/>
                <w:bottom w:val="none" w:sz="0" w:space="0" w:color="auto"/>
                <w:right w:val="none" w:sz="0" w:space="0" w:color="auto"/>
              </w:divBdr>
            </w:div>
          </w:divsChild>
        </w:div>
        <w:div w:id="162166697">
          <w:marLeft w:val="0"/>
          <w:marRight w:val="0"/>
          <w:marTop w:val="0"/>
          <w:marBottom w:val="0"/>
          <w:divBdr>
            <w:top w:val="none" w:sz="0" w:space="0" w:color="auto"/>
            <w:left w:val="none" w:sz="0" w:space="0" w:color="auto"/>
            <w:bottom w:val="none" w:sz="0" w:space="0" w:color="auto"/>
            <w:right w:val="none" w:sz="0" w:space="0" w:color="auto"/>
          </w:divBdr>
          <w:divsChild>
            <w:div w:id="2079857716">
              <w:marLeft w:val="0"/>
              <w:marRight w:val="0"/>
              <w:marTop w:val="0"/>
              <w:marBottom w:val="0"/>
              <w:divBdr>
                <w:top w:val="none" w:sz="0" w:space="0" w:color="auto"/>
                <w:left w:val="none" w:sz="0" w:space="0" w:color="auto"/>
                <w:bottom w:val="none" w:sz="0" w:space="0" w:color="auto"/>
                <w:right w:val="none" w:sz="0" w:space="0" w:color="auto"/>
              </w:divBdr>
            </w:div>
          </w:divsChild>
        </w:div>
        <w:div w:id="378211017">
          <w:marLeft w:val="0"/>
          <w:marRight w:val="0"/>
          <w:marTop w:val="0"/>
          <w:marBottom w:val="0"/>
          <w:divBdr>
            <w:top w:val="none" w:sz="0" w:space="0" w:color="auto"/>
            <w:left w:val="none" w:sz="0" w:space="0" w:color="auto"/>
            <w:bottom w:val="none" w:sz="0" w:space="0" w:color="auto"/>
            <w:right w:val="none" w:sz="0" w:space="0" w:color="auto"/>
          </w:divBdr>
          <w:divsChild>
            <w:div w:id="1116099107">
              <w:marLeft w:val="0"/>
              <w:marRight w:val="0"/>
              <w:marTop w:val="0"/>
              <w:marBottom w:val="0"/>
              <w:divBdr>
                <w:top w:val="none" w:sz="0" w:space="0" w:color="auto"/>
                <w:left w:val="none" w:sz="0" w:space="0" w:color="auto"/>
                <w:bottom w:val="none" w:sz="0" w:space="0" w:color="auto"/>
                <w:right w:val="none" w:sz="0" w:space="0" w:color="auto"/>
              </w:divBdr>
            </w:div>
          </w:divsChild>
        </w:div>
        <w:div w:id="1118910846">
          <w:marLeft w:val="0"/>
          <w:marRight w:val="0"/>
          <w:marTop w:val="0"/>
          <w:marBottom w:val="0"/>
          <w:divBdr>
            <w:top w:val="none" w:sz="0" w:space="0" w:color="auto"/>
            <w:left w:val="none" w:sz="0" w:space="0" w:color="auto"/>
            <w:bottom w:val="none" w:sz="0" w:space="0" w:color="auto"/>
            <w:right w:val="none" w:sz="0" w:space="0" w:color="auto"/>
          </w:divBdr>
          <w:divsChild>
            <w:div w:id="1330060430">
              <w:marLeft w:val="0"/>
              <w:marRight w:val="0"/>
              <w:marTop w:val="0"/>
              <w:marBottom w:val="0"/>
              <w:divBdr>
                <w:top w:val="none" w:sz="0" w:space="0" w:color="auto"/>
                <w:left w:val="none" w:sz="0" w:space="0" w:color="auto"/>
                <w:bottom w:val="none" w:sz="0" w:space="0" w:color="auto"/>
                <w:right w:val="none" w:sz="0" w:space="0" w:color="auto"/>
              </w:divBdr>
            </w:div>
            <w:div w:id="214004499">
              <w:marLeft w:val="0"/>
              <w:marRight w:val="0"/>
              <w:marTop w:val="0"/>
              <w:marBottom w:val="0"/>
              <w:divBdr>
                <w:top w:val="none" w:sz="0" w:space="0" w:color="auto"/>
                <w:left w:val="none" w:sz="0" w:space="0" w:color="auto"/>
                <w:bottom w:val="none" w:sz="0" w:space="0" w:color="auto"/>
                <w:right w:val="none" w:sz="0" w:space="0" w:color="auto"/>
              </w:divBdr>
            </w:div>
          </w:divsChild>
        </w:div>
        <w:div w:id="407850424">
          <w:marLeft w:val="0"/>
          <w:marRight w:val="0"/>
          <w:marTop w:val="0"/>
          <w:marBottom w:val="0"/>
          <w:divBdr>
            <w:top w:val="none" w:sz="0" w:space="0" w:color="auto"/>
            <w:left w:val="none" w:sz="0" w:space="0" w:color="auto"/>
            <w:bottom w:val="none" w:sz="0" w:space="0" w:color="auto"/>
            <w:right w:val="none" w:sz="0" w:space="0" w:color="auto"/>
          </w:divBdr>
          <w:divsChild>
            <w:div w:id="955402913">
              <w:marLeft w:val="0"/>
              <w:marRight w:val="0"/>
              <w:marTop w:val="0"/>
              <w:marBottom w:val="0"/>
              <w:divBdr>
                <w:top w:val="none" w:sz="0" w:space="0" w:color="auto"/>
                <w:left w:val="none" w:sz="0" w:space="0" w:color="auto"/>
                <w:bottom w:val="none" w:sz="0" w:space="0" w:color="auto"/>
                <w:right w:val="none" w:sz="0" w:space="0" w:color="auto"/>
              </w:divBdr>
            </w:div>
          </w:divsChild>
        </w:div>
        <w:div w:id="1612205760">
          <w:marLeft w:val="0"/>
          <w:marRight w:val="0"/>
          <w:marTop w:val="0"/>
          <w:marBottom w:val="0"/>
          <w:divBdr>
            <w:top w:val="none" w:sz="0" w:space="0" w:color="auto"/>
            <w:left w:val="none" w:sz="0" w:space="0" w:color="auto"/>
            <w:bottom w:val="none" w:sz="0" w:space="0" w:color="auto"/>
            <w:right w:val="none" w:sz="0" w:space="0" w:color="auto"/>
          </w:divBdr>
          <w:divsChild>
            <w:div w:id="959653730">
              <w:marLeft w:val="0"/>
              <w:marRight w:val="0"/>
              <w:marTop w:val="0"/>
              <w:marBottom w:val="0"/>
              <w:divBdr>
                <w:top w:val="none" w:sz="0" w:space="0" w:color="auto"/>
                <w:left w:val="none" w:sz="0" w:space="0" w:color="auto"/>
                <w:bottom w:val="none" w:sz="0" w:space="0" w:color="auto"/>
                <w:right w:val="none" w:sz="0" w:space="0" w:color="auto"/>
              </w:divBdr>
            </w:div>
          </w:divsChild>
        </w:div>
        <w:div w:id="2038500130">
          <w:marLeft w:val="0"/>
          <w:marRight w:val="0"/>
          <w:marTop w:val="0"/>
          <w:marBottom w:val="0"/>
          <w:divBdr>
            <w:top w:val="none" w:sz="0" w:space="0" w:color="auto"/>
            <w:left w:val="none" w:sz="0" w:space="0" w:color="auto"/>
            <w:bottom w:val="none" w:sz="0" w:space="0" w:color="auto"/>
            <w:right w:val="none" w:sz="0" w:space="0" w:color="auto"/>
          </w:divBdr>
          <w:divsChild>
            <w:div w:id="1307080158">
              <w:marLeft w:val="0"/>
              <w:marRight w:val="0"/>
              <w:marTop w:val="0"/>
              <w:marBottom w:val="0"/>
              <w:divBdr>
                <w:top w:val="none" w:sz="0" w:space="0" w:color="auto"/>
                <w:left w:val="none" w:sz="0" w:space="0" w:color="auto"/>
                <w:bottom w:val="none" w:sz="0" w:space="0" w:color="auto"/>
                <w:right w:val="none" w:sz="0" w:space="0" w:color="auto"/>
              </w:divBdr>
            </w:div>
          </w:divsChild>
        </w:div>
        <w:div w:id="513496892">
          <w:marLeft w:val="0"/>
          <w:marRight w:val="0"/>
          <w:marTop w:val="0"/>
          <w:marBottom w:val="0"/>
          <w:divBdr>
            <w:top w:val="none" w:sz="0" w:space="0" w:color="auto"/>
            <w:left w:val="none" w:sz="0" w:space="0" w:color="auto"/>
            <w:bottom w:val="none" w:sz="0" w:space="0" w:color="auto"/>
            <w:right w:val="none" w:sz="0" w:space="0" w:color="auto"/>
          </w:divBdr>
          <w:divsChild>
            <w:div w:id="329599425">
              <w:marLeft w:val="0"/>
              <w:marRight w:val="0"/>
              <w:marTop w:val="0"/>
              <w:marBottom w:val="0"/>
              <w:divBdr>
                <w:top w:val="none" w:sz="0" w:space="0" w:color="auto"/>
                <w:left w:val="none" w:sz="0" w:space="0" w:color="auto"/>
                <w:bottom w:val="none" w:sz="0" w:space="0" w:color="auto"/>
                <w:right w:val="none" w:sz="0" w:space="0" w:color="auto"/>
              </w:divBdr>
            </w:div>
          </w:divsChild>
        </w:div>
        <w:div w:id="140583601">
          <w:marLeft w:val="0"/>
          <w:marRight w:val="0"/>
          <w:marTop w:val="0"/>
          <w:marBottom w:val="0"/>
          <w:divBdr>
            <w:top w:val="none" w:sz="0" w:space="0" w:color="auto"/>
            <w:left w:val="none" w:sz="0" w:space="0" w:color="auto"/>
            <w:bottom w:val="none" w:sz="0" w:space="0" w:color="auto"/>
            <w:right w:val="none" w:sz="0" w:space="0" w:color="auto"/>
          </w:divBdr>
          <w:divsChild>
            <w:div w:id="667056213">
              <w:marLeft w:val="0"/>
              <w:marRight w:val="0"/>
              <w:marTop w:val="0"/>
              <w:marBottom w:val="0"/>
              <w:divBdr>
                <w:top w:val="none" w:sz="0" w:space="0" w:color="auto"/>
                <w:left w:val="none" w:sz="0" w:space="0" w:color="auto"/>
                <w:bottom w:val="none" w:sz="0" w:space="0" w:color="auto"/>
                <w:right w:val="none" w:sz="0" w:space="0" w:color="auto"/>
              </w:divBdr>
            </w:div>
          </w:divsChild>
        </w:div>
        <w:div w:id="1678653887">
          <w:marLeft w:val="0"/>
          <w:marRight w:val="0"/>
          <w:marTop w:val="0"/>
          <w:marBottom w:val="0"/>
          <w:divBdr>
            <w:top w:val="none" w:sz="0" w:space="0" w:color="auto"/>
            <w:left w:val="none" w:sz="0" w:space="0" w:color="auto"/>
            <w:bottom w:val="none" w:sz="0" w:space="0" w:color="auto"/>
            <w:right w:val="none" w:sz="0" w:space="0" w:color="auto"/>
          </w:divBdr>
          <w:divsChild>
            <w:div w:id="1973317953">
              <w:marLeft w:val="0"/>
              <w:marRight w:val="0"/>
              <w:marTop w:val="0"/>
              <w:marBottom w:val="0"/>
              <w:divBdr>
                <w:top w:val="none" w:sz="0" w:space="0" w:color="auto"/>
                <w:left w:val="none" w:sz="0" w:space="0" w:color="auto"/>
                <w:bottom w:val="none" w:sz="0" w:space="0" w:color="auto"/>
                <w:right w:val="none" w:sz="0" w:space="0" w:color="auto"/>
              </w:divBdr>
            </w:div>
          </w:divsChild>
        </w:div>
        <w:div w:id="530538556">
          <w:marLeft w:val="0"/>
          <w:marRight w:val="0"/>
          <w:marTop w:val="0"/>
          <w:marBottom w:val="0"/>
          <w:divBdr>
            <w:top w:val="none" w:sz="0" w:space="0" w:color="auto"/>
            <w:left w:val="none" w:sz="0" w:space="0" w:color="auto"/>
            <w:bottom w:val="none" w:sz="0" w:space="0" w:color="auto"/>
            <w:right w:val="none" w:sz="0" w:space="0" w:color="auto"/>
          </w:divBdr>
          <w:divsChild>
            <w:div w:id="1542203496">
              <w:marLeft w:val="0"/>
              <w:marRight w:val="0"/>
              <w:marTop w:val="0"/>
              <w:marBottom w:val="0"/>
              <w:divBdr>
                <w:top w:val="none" w:sz="0" w:space="0" w:color="auto"/>
                <w:left w:val="none" w:sz="0" w:space="0" w:color="auto"/>
                <w:bottom w:val="none" w:sz="0" w:space="0" w:color="auto"/>
                <w:right w:val="none" w:sz="0" w:space="0" w:color="auto"/>
              </w:divBdr>
            </w:div>
          </w:divsChild>
        </w:div>
        <w:div w:id="592664435">
          <w:marLeft w:val="0"/>
          <w:marRight w:val="0"/>
          <w:marTop w:val="0"/>
          <w:marBottom w:val="0"/>
          <w:divBdr>
            <w:top w:val="none" w:sz="0" w:space="0" w:color="auto"/>
            <w:left w:val="none" w:sz="0" w:space="0" w:color="auto"/>
            <w:bottom w:val="none" w:sz="0" w:space="0" w:color="auto"/>
            <w:right w:val="none" w:sz="0" w:space="0" w:color="auto"/>
          </w:divBdr>
          <w:divsChild>
            <w:div w:id="2010064212">
              <w:marLeft w:val="0"/>
              <w:marRight w:val="0"/>
              <w:marTop w:val="0"/>
              <w:marBottom w:val="0"/>
              <w:divBdr>
                <w:top w:val="none" w:sz="0" w:space="0" w:color="auto"/>
                <w:left w:val="none" w:sz="0" w:space="0" w:color="auto"/>
                <w:bottom w:val="none" w:sz="0" w:space="0" w:color="auto"/>
                <w:right w:val="none" w:sz="0" w:space="0" w:color="auto"/>
              </w:divBdr>
            </w:div>
          </w:divsChild>
        </w:div>
        <w:div w:id="812913950">
          <w:marLeft w:val="0"/>
          <w:marRight w:val="0"/>
          <w:marTop w:val="0"/>
          <w:marBottom w:val="0"/>
          <w:divBdr>
            <w:top w:val="none" w:sz="0" w:space="0" w:color="auto"/>
            <w:left w:val="none" w:sz="0" w:space="0" w:color="auto"/>
            <w:bottom w:val="none" w:sz="0" w:space="0" w:color="auto"/>
            <w:right w:val="none" w:sz="0" w:space="0" w:color="auto"/>
          </w:divBdr>
          <w:divsChild>
            <w:div w:id="1950776647">
              <w:marLeft w:val="0"/>
              <w:marRight w:val="0"/>
              <w:marTop w:val="0"/>
              <w:marBottom w:val="0"/>
              <w:divBdr>
                <w:top w:val="none" w:sz="0" w:space="0" w:color="auto"/>
                <w:left w:val="none" w:sz="0" w:space="0" w:color="auto"/>
                <w:bottom w:val="none" w:sz="0" w:space="0" w:color="auto"/>
                <w:right w:val="none" w:sz="0" w:space="0" w:color="auto"/>
              </w:divBdr>
            </w:div>
          </w:divsChild>
        </w:div>
        <w:div w:id="1022633539">
          <w:marLeft w:val="0"/>
          <w:marRight w:val="0"/>
          <w:marTop w:val="0"/>
          <w:marBottom w:val="0"/>
          <w:divBdr>
            <w:top w:val="none" w:sz="0" w:space="0" w:color="auto"/>
            <w:left w:val="none" w:sz="0" w:space="0" w:color="auto"/>
            <w:bottom w:val="none" w:sz="0" w:space="0" w:color="auto"/>
            <w:right w:val="none" w:sz="0" w:space="0" w:color="auto"/>
          </w:divBdr>
          <w:divsChild>
            <w:div w:id="489099654">
              <w:marLeft w:val="0"/>
              <w:marRight w:val="0"/>
              <w:marTop w:val="0"/>
              <w:marBottom w:val="0"/>
              <w:divBdr>
                <w:top w:val="none" w:sz="0" w:space="0" w:color="auto"/>
                <w:left w:val="none" w:sz="0" w:space="0" w:color="auto"/>
                <w:bottom w:val="none" w:sz="0" w:space="0" w:color="auto"/>
                <w:right w:val="none" w:sz="0" w:space="0" w:color="auto"/>
              </w:divBdr>
            </w:div>
          </w:divsChild>
        </w:div>
        <w:div w:id="613899541">
          <w:marLeft w:val="0"/>
          <w:marRight w:val="0"/>
          <w:marTop w:val="0"/>
          <w:marBottom w:val="0"/>
          <w:divBdr>
            <w:top w:val="none" w:sz="0" w:space="0" w:color="auto"/>
            <w:left w:val="none" w:sz="0" w:space="0" w:color="auto"/>
            <w:bottom w:val="none" w:sz="0" w:space="0" w:color="auto"/>
            <w:right w:val="none" w:sz="0" w:space="0" w:color="auto"/>
          </w:divBdr>
          <w:divsChild>
            <w:div w:id="1848709219">
              <w:marLeft w:val="0"/>
              <w:marRight w:val="0"/>
              <w:marTop w:val="0"/>
              <w:marBottom w:val="0"/>
              <w:divBdr>
                <w:top w:val="none" w:sz="0" w:space="0" w:color="auto"/>
                <w:left w:val="none" w:sz="0" w:space="0" w:color="auto"/>
                <w:bottom w:val="none" w:sz="0" w:space="0" w:color="auto"/>
                <w:right w:val="none" w:sz="0" w:space="0" w:color="auto"/>
              </w:divBdr>
            </w:div>
          </w:divsChild>
        </w:div>
        <w:div w:id="235749946">
          <w:marLeft w:val="0"/>
          <w:marRight w:val="0"/>
          <w:marTop w:val="0"/>
          <w:marBottom w:val="0"/>
          <w:divBdr>
            <w:top w:val="none" w:sz="0" w:space="0" w:color="auto"/>
            <w:left w:val="none" w:sz="0" w:space="0" w:color="auto"/>
            <w:bottom w:val="none" w:sz="0" w:space="0" w:color="auto"/>
            <w:right w:val="none" w:sz="0" w:space="0" w:color="auto"/>
          </w:divBdr>
          <w:divsChild>
            <w:div w:id="58137062">
              <w:marLeft w:val="0"/>
              <w:marRight w:val="0"/>
              <w:marTop w:val="0"/>
              <w:marBottom w:val="0"/>
              <w:divBdr>
                <w:top w:val="none" w:sz="0" w:space="0" w:color="auto"/>
                <w:left w:val="none" w:sz="0" w:space="0" w:color="auto"/>
                <w:bottom w:val="none" w:sz="0" w:space="0" w:color="auto"/>
                <w:right w:val="none" w:sz="0" w:space="0" w:color="auto"/>
              </w:divBdr>
            </w:div>
          </w:divsChild>
        </w:div>
        <w:div w:id="1214191398">
          <w:marLeft w:val="0"/>
          <w:marRight w:val="0"/>
          <w:marTop w:val="0"/>
          <w:marBottom w:val="0"/>
          <w:divBdr>
            <w:top w:val="none" w:sz="0" w:space="0" w:color="auto"/>
            <w:left w:val="none" w:sz="0" w:space="0" w:color="auto"/>
            <w:bottom w:val="none" w:sz="0" w:space="0" w:color="auto"/>
            <w:right w:val="none" w:sz="0" w:space="0" w:color="auto"/>
          </w:divBdr>
          <w:divsChild>
            <w:div w:id="1146893214">
              <w:marLeft w:val="0"/>
              <w:marRight w:val="0"/>
              <w:marTop w:val="0"/>
              <w:marBottom w:val="0"/>
              <w:divBdr>
                <w:top w:val="none" w:sz="0" w:space="0" w:color="auto"/>
                <w:left w:val="none" w:sz="0" w:space="0" w:color="auto"/>
                <w:bottom w:val="none" w:sz="0" w:space="0" w:color="auto"/>
                <w:right w:val="none" w:sz="0" w:space="0" w:color="auto"/>
              </w:divBdr>
            </w:div>
          </w:divsChild>
        </w:div>
        <w:div w:id="1745446219">
          <w:marLeft w:val="0"/>
          <w:marRight w:val="0"/>
          <w:marTop w:val="0"/>
          <w:marBottom w:val="0"/>
          <w:divBdr>
            <w:top w:val="none" w:sz="0" w:space="0" w:color="auto"/>
            <w:left w:val="none" w:sz="0" w:space="0" w:color="auto"/>
            <w:bottom w:val="none" w:sz="0" w:space="0" w:color="auto"/>
            <w:right w:val="none" w:sz="0" w:space="0" w:color="auto"/>
          </w:divBdr>
          <w:divsChild>
            <w:div w:id="543295481">
              <w:marLeft w:val="0"/>
              <w:marRight w:val="0"/>
              <w:marTop w:val="0"/>
              <w:marBottom w:val="0"/>
              <w:divBdr>
                <w:top w:val="none" w:sz="0" w:space="0" w:color="auto"/>
                <w:left w:val="none" w:sz="0" w:space="0" w:color="auto"/>
                <w:bottom w:val="none" w:sz="0" w:space="0" w:color="auto"/>
                <w:right w:val="none" w:sz="0" w:space="0" w:color="auto"/>
              </w:divBdr>
            </w:div>
          </w:divsChild>
        </w:div>
        <w:div w:id="1501700540">
          <w:marLeft w:val="0"/>
          <w:marRight w:val="0"/>
          <w:marTop w:val="0"/>
          <w:marBottom w:val="0"/>
          <w:divBdr>
            <w:top w:val="none" w:sz="0" w:space="0" w:color="auto"/>
            <w:left w:val="none" w:sz="0" w:space="0" w:color="auto"/>
            <w:bottom w:val="none" w:sz="0" w:space="0" w:color="auto"/>
            <w:right w:val="none" w:sz="0" w:space="0" w:color="auto"/>
          </w:divBdr>
          <w:divsChild>
            <w:div w:id="47924681">
              <w:marLeft w:val="0"/>
              <w:marRight w:val="0"/>
              <w:marTop w:val="0"/>
              <w:marBottom w:val="0"/>
              <w:divBdr>
                <w:top w:val="none" w:sz="0" w:space="0" w:color="auto"/>
                <w:left w:val="none" w:sz="0" w:space="0" w:color="auto"/>
                <w:bottom w:val="none" w:sz="0" w:space="0" w:color="auto"/>
                <w:right w:val="none" w:sz="0" w:space="0" w:color="auto"/>
              </w:divBdr>
            </w:div>
          </w:divsChild>
        </w:div>
        <w:div w:id="864249478">
          <w:marLeft w:val="0"/>
          <w:marRight w:val="0"/>
          <w:marTop w:val="0"/>
          <w:marBottom w:val="0"/>
          <w:divBdr>
            <w:top w:val="none" w:sz="0" w:space="0" w:color="auto"/>
            <w:left w:val="none" w:sz="0" w:space="0" w:color="auto"/>
            <w:bottom w:val="none" w:sz="0" w:space="0" w:color="auto"/>
            <w:right w:val="none" w:sz="0" w:space="0" w:color="auto"/>
          </w:divBdr>
          <w:divsChild>
            <w:div w:id="969017459">
              <w:marLeft w:val="0"/>
              <w:marRight w:val="0"/>
              <w:marTop w:val="0"/>
              <w:marBottom w:val="0"/>
              <w:divBdr>
                <w:top w:val="none" w:sz="0" w:space="0" w:color="auto"/>
                <w:left w:val="none" w:sz="0" w:space="0" w:color="auto"/>
                <w:bottom w:val="none" w:sz="0" w:space="0" w:color="auto"/>
                <w:right w:val="none" w:sz="0" w:space="0" w:color="auto"/>
              </w:divBdr>
            </w:div>
          </w:divsChild>
        </w:div>
        <w:div w:id="1865091898">
          <w:marLeft w:val="0"/>
          <w:marRight w:val="0"/>
          <w:marTop w:val="0"/>
          <w:marBottom w:val="0"/>
          <w:divBdr>
            <w:top w:val="none" w:sz="0" w:space="0" w:color="auto"/>
            <w:left w:val="none" w:sz="0" w:space="0" w:color="auto"/>
            <w:bottom w:val="none" w:sz="0" w:space="0" w:color="auto"/>
            <w:right w:val="none" w:sz="0" w:space="0" w:color="auto"/>
          </w:divBdr>
          <w:divsChild>
            <w:div w:id="1439058492">
              <w:marLeft w:val="0"/>
              <w:marRight w:val="0"/>
              <w:marTop w:val="0"/>
              <w:marBottom w:val="0"/>
              <w:divBdr>
                <w:top w:val="none" w:sz="0" w:space="0" w:color="auto"/>
                <w:left w:val="none" w:sz="0" w:space="0" w:color="auto"/>
                <w:bottom w:val="none" w:sz="0" w:space="0" w:color="auto"/>
                <w:right w:val="none" w:sz="0" w:space="0" w:color="auto"/>
              </w:divBdr>
            </w:div>
          </w:divsChild>
        </w:div>
        <w:div w:id="1801343493">
          <w:marLeft w:val="0"/>
          <w:marRight w:val="0"/>
          <w:marTop w:val="0"/>
          <w:marBottom w:val="0"/>
          <w:divBdr>
            <w:top w:val="none" w:sz="0" w:space="0" w:color="auto"/>
            <w:left w:val="none" w:sz="0" w:space="0" w:color="auto"/>
            <w:bottom w:val="none" w:sz="0" w:space="0" w:color="auto"/>
            <w:right w:val="none" w:sz="0" w:space="0" w:color="auto"/>
          </w:divBdr>
          <w:divsChild>
            <w:div w:id="780419423">
              <w:marLeft w:val="0"/>
              <w:marRight w:val="0"/>
              <w:marTop w:val="0"/>
              <w:marBottom w:val="0"/>
              <w:divBdr>
                <w:top w:val="none" w:sz="0" w:space="0" w:color="auto"/>
                <w:left w:val="none" w:sz="0" w:space="0" w:color="auto"/>
                <w:bottom w:val="none" w:sz="0" w:space="0" w:color="auto"/>
                <w:right w:val="none" w:sz="0" w:space="0" w:color="auto"/>
              </w:divBdr>
            </w:div>
          </w:divsChild>
        </w:div>
        <w:div w:id="1132445">
          <w:marLeft w:val="0"/>
          <w:marRight w:val="0"/>
          <w:marTop w:val="0"/>
          <w:marBottom w:val="0"/>
          <w:divBdr>
            <w:top w:val="none" w:sz="0" w:space="0" w:color="auto"/>
            <w:left w:val="none" w:sz="0" w:space="0" w:color="auto"/>
            <w:bottom w:val="none" w:sz="0" w:space="0" w:color="auto"/>
            <w:right w:val="none" w:sz="0" w:space="0" w:color="auto"/>
          </w:divBdr>
          <w:divsChild>
            <w:div w:id="550652987">
              <w:marLeft w:val="0"/>
              <w:marRight w:val="0"/>
              <w:marTop w:val="0"/>
              <w:marBottom w:val="0"/>
              <w:divBdr>
                <w:top w:val="none" w:sz="0" w:space="0" w:color="auto"/>
                <w:left w:val="none" w:sz="0" w:space="0" w:color="auto"/>
                <w:bottom w:val="none" w:sz="0" w:space="0" w:color="auto"/>
                <w:right w:val="none" w:sz="0" w:space="0" w:color="auto"/>
              </w:divBdr>
            </w:div>
          </w:divsChild>
        </w:div>
        <w:div w:id="819274739">
          <w:marLeft w:val="0"/>
          <w:marRight w:val="0"/>
          <w:marTop w:val="0"/>
          <w:marBottom w:val="0"/>
          <w:divBdr>
            <w:top w:val="none" w:sz="0" w:space="0" w:color="auto"/>
            <w:left w:val="none" w:sz="0" w:space="0" w:color="auto"/>
            <w:bottom w:val="none" w:sz="0" w:space="0" w:color="auto"/>
            <w:right w:val="none" w:sz="0" w:space="0" w:color="auto"/>
          </w:divBdr>
          <w:divsChild>
            <w:div w:id="39481493">
              <w:marLeft w:val="0"/>
              <w:marRight w:val="0"/>
              <w:marTop w:val="0"/>
              <w:marBottom w:val="0"/>
              <w:divBdr>
                <w:top w:val="none" w:sz="0" w:space="0" w:color="auto"/>
                <w:left w:val="none" w:sz="0" w:space="0" w:color="auto"/>
                <w:bottom w:val="none" w:sz="0" w:space="0" w:color="auto"/>
                <w:right w:val="none" w:sz="0" w:space="0" w:color="auto"/>
              </w:divBdr>
            </w:div>
          </w:divsChild>
        </w:div>
        <w:div w:id="143359079">
          <w:marLeft w:val="0"/>
          <w:marRight w:val="0"/>
          <w:marTop w:val="0"/>
          <w:marBottom w:val="0"/>
          <w:divBdr>
            <w:top w:val="none" w:sz="0" w:space="0" w:color="auto"/>
            <w:left w:val="none" w:sz="0" w:space="0" w:color="auto"/>
            <w:bottom w:val="none" w:sz="0" w:space="0" w:color="auto"/>
            <w:right w:val="none" w:sz="0" w:space="0" w:color="auto"/>
          </w:divBdr>
          <w:divsChild>
            <w:div w:id="614404708">
              <w:marLeft w:val="0"/>
              <w:marRight w:val="0"/>
              <w:marTop w:val="0"/>
              <w:marBottom w:val="0"/>
              <w:divBdr>
                <w:top w:val="none" w:sz="0" w:space="0" w:color="auto"/>
                <w:left w:val="none" w:sz="0" w:space="0" w:color="auto"/>
                <w:bottom w:val="none" w:sz="0" w:space="0" w:color="auto"/>
                <w:right w:val="none" w:sz="0" w:space="0" w:color="auto"/>
              </w:divBdr>
            </w:div>
          </w:divsChild>
        </w:div>
        <w:div w:id="410196140">
          <w:marLeft w:val="0"/>
          <w:marRight w:val="0"/>
          <w:marTop w:val="0"/>
          <w:marBottom w:val="0"/>
          <w:divBdr>
            <w:top w:val="none" w:sz="0" w:space="0" w:color="auto"/>
            <w:left w:val="none" w:sz="0" w:space="0" w:color="auto"/>
            <w:bottom w:val="none" w:sz="0" w:space="0" w:color="auto"/>
            <w:right w:val="none" w:sz="0" w:space="0" w:color="auto"/>
          </w:divBdr>
          <w:divsChild>
            <w:div w:id="993342131">
              <w:marLeft w:val="0"/>
              <w:marRight w:val="0"/>
              <w:marTop w:val="0"/>
              <w:marBottom w:val="0"/>
              <w:divBdr>
                <w:top w:val="none" w:sz="0" w:space="0" w:color="auto"/>
                <w:left w:val="none" w:sz="0" w:space="0" w:color="auto"/>
                <w:bottom w:val="none" w:sz="0" w:space="0" w:color="auto"/>
                <w:right w:val="none" w:sz="0" w:space="0" w:color="auto"/>
              </w:divBdr>
            </w:div>
          </w:divsChild>
        </w:div>
        <w:div w:id="1712144069">
          <w:marLeft w:val="0"/>
          <w:marRight w:val="0"/>
          <w:marTop w:val="0"/>
          <w:marBottom w:val="0"/>
          <w:divBdr>
            <w:top w:val="none" w:sz="0" w:space="0" w:color="auto"/>
            <w:left w:val="none" w:sz="0" w:space="0" w:color="auto"/>
            <w:bottom w:val="none" w:sz="0" w:space="0" w:color="auto"/>
            <w:right w:val="none" w:sz="0" w:space="0" w:color="auto"/>
          </w:divBdr>
          <w:divsChild>
            <w:div w:id="316105507">
              <w:marLeft w:val="0"/>
              <w:marRight w:val="0"/>
              <w:marTop w:val="0"/>
              <w:marBottom w:val="0"/>
              <w:divBdr>
                <w:top w:val="none" w:sz="0" w:space="0" w:color="auto"/>
                <w:left w:val="none" w:sz="0" w:space="0" w:color="auto"/>
                <w:bottom w:val="none" w:sz="0" w:space="0" w:color="auto"/>
                <w:right w:val="none" w:sz="0" w:space="0" w:color="auto"/>
              </w:divBdr>
            </w:div>
            <w:div w:id="1403067266">
              <w:marLeft w:val="0"/>
              <w:marRight w:val="0"/>
              <w:marTop w:val="0"/>
              <w:marBottom w:val="0"/>
              <w:divBdr>
                <w:top w:val="none" w:sz="0" w:space="0" w:color="auto"/>
                <w:left w:val="none" w:sz="0" w:space="0" w:color="auto"/>
                <w:bottom w:val="none" w:sz="0" w:space="0" w:color="auto"/>
                <w:right w:val="none" w:sz="0" w:space="0" w:color="auto"/>
              </w:divBdr>
            </w:div>
          </w:divsChild>
        </w:div>
        <w:div w:id="1859736555">
          <w:marLeft w:val="0"/>
          <w:marRight w:val="0"/>
          <w:marTop w:val="0"/>
          <w:marBottom w:val="0"/>
          <w:divBdr>
            <w:top w:val="none" w:sz="0" w:space="0" w:color="auto"/>
            <w:left w:val="none" w:sz="0" w:space="0" w:color="auto"/>
            <w:bottom w:val="none" w:sz="0" w:space="0" w:color="auto"/>
            <w:right w:val="none" w:sz="0" w:space="0" w:color="auto"/>
          </w:divBdr>
          <w:divsChild>
            <w:div w:id="754864850">
              <w:marLeft w:val="0"/>
              <w:marRight w:val="0"/>
              <w:marTop w:val="0"/>
              <w:marBottom w:val="0"/>
              <w:divBdr>
                <w:top w:val="none" w:sz="0" w:space="0" w:color="auto"/>
                <w:left w:val="none" w:sz="0" w:space="0" w:color="auto"/>
                <w:bottom w:val="none" w:sz="0" w:space="0" w:color="auto"/>
                <w:right w:val="none" w:sz="0" w:space="0" w:color="auto"/>
              </w:divBdr>
            </w:div>
          </w:divsChild>
        </w:div>
        <w:div w:id="1120732991">
          <w:marLeft w:val="0"/>
          <w:marRight w:val="0"/>
          <w:marTop w:val="0"/>
          <w:marBottom w:val="0"/>
          <w:divBdr>
            <w:top w:val="none" w:sz="0" w:space="0" w:color="auto"/>
            <w:left w:val="none" w:sz="0" w:space="0" w:color="auto"/>
            <w:bottom w:val="none" w:sz="0" w:space="0" w:color="auto"/>
            <w:right w:val="none" w:sz="0" w:space="0" w:color="auto"/>
          </w:divBdr>
          <w:divsChild>
            <w:div w:id="73623654">
              <w:marLeft w:val="0"/>
              <w:marRight w:val="0"/>
              <w:marTop w:val="0"/>
              <w:marBottom w:val="0"/>
              <w:divBdr>
                <w:top w:val="none" w:sz="0" w:space="0" w:color="auto"/>
                <w:left w:val="none" w:sz="0" w:space="0" w:color="auto"/>
                <w:bottom w:val="none" w:sz="0" w:space="0" w:color="auto"/>
                <w:right w:val="none" w:sz="0" w:space="0" w:color="auto"/>
              </w:divBdr>
            </w:div>
          </w:divsChild>
        </w:div>
        <w:div w:id="1006978736">
          <w:marLeft w:val="0"/>
          <w:marRight w:val="0"/>
          <w:marTop w:val="0"/>
          <w:marBottom w:val="0"/>
          <w:divBdr>
            <w:top w:val="none" w:sz="0" w:space="0" w:color="auto"/>
            <w:left w:val="none" w:sz="0" w:space="0" w:color="auto"/>
            <w:bottom w:val="none" w:sz="0" w:space="0" w:color="auto"/>
            <w:right w:val="none" w:sz="0" w:space="0" w:color="auto"/>
          </w:divBdr>
          <w:divsChild>
            <w:div w:id="213080582">
              <w:marLeft w:val="0"/>
              <w:marRight w:val="0"/>
              <w:marTop w:val="0"/>
              <w:marBottom w:val="0"/>
              <w:divBdr>
                <w:top w:val="none" w:sz="0" w:space="0" w:color="auto"/>
                <w:left w:val="none" w:sz="0" w:space="0" w:color="auto"/>
                <w:bottom w:val="none" w:sz="0" w:space="0" w:color="auto"/>
                <w:right w:val="none" w:sz="0" w:space="0" w:color="auto"/>
              </w:divBdr>
            </w:div>
          </w:divsChild>
        </w:div>
        <w:div w:id="1758939740">
          <w:marLeft w:val="0"/>
          <w:marRight w:val="0"/>
          <w:marTop w:val="0"/>
          <w:marBottom w:val="0"/>
          <w:divBdr>
            <w:top w:val="none" w:sz="0" w:space="0" w:color="auto"/>
            <w:left w:val="none" w:sz="0" w:space="0" w:color="auto"/>
            <w:bottom w:val="none" w:sz="0" w:space="0" w:color="auto"/>
            <w:right w:val="none" w:sz="0" w:space="0" w:color="auto"/>
          </w:divBdr>
          <w:divsChild>
            <w:div w:id="1723870554">
              <w:marLeft w:val="0"/>
              <w:marRight w:val="0"/>
              <w:marTop w:val="0"/>
              <w:marBottom w:val="0"/>
              <w:divBdr>
                <w:top w:val="none" w:sz="0" w:space="0" w:color="auto"/>
                <w:left w:val="none" w:sz="0" w:space="0" w:color="auto"/>
                <w:bottom w:val="none" w:sz="0" w:space="0" w:color="auto"/>
                <w:right w:val="none" w:sz="0" w:space="0" w:color="auto"/>
              </w:divBdr>
            </w:div>
          </w:divsChild>
        </w:div>
        <w:div w:id="1018190181">
          <w:marLeft w:val="0"/>
          <w:marRight w:val="0"/>
          <w:marTop w:val="0"/>
          <w:marBottom w:val="0"/>
          <w:divBdr>
            <w:top w:val="none" w:sz="0" w:space="0" w:color="auto"/>
            <w:left w:val="none" w:sz="0" w:space="0" w:color="auto"/>
            <w:bottom w:val="none" w:sz="0" w:space="0" w:color="auto"/>
            <w:right w:val="none" w:sz="0" w:space="0" w:color="auto"/>
          </w:divBdr>
          <w:divsChild>
            <w:div w:id="959453884">
              <w:marLeft w:val="0"/>
              <w:marRight w:val="0"/>
              <w:marTop w:val="0"/>
              <w:marBottom w:val="0"/>
              <w:divBdr>
                <w:top w:val="none" w:sz="0" w:space="0" w:color="auto"/>
                <w:left w:val="none" w:sz="0" w:space="0" w:color="auto"/>
                <w:bottom w:val="none" w:sz="0" w:space="0" w:color="auto"/>
                <w:right w:val="none" w:sz="0" w:space="0" w:color="auto"/>
              </w:divBdr>
            </w:div>
          </w:divsChild>
        </w:div>
        <w:div w:id="1803965766">
          <w:marLeft w:val="0"/>
          <w:marRight w:val="0"/>
          <w:marTop w:val="0"/>
          <w:marBottom w:val="0"/>
          <w:divBdr>
            <w:top w:val="none" w:sz="0" w:space="0" w:color="auto"/>
            <w:left w:val="none" w:sz="0" w:space="0" w:color="auto"/>
            <w:bottom w:val="none" w:sz="0" w:space="0" w:color="auto"/>
            <w:right w:val="none" w:sz="0" w:space="0" w:color="auto"/>
          </w:divBdr>
          <w:divsChild>
            <w:div w:id="513113610">
              <w:marLeft w:val="0"/>
              <w:marRight w:val="0"/>
              <w:marTop w:val="0"/>
              <w:marBottom w:val="0"/>
              <w:divBdr>
                <w:top w:val="none" w:sz="0" w:space="0" w:color="auto"/>
                <w:left w:val="none" w:sz="0" w:space="0" w:color="auto"/>
                <w:bottom w:val="none" w:sz="0" w:space="0" w:color="auto"/>
                <w:right w:val="none" w:sz="0" w:space="0" w:color="auto"/>
              </w:divBdr>
            </w:div>
          </w:divsChild>
        </w:div>
        <w:div w:id="1469398260">
          <w:marLeft w:val="0"/>
          <w:marRight w:val="0"/>
          <w:marTop w:val="0"/>
          <w:marBottom w:val="0"/>
          <w:divBdr>
            <w:top w:val="none" w:sz="0" w:space="0" w:color="auto"/>
            <w:left w:val="none" w:sz="0" w:space="0" w:color="auto"/>
            <w:bottom w:val="none" w:sz="0" w:space="0" w:color="auto"/>
            <w:right w:val="none" w:sz="0" w:space="0" w:color="auto"/>
          </w:divBdr>
          <w:divsChild>
            <w:div w:id="246110036">
              <w:marLeft w:val="0"/>
              <w:marRight w:val="0"/>
              <w:marTop w:val="0"/>
              <w:marBottom w:val="0"/>
              <w:divBdr>
                <w:top w:val="none" w:sz="0" w:space="0" w:color="auto"/>
                <w:left w:val="none" w:sz="0" w:space="0" w:color="auto"/>
                <w:bottom w:val="none" w:sz="0" w:space="0" w:color="auto"/>
                <w:right w:val="none" w:sz="0" w:space="0" w:color="auto"/>
              </w:divBdr>
            </w:div>
          </w:divsChild>
        </w:div>
        <w:div w:id="373048150">
          <w:marLeft w:val="0"/>
          <w:marRight w:val="0"/>
          <w:marTop w:val="0"/>
          <w:marBottom w:val="0"/>
          <w:divBdr>
            <w:top w:val="none" w:sz="0" w:space="0" w:color="auto"/>
            <w:left w:val="none" w:sz="0" w:space="0" w:color="auto"/>
            <w:bottom w:val="none" w:sz="0" w:space="0" w:color="auto"/>
            <w:right w:val="none" w:sz="0" w:space="0" w:color="auto"/>
          </w:divBdr>
          <w:divsChild>
            <w:div w:id="1700275533">
              <w:marLeft w:val="0"/>
              <w:marRight w:val="0"/>
              <w:marTop w:val="0"/>
              <w:marBottom w:val="0"/>
              <w:divBdr>
                <w:top w:val="none" w:sz="0" w:space="0" w:color="auto"/>
                <w:left w:val="none" w:sz="0" w:space="0" w:color="auto"/>
                <w:bottom w:val="none" w:sz="0" w:space="0" w:color="auto"/>
                <w:right w:val="none" w:sz="0" w:space="0" w:color="auto"/>
              </w:divBdr>
            </w:div>
          </w:divsChild>
        </w:div>
        <w:div w:id="2048872638">
          <w:marLeft w:val="0"/>
          <w:marRight w:val="0"/>
          <w:marTop w:val="0"/>
          <w:marBottom w:val="0"/>
          <w:divBdr>
            <w:top w:val="none" w:sz="0" w:space="0" w:color="auto"/>
            <w:left w:val="none" w:sz="0" w:space="0" w:color="auto"/>
            <w:bottom w:val="none" w:sz="0" w:space="0" w:color="auto"/>
            <w:right w:val="none" w:sz="0" w:space="0" w:color="auto"/>
          </w:divBdr>
          <w:divsChild>
            <w:div w:id="1693219281">
              <w:marLeft w:val="0"/>
              <w:marRight w:val="0"/>
              <w:marTop w:val="0"/>
              <w:marBottom w:val="0"/>
              <w:divBdr>
                <w:top w:val="none" w:sz="0" w:space="0" w:color="auto"/>
                <w:left w:val="none" w:sz="0" w:space="0" w:color="auto"/>
                <w:bottom w:val="none" w:sz="0" w:space="0" w:color="auto"/>
                <w:right w:val="none" w:sz="0" w:space="0" w:color="auto"/>
              </w:divBdr>
            </w:div>
          </w:divsChild>
        </w:div>
        <w:div w:id="181554314">
          <w:marLeft w:val="0"/>
          <w:marRight w:val="0"/>
          <w:marTop w:val="0"/>
          <w:marBottom w:val="0"/>
          <w:divBdr>
            <w:top w:val="none" w:sz="0" w:space="0" w:color="auto"/>
            <w:left w:val="none" w:sz="0" w:space="0" w:color="auto"/>
            <w:bottom w:val="none" w:sz="0" w:space="0" w:color="auto"/>
            <w:right w:val="none" w:sz="0" w:space="0" w:color="auto"/>
          </w:divBdr>
          <w:divsChild>
            <w:div w:id="558443106">
              <w:marLeft w:val="0"/>
              <w:marRight w:val="0"/>
              <w:marTop w:val="0"/>
              <w:marBottom w:val="0"/>
              <w:divBdr>
                <w:top w:val="none" w:sz="0" w:space="0" w:color="auto"/>
                <w:left w:val="none" w:sz="0" w:space="0" w:color="auto"/>
                <w:bottom w:val="none" w:sz="0" w:space="0" w:color="auto"/>
                <w:right w:val="none" w:sz="0" w:space="0" w:color="auto"/>
              </w:divBdr>
            </w:div>
          </w:divsChild>
        </w:div>
        <w:div w:id="99180901">
          <w:marLeft w:val="0"/>
          <w:marRight w:val="0"/>
          <w:marTop w:val="0"/>
          <w:marBottom w:val="0"/>
          <w:divBdr>
            <w:top w:val="none" w:sz="0" w:space="0" w:color="auto"/>
            <w:left w:val="none" w:sz="0" w:space="0" w:color="auto"/>
            <w:bottom w:val="none" w:sz="0" w:space="0" w:color="auto"/>
            <w:right w:val="none" w:sz="0" w:space="0" w:color="auto"/>
          </w:divBdr>
          <w:divsChild>
            <w:div w:id="1897620580">
              <w:marLeft w:val="0"/>
              <w:marRight w:val="0"/>
              <w:marTop w:val="0"/>
              <w:marBottom w:val="0"/>
              <w:divBdr>
                <w:top w:val="none" w:sz="0" w:space="0" w:color="auto"/>
                <w:left w:val="none" w:sz="0" w:space="0" w:color="auto"/>
                <w:bottom w:val="none" w:sz="0" w:space="0" w:color="auto"/>
                <w:right w:val="none" w:sz="0" w:space="0" w:color="auto"/>
              </w:divBdr>
            </w:div>
          </w:divsChild>
        </w:div>
        <w:div w:id="258804039">
          <w:marLeft w:val="0"/>
          <w:marRight w:val="0"/>
          <w:marTop w:val="0"/>
          <w:marBottom w:val="0"/>
          <w:divBdr>
            <w:top w:val="none" w:sz="0" w:space="0" w:color="auto"/>
            <w:left w:val="none" w:sz="0" w:space="0" w:color="auto"/>
            <w:bottom w:val="none" w:sz="0" w:space="0" w:color="auto"/>
            <w:right w:val="none" w:sz="0" w:space="0" w:color="auto"/>
          </w:divBdr>
          <w:divsChild>
            <w:div w:id="343753683">
              <w:marLeft w:val="0"/>
              <w:marRight w:val="0"/>
              <w:marTop w:val="0"/>
              <w:marBottom w:val="0"/>
              <w:divBdr>
                <w:top w:val="none" w:sz="0" w:space="0" w:color="auto"/>
                <w:left w:val="none" w:sz="0" w:space="0" w:color="auto"/>
                <w:bottom w:val="none" w:sz="0" w:space="0" w:color="auto"/>
                <w:right w:val="none" w:sz="0" w:space="0" w:color="auto"/>
              </w:divBdr>
            </w:div>
          </w:divsChild>
        </w:div>
        <w:div w:id="1683556035">
          <w:marLeft w:val="0"/>
          <w:marRight w:val="0"/>
          <w:marTop w:val="0"/>
          <w:marBottom w:val="0"/>
          <w:divBdr>
            <w:top w:val="none" w:sz="0" w:space="0" w:color="auto"/>
            <w:left w:val="none" w:sz="0" w:space="0" w:color="auto"/>
            <w:bottom w:val="none" w:sz="0" w:space="0" w:color="auto"/>
            <w:right w:val="none" w:sz="0" w:space="0" w:color="auto"/>
          </w:divBdr>
          <w:divsChild>
            <w:div w:id="1774587500">
              <w:marLeft w:val="0"/>
              <w:marRight w:val="0"/>
              <w:marTop w:val="0"/>
              <w:marBottom w:val="0"/>
              <w:divBdr>
                <w:top w:val="none" w:sz="0" w:space="0" w:color="auto"/>
                <w:left w:val="none" w:sz="0" w:space="0" w:color="auto"/>
                <w:bottom w:val="none" w:sz="0" w:space="0" w:color="auto"/>
                <w:right w:val="none" w:sz="0" w:space="0" w:color="auto"/>
              </w:divBdr>
            </w:div>
          </w:divsChild>
        </w:div>
        <w:div w:id="2132631161">
          <w:marLeft w:val="0"/>
          <w:marRight w:val="0"/>
          <w:marTop w:val="0"/>
          <w:marBottom w:val="0"/>
          <w:divBdr>
            <w:top w:val="none" w:sz="0" w:space="0" w:color="auto"/>
            <w:left w:val="none" w:sz="0" w:space="0" w:color="auto"/>
            <w:bottom w:val="none" w:sz="0" w:space="0" w:color="auto"/>
            <w:right w:val="none" w:sz="0" w:space="0" w:color="auto"/>
          </w:divBdr>
          <w:divsChild>
            <w:div w:id="1623342408">
              <w:marLeft w:val="0"/>
              <w:marRight w:val="0"/>
              <w:marTop w:val="0"/>
              <w:marBottom w:val="0"/>
              <w:divBdr>
                <w:top w:val="none" w:sz="0" w:space="0" w:color="auto"/>
                <w:left w:val="none" w:sz="0" w:space="0" w:color="auto"/>
                <w:bottom w:val="none" w:sz="0" w:space="0" w:color="auto"/>
                <w:right w:val="none" w:sz="0" w:space="0" w:color="auto"/>
              </w:divBdr>
            </w:div>
          </w:divsChild>
        </w:div>
        <w:div w:id="1950580579">
          <w:marLeft w:val="0"/>
          <w:marRight w:val="0"/>
          <w:marTop w:val="0"/>
          <w:marBottom w:val="0"/>
          <w:divBdr>
            <w:top w:val="none" w:sz="0" w:space="0" w:color="auto"/>
            <w:left w:val="none" w:sz="0" w:space="0" w:color="auto"/>
            <w:bottom w:val="none" w:sz="0" w:space="0" w:color="auto"/>
            <w:right w:val="none" w:sz="0" w:space="0" w:color="auto"/>
          </w:divBdr>
          <w:divsChild>
            <w:div w:id="2062902292">
              <w:marLeft w:val="0"/>
              <w:marRight w:val="0"/>
              <w:marTop w:val="0"/>
              <w:marBottom w:val="0"/>
              <w:divBdr>
                <w:top w:val="none" w:sz="0" w:space="0" w:color="auto"/>
                <w:left w:val="none" w:sz="0" w:space="0" w:color="auto"/>
                <w:bottom w:val="none" w:sz="0" w:space="0" w:color="auto"/>
                <w:right w:val="none" w:sz="0" w:space="0" w:color="auto"/>
              </w:divBdr>
            </w:div>
          </w:divsChild>
        </w:div>
        <w:div w:id="1513496733">
          <w:marLeft w:val="0"/>
          <w:marRight w:val="0"/>
          <w:marTop w:val="0"/>
          <w:marBottom w:val="0"/>
          <w:divBdr>
            <w:top w:val="none" w:sz="0" w:space="0" w:color="auto"/>
            <w:left w:val="none" w:sz="0" w:space="0" w:color="auto"/>
            <w:bottom w:val="none" w:sz="0" w:space="0" w:color="auto"/>
            <w:right w:val="none" w:sz="0" w:space="0" w:color="auto"/>
          </w:divBdr>
          <w:divsChild>
            <w:div w:id="476530402">
              <w:marLeft w:val="0"/>
              <w:marRight w:val="0"/>
              <w:marTop w:val="0"/>
              <w:marBottom w:val="0"/>
              <w:divBdr>
                <w:top w:val="none" w:sz="0" w:space="0" w:color="auto"/>
                <w:left w:val="none" w:sz="0" w:space="0" w:color="auto"/>
                <w:bottom w:val="none" w:sz="0" w:space="0" w:color="auto"/>
                <w:right w:val="none" w:sz="0" w:space="0" w:color="auto"/>
              </w:divBdr>
            </w:div>
          </w:divsChild>
        </w:div>
        <w:div w:id="1933080324">
          <w:marLeft w:val="0"/>
          <w:marRight w:val="0"/>
          <w:marTop w:val="0"/>
          <w:marBottom w:val="0"/>
          <w:divBdr>
            <w:top w:val="none" w:sz="0" w:space="0" w:color="auto"/>
            <w:left w:val="none" w:sz="0" w:space="0" w:color="auto"/>
            <w:bottom w:val="none" w:sz="0" w:space="0" w:color="auto"/>
            <w:right w:val="none" w:sz="0" w:space="0" w:color="auto"/>
          </w:divBdr>
          <w:divsChild>
            <w:div w:id="956446106">
              <w:marLeft w:val="0"/>
              <w:marRight w:val="0"/>
              <w:marTop w:val="0"/>
              <w:marBottom w:val="0"/>
              <w:divBdr>
                <w:top w:val="none" w:sz="0" w:space="0" w:color="auto"/>
                <w:left w:val="none" w:sz="0" w:space="0" w:color="auto"/>
                <w:bottom w:val="none" w:sz="0" w:space="0" w:color="auto"/>
                <w:right w:val="none" w:sz="0" w:space="0" w:color="auto"/>
              </w:divBdr>
            </w:div>
          </w:divsChild>
        </w:div>
        <w:div w:id="335040968">
          <w:marLeft w:val="0"/>
          <w:marRight w:val="0"/>
          <w:marTop w:val="0"/>
          <w:marBottom w:val="0"/>
          <w:divBdr>
            <w:top w:val="none" w:sz="0" w:space="0" w:color="auto"/>
            <w:left w:val="none" w:sz="0" w:space="0" w:color="auto"/>
            <w:bottom w:val="none" w:sz="0" w:space="0" w:color="auto"/>
            <w:right w:val="none" w:sz="0" w:space="0" w:color="auto"/>
          </w:divBdr>
          <w:divsChild>
            <w:div w:id="112093682">
              <w:marLeft w:val="0"/>
              <w:marRight w:val="0"/>
              <w:marTop w:val="0"/>
              <w:marBottom w:val="0"/>
              <w:divBdr>
                <w:top w:val="none" w:sz="0" w:space="0" w:color="auto"/>
                <w:left w:val="none" w:sz="0" w:space="0" w:color="auto"/>
                <w:bottom w:val="none" w:sz="0" w:space="0" w:color="auto"/>
                <w:right w:val="none" w:sz="0" w:space="0" w:color="auto"/>
              </w:divBdr>
            </w:div>
          </w:divsChild>
        </w:div>
        <w:div w:id="902331916">
          <w:marLeft w:val="0"/>
          <w:marRight w:val="0"/>
          <w:marTop w:val="0"/>
          <w:marBottom w:val="0"/>
          <w:divBdr>
            <w:top w:val="none" w:sz="0" w:space="0" w:color="auto"/>
            <w:left w:val="none" w:sz="0" w:space="0" w:color="auto"/>
            <w:bottom w:val="none" w:sz="0" w:space="0" w:color="auto"/>
            <w:right w:val="none" w:sz="0" w:space="0" w:color="auto"/>
          </w:divBdr>
          <w:divsChild>
            <w:div w:id="263928133">
              <w:marLeft w:val="0"/>
              <w:marRight w:val="0"/>
              <w:marTop w:val="0"/>
              <w:marBottom w:val="0"/>
              <w:divBdr>
                <w:top w:val="none" w:sz="0" w:space="0" w:color="auto"/>
                <w:left w:val="none" w:sz="0" w:space="0" w:color="auto"/>
                <w:bottom w:val="none" w:sz="0" w:space="0" w:color="auto"/>
                <w:right w:val="none" w:sz="0" w:space="0" w:color="auto"/>
              </w:divBdr>
            </w:div>
          </w:divsChild>
        </w:div>
        <w:div w:id="1141969565">
          <w:marLeft w:val="0"/>
          <w:marRight w:val="0"/>
          <w:marTop w:val="0"/>
          <w:marBottom w:val="0"/>
          <w:divBdr>
            <w:top w:val="none" w:sz="0" w:space="0" w:color="auto"/>
            <w:left w:val="none" w:sz="0" w:space="0" w:color="auto"/>
            <w:bottom w:val="none" w:sz="0" w:space="0" w:color="auto"/>
            <w:right w:val="none" w:sz="0" w:space="0" w:color="auto"/>
          </w:divBdr>
          <w:divsChild>
            <w:div w:id="1239049014">
              <w:marLeft w:val="0"/>
              <w:marRight w:val="0"/>
              <w:marTop w:val="0"/>
              <w:marBottom w:val="0"/>
              <w:divBdr>
                <w:top w:val="none" w:sz="0" w:space="0" w:color="auto"/>
                <w:left w:val="none" w:sz="0" w:space="0" w:color="auto"/>
                <w:bottom w:val="none" w:sz="0" w:space="0" w:color="auto"/>
                <w:right w:val="none" w:sz="0" w:space="0" w:color="auto"/>
              </w:divBdr>
            </w:div>
          </w:divsChild>
        </w:div>
        <w:div w:id="93091466">
          <w:marLeft w:val="0"/>
          <w:marRight w:val="0"/>
          <w:marTop w:val="0"/>
          <w:marBottom w:val="0"/>
          <w:divBdr>
            <w:top w:val="none" w:sz="0" w:space="0" w:color="auto"/>
            <w:left w:val="none" w:sz="0" w:space="0" w:color="auto"/>
            <w:bottom w:val="none" w:sz="0" w:space="0" w:color="auto"/>
            <w:right w:val="none" w:sz="0" w:space="0" w:color="auto"/>
          </w:divBdr>
          <w:divsChild>
            <w:div w:id="398360078">
              <w:marLeft w:val="0"/>
              <w:marRight w:val="0"/>
              <w:marTop w:val="0"/>
              <w:marBottom w:val="0"/>
              <w:divBdr>
                <w:top w:val="none" w:sz="0" w:space="0" w:color="auto"/>
                <w:left w:val="none" w:sz="0" w:space="0" w:color="auto"/>
                <w:bottom w:val="none" w:sz="0" w:space="0" w:color="auto"/>
                <w:right w:val="none" w:sz="0" w:space="0" w:color="auto"/>
              </w:divBdr>
            </w:div>
          </w:divsChild>
        </w:div>
        <w:div w:id="698892010">
          <w:marLeft w:val="0"/>
          <w:marRight w:val="0"/>
          <w:marTop w:val="0"/>
          <w:marBottom w:val="0"/>
          <w:divBdr>
            <w:top w:val="none" w:sz="0" w:space="0" w:color="auto"/>
            <w:left w:val="none" w:sz="0" w:space="0" w:color="auto"/>
            <w:bottom w:val="none" w:sz="0" w:space="0" w:color="auto"/>
            <w:right w:val="none" w:sz="0" w:space="0" w:color="auto"/>
          </w:divBdr>
          <w:divsChild>
            <w:div w:id="916673713">
              <w:marLeft w:val="0"/>
              <w:marRight w:val="0"/>
              <w:marTop w:val="0"/>
              <w:marBottom w:val="0"/>
              <w:divBdr>
                <w:top w:val="none" w:sz="0" w:space="0" w:color="auto"/>
                <w:left w:val="none" w:sz="0" w:space="0" w:color="auto"/>
                <w:bottom w:val="none" w:sz="0" w:space="0" w:color="auto"/>
                <w:right w:val="none" w:sz="0" w:space="0" w:color="auto"/>
              </w:divBdr>
            </w:div>
          </w:divsChild>
        </w:div>
        <w:div w:id="940986568">
          <w:marLeft w:val="0"/>
          <w:marRight w:val="0"/>
          <w:marTop w:val="0"/>
          <w:marBottom w:val="0"/>
          <w:divBdr>
            <w:top w:val="none" w:sz="0" w:space="0" w:color="auto"/>
            <w:left w:val="none" w:sz="0" w:space="0" w:color="auto"/>
            <w:bottom w:val="none" w:sz="0" w:space="0" w:color="auto"/>
            <w:right w:val="none" w:sz="0" w:space="0" w:color="auto"/>
          </w:divBdr>
          <w:divsChild>
            <w:div w:id="768236398">
              <w:marLeft w:val="0"/>
              <w:marRight w:val="0"/>
              <w:marTop w:val="0"/>
              <w:marBottom w:val="0"/>
              <w:divBdr>
                <w:top w:val="none" w:sz="0" w:space="0" w:color="auto"/>
                <w:left w:val="none" w:sz="0" w:space="0" w:color="auto"/>
                <w:bottom w:val="none" w:sz="0" w:space="0" w:color="auto"/>
                <w:right w:val="none" w:sz="0" w:space="0" w:color="auto"/>
              </w:divBdr>
            </w:div>
          </w:divsChild>
        </w:div>
        <w:div w:id="734472656">
          <w:marLeft w:val="0"/>
          <w:marRight w:val="0"/>
          <w:marTop w:val="0"/>
          <w:marBottom w:val="0"/>
          <w:divBdr>
            <w:top w:val="none" w:sz="0" w:space="0" w:color="auto"/>
            <w:left w:val="none" w:sz="0" w:space="0" w:color="auto"/>
            <w:bottom w:val="none" w:sz="0" w:space="0" w:color="auto"/>
            <w:right w:val="none" w:sz="0" w:space="0" w:color="auto"/>
          </w:divBdr>
          <w:divsChild>
            <w:div w:id="766004731">
              <w:marLeft w:val="0"/>
              <w:marRight w:val="0"/>
              <w:marTop w:val="0"/>
              <w:marBottom w:val="0"/>
              <w:divBdr>
                <w:top w:val="none" w:sz="0" w:space="0" w:color="auto"/>
                <w:left w:val="none" w:sz="0" w:space="0" w:color="auto"/>
                <w:bottom w:val="none" w:sz="0" w:space="0" w:color="auto"/>
                <w:right w:val="none" w:sz="0" w:space="0" w:color="auto"/>
              </w:divBdr>
            </w:div>
          </w:divsChild>
        </w:div>
        <w:div w:id="1267496288">
          <w:marLeft w:val="0"/>
          <w:marRight w:val="0"/>
          <w:marTop w:val="0"/>
          <w:marBottom w:val="0"/>
          <w:divBdr>
            <w:top w:val="none" w:sz="0" w:space="0" w:color="auto"/>
            <w:left w:val="none" w:sz="0" w:space="0" w:color="auto"/>
            <w:bottom w:val="none" w:sz="0" w:space="0" w:color="auto"/>
            <w:right w:val="none" w:sz="0" w:space="0" w:color="auto"/>
          </w:divBdr>
          <w:divsChild>
            <w:div w:id="491989787">
              <w:marLeft w:val="0"/>
              <w:marRight w:val="0"/>
              <w:marTop w:val="0"/>
              <w:marBottom w:val="0"/>
              <w:divBdr>
                <w:top w:val="none" w:sz="0" w:space="0" w:color="auto"/>
                <w:left w:val="none" w:sz="0" w:space="0" w:color="auto"/>
                <w:bottom w:val="none" w:sz="0" w:space="0" w:color="auto"/>
                <w:right w:val="none" w:sz="0" w:space="0" w:color="auto"/>
              </w:divBdr>
            </w:div>
          </w:divsChild>
        </w:div>
        <w:div w:id="1152059748">
          <w:marLeft w:val="0"/>
          <w:marRight w:val="0"/>
          <w:marTop w:val="0"/>
          <w:marBottom w:val="0"/>
          <w:divBdr>
            <w:top w:val="none" w:sz="0" w:space="0" w:color="auto"/>
            <w:left w:val="none" w:sz="0" w:space="0" w:color="auto"/>
            <w:bottom w:val="none" w:sz="0" w:space="0" w:color="auto"/>
            <w:right w:val="none" w:sz="0" w:space="0" w:color="auto"/>
          </w:divBdr>
          <w:divsChild>
            <w:div w:id="450512392">
              <w:marLeft w:val="0"/>
              <w:marRight w:val="0"/>
              <w:marTop w:val="0"/>
              <w:marBottom w:val="0"/>
              <w:divBdr>
                <w:top w:val="none" w:sz="0" w:space="0" w:color="auto"/>
                <w:left w:val="none" w:sz="0" w:space="0" w:color="auto"/>
                <w:bottom w:val="none" w:sz="0" w:space="0" w:color="auto"/>
                <w:right w:val="none" w:sz="0" w:space="0" w:color="auto"/>
              </w:divBdr>
            </w:div>
          </w:divsChild>
        </w:div>
        <w:div w:id="924800878">
          <w:marLeft w:val="0"/>
          <w:marRight w:val="0"/>
          <w:marTop w:val="0"/>
          <w:marBottom w:val="0"/>
          <w:divBdr>
            <w:top w:val="none" w:sz="0" w:space="0" w:color="auto"/>
            <w:left w:val="none" w:sz="0" w:space="0" w:color="auto"/>
            <w:bottom w:val="none" w:sz="0" w:space="0" w:color="auto"/>
            <w:right w:val="none" w:sz="0" w:space="0" w:color="auto"/>
          </w:divBdr>
          <w:divsChild>
            <w:div w:id="1285186955">
              <w:marLeft w:val="0"/>
              <w:marRight w:val="0"/>
              <w:marTop w:val="0"/>
              <w:marBottom w:val="0"/>
              <w:divBdr>
                <w:top w:val="none" w:sz="0" w:space="0" w:color="auto"/>
                <w:left w:val="none" w:sz="0" w:space="0" w:color="auto"/>
                <w:bottom w:val="none" w:sz="0" w:space="0" w:color="auto"/>
                <w:right w:val="none" w:sz="0" w:space="0" w:color="auto"/>
              </w:divBdr>
            </w:div>
          </w:divsChild>
        </w:div>
        <w:div w:id="808203697">
          <w:marLeft w:val="0"/>
          <w:marRight w:val="0"/>
          <w:marTop w:val="0"/>
          <w:marBottom w:val="0"/>
          <w:divBdr>
            <w:top w:val="none" w:sz="0" w:space="0" w:color="auto"/>
            <w:left w:val="none" w:sz="0" w:space="0" w:color="auto"/>
            <w:bottom w:val="none" w:sz="0" w:space="0" w:color="auto"/>
            <w:right w:val="none" w:sz="0" w:space="0" w:color="auto"/>
          </w:divBdr>
          <w:divsChild>
            <w:div w:id="1126001743">
              <w:marLeft w:val="0"/>
              <w:marRight w:val="0"/>
              <w:marTop w:val="0"/>
              <w:marBottom w:val="0"/>
              <w:divBdr>
                <w:top w:val="none" w:sz="0" w:space="0" w:color="auto"/>
                <w:left w:val="none" w:sz="0" w:space="0" w:color="auto"/>
                <w:bottom w:val="none" w:sz="0" w:space="0" w:color="auto"/>
                <w:right w:val="none" w:sz="0" w:space="0" w:color="auto"/>
              </w:divBdr>
            </w:div>
          </w:divsChild>
        </w:div>
        <w:div w:id="2069644574">
          <w:marLeft w:val="0"/>
          <w:marRight w:val="0"/>
          <w:marTop w:val="0"/>
          <w:marBottom w:val="0"/>
          <w:divBdr>
            <w:top w:val="none" w:sz="0" w:space="0" w:color="auto"/>
            <w:left w:val="none" w:sz="0" w:space="0" w:color="auto"/>
            <w:bottom w:val="none" w:sz="0" w:space="0" w:color="auto"/>
            <w:right w:val="none" w:sz="0" w:space="0" w:color="auto"/>
          </w:divBdr>
          <w:divsChild>
            <w:div w:id="1509716566">
              <w:marLeft w:val="0"/>
              <w:marRight w:val="0"/>
              <w:marTop w:val="0"/>
              <w:marBottom w:val="0"/>
              <w:divBdr>
                <w:top w:val="none" w:sz="0" w:space="0" w:color="auto"/>
                <w:left w:val="none" w:sz="0" w:space="0" w:color="auto"/>
                <w:bottom w:val="none" w:sz="0" w:space="0" w:color="auto"/>
                <w:right w:val="none" w:sz="0" w:space="0" w:color="auto"/>
              </w:divBdr>
            </w:div>
          </w:divsChild>
        </w:div>
        <w:div w:id="156043630">
          <w:marLeft w:val="0"/>
          <w:marRight w:val="0"/>
          <w:marTop w:val="0"/>
          <w:marBottom w:val="0"/>
          <w:divBdr>
            <w:top w:val="none" w:sz="0" w:space="0" w:color="auto"/>
            <w:left w:val="none" w:sz="0" w:space="0" w:color="auto"/>
            <w:bottom w:val="none" w:sz="0" w:space="0" w:color="auto"/>
            <w:right w:val="none" w:sz="0" w:space="0" w:color="auto"/>
          </w:divBdr>
          <w:divsChild>
            <w:div w:id="830682496">
              <w:marLeft w:val="0"/>
              <w:marRight w:val="0"/>
              <w:marTop w:val="0"/>
              <w:marBottom w:val="0"/>
              <w:divBdr>
                <w:top w:val="none" w:sz="0" w:space="0" w:color="auto"/>
                <w:left w:val="none" w:sz="0" w:space="0" w:color="auto"/>
                <w:bottom w:val="none" w:sz="0" w:space="0" w:color="auto"/>
                <w:right w:val="none" w:sz="0" w:space="0" w:color="auto"/>
              </w:divBdr>
            </w:div>
          </w:divsChild>
        </w:div>
        <w:div w:id="260650189">
          <w:marLeft w:val="0"/>
          <w:marRight w:val="0"/>
          <w:marTop w:val="0"/>
          <w:marBottom w:val="0"/>
          <w:divBdr>
            <w:top w:val="none" w:sz="0" w:space="0" w:color="auto"/>
            <w:left w:val="none" w:sz="0" w:space="0" w:color="auto"/>
            <w:bottom w:val="none" w:sz="0" w:space="0" w:color="auto"/>
            <w:right w:val="none" w:sz="0" w:space="0" w:color="auto"/>
          </w:divBdr>
          <w:divsChild>
            <w:div w:id="1072853464">
              <w:marLeft w:val="0"/>
              <w:marRight w:val="0"/>
              <w:marTop w:val="0"/>
              <w:marBottom w:val="0"/>
              <w:divBdr>
                <w:top w:val="none" w:sz="0" w:space="0" w:color="auto"/>
                <w:left w:val="none" w:sz="0" w:space="0" w:color="auto"/>
                <w:bottom w:val="none" w:sz="0" w:space="0" w:color="auto"/>
                <w:right w:val="none" w:sz="0" w:space="0" w:color="auto"/>
              </w:divBdr>
            </w:div>
          </w:divsChild>
        </w:div>
        <w:div w:id="159784042">
          <w:marLeft w:val="0"/>
          <w:marRight w:val="0"/>
          <w:marTop w:val="0"/>
          <w:marBottom w:val="0"/>
          <w:divBdr>
            <w:top w:val="none" w:sz="0" w:space="0" w:color="auto"/>
            <w:left w:val="none" w:sz="0" w:space="0" w:color="auto"/>
            <w:bottom w:val="none" w:sz="0" w:space="0" w:color="auto"/>
            <w:right w:val="none" w:sz="0" w:space="0" w:color="auto"/>
          </w:divBdr>
          <w:divsChild>
            <w:div w:id="849219038">
              <w:marLeft w:val="0"/>
              <w:marRight w:val="0"/>
              <w:marTop w:val="0"/>
              <w:marBottom w:val="0"/>
              <w:divBdr>
                <w:top w:val="none" w:sz="0" w:space="0" w:color="auto"/>
                <w:left w:val="none" w:sz="0" w:space="0" w:color="auto"/>
                <w:bottom w:val="none" w:sz="0" w:space="0" w:color="auto"/>
                <w:right w:val="none" w:sz="0" w:space="0" w:color="auto"/>
              </w:divBdr>
            </w:div>
          </w:divsChild>
        </w:div>
        <w:div w:id="1673412871">
          <w:marLeft w:val="0"/>
          <w:marRight w:val="0"/>
          <w:marTop w:val="0"/>
          <w:marBottom w:val="0"/>
          <w:divBdr>
            <w:top w:val="none" w:sz="0" w:space="0" w:color="auto"/>
            <w:left w:val="none" w:sz="0" w:space="0" w:color="auto"/>
            <w:bottom w:val="none" w:sz="0" w:space="0" w:color="auto"/>
            <w:right w:val="none" w:sz="0" w:space="0" w:color="auto"/>
          </w:divBdr>
          <w:divsChild>
            <w:div w:id="339622472">
              <w:marLeft w:val="0"/>
              <w:marRight w:val="0"/>
              <w:marTop w:val="0"/>
              <w:marBottom w:val="0"/>
              <w:divBdr>
                <w:top w:val="none" w:sz="0" w:space="0" w:color="auto"/>
                <w:left w:val="none" w:sz="0" w:space="0" w:color="auto"/>
                <w:bottom w:val="none" w:sz="0" w:space="0" w:color="auto"/>
                <w:right w:val="none" w:sz="0" w:space="0" w:color="auto"/>
              </w:divBdr>
            </w:div>
          </w:divsChild>
        </w:div>
        <w:div w:id="1180313606">
          <w:marLeft w:val="0"/>
          <w:marRight w:val="0"/>
          <w:marTop w:val="0"/>
          <w:marBottom w:val="0"/>
          <w:divBdr>
            <w:top w:val="none" w:sz="0" w:space="0" w:color="auto"/>
            <w:left w:val="none" w:sz="0" w:space="0" w:color="auto"/>
            <w:bottom w:val="none" w:sz="0" w:space="0" w:color="auto"/>
            <w:right w:val="none" w:sz="0" w:space="0" w:color="auto"/>
          </w:divBdr>
          <w:divsChild>
            <w:div w:id="1437213140">
              <w:marLeft w:val="0"/>
              <w:marRight w:val="0"/>
              <w:marTop w:val="0"/>
              <w:marBottom w:val="0"/>
              <w:divBdr>
                <w:top w:val="none" w:sz="0" w:space="0" w:color="auto"/>
                <w:left w:val="none" w:sz="0" w:space="0" w:color="auto"/>
                <w:bottom w:val="none" w:sz="0" w:space="0" w:color="auto"/>
                <w:right w:val="none" w:sz="0" w:space="0" w:color="auto"/>
              </w:divBdr>
            </w:div>
          </w:divsChild>
        </w:div>
        <w:div w:id="1746687890">
          <w:marLeft w:val="0"/>
          <w:marRight w:val="0"/>
          <w:marTop w:val="0"/>
          <w:marBottom w:val="0"/>
          <w:divBdr>
            <w:top w:val="none" w:sz="0" w:space="0" w:color="auto"/>
            <w:left w:val="none" w:sz="0" w:space="0" w:color="auto"/>
            <w:bottom w:val="none" w:sz="0" w:space="0" w:color="auto"/>
            <w:right w:val="none" w:sz="0" w:space="0" w:color="auto"/>
          </w:divBdr>
          <w:divsChild>
            <w:div w:id="63798690">
              <w:marLeft w:val="0"/>
              <w:marRight w:val="0"/>
              <w:marTop w:val="0"/>
              <w:marBottom w:val="0"/>
              <w:divBdr>
                <w:top w:val="none" w:sz="0" w:space="0" w:color="auto"/>
                <w:left w:val="none" w:sz="0" w:space="0" w:color="auto"/>
                <w:bottom w:val="none" w:sz="0" w:space="0" w:color="auto"/>
                <w:right w:val="none" w:sz="0" w:space="0" w:color="auto"/>
              </w:divBdr>
            </w:div>
          </w:divsChild>
        </w:div>
        <w:div w:id="388842031">
          <w:marLeft w:val="0"/>
          <w:marRight w:val="0"/>
          <w:marTop w:val="0"/>
          <w:marBottom w:val="0"/>
          <w:divBdr>
            <w:top w:val="none" w:sz="0" w:space="0" w:color="auto"/>
            <w:left w:val="none" w:sz="0" w:space="0" w:color="auto"/>
            <w:bottom w:val="none" w:sz="0" w:space="0" w:color="auto"/>
            <w:right w:val="none" w:sz="0" w:space="0" w:color="auto"/>
          </w:divBdr>
          <w:divsChild>
            <w:div w:id="378633766">
              <w:marLeft w:val="0"/>
              <w:marRight w:val="0"/>
              <w:marTop w:val="0"/>
              <w:marBottom w:val="0"/>
              <w:divBdr>
                <w:top w:val="none" w:sz="0" w:space="0" w:color="auto"/>
                <w:left w:val="none" w:sz="0" w:space="0" w:color="auto"/>
                <w:bottom w:val="none" w:sz="0" w:space="0" w:color="auto"/>
                <w:right w:val="none" w:sz="0" w:space="0" w:color="auto"/>
              </w:divBdr>
            </w:div>
          </w:divsChild>
        </w:div>
        <w:div w:id="157352039">
          <w:marLeft w:val="0"/>
          <w:marRight w:val="0"/>
          <w:marTop w:val="0"/>
          <w:marBottom w:val="0"/>
          <w:divBdr>
            <w:top w:val="none" w:sz="0" w:space="0" w:color="auto"/>
            <w:left w:val="none" w:sz="0" w:space="0" w:color="auto"/>
            <w:bottom w:val="none" w:sz="0" w:space="0" w:color="auto"/>
            <w:right w:val="none" w:sz="0" w:space="0" w:color="auto"/>
          </w:divBdr>
          <w:divsChild>
            <w:div w:id="485438324">
              <w:marLeft w:val="0"/>
              <w:marRight w:val="0"/>
              <w:marTop w:val="0"/>
              <w:marBottom w:val="0"/>
              <w:divBdr>
                <w:top w:val="none" w:sz="0" w:space="0" w:color="auto"/>
                <w:left w:val="none" w:sz="0" w:space="0" w:color="auto"/>
                <w:bottom w:val="none" w:sz="0" w:space="0" w:color="auto"/>
                <w:right w:val="none" w:sz="0" w:space="0" w:color="auto"/>
              </w:divBdr>
            </w:div>
          </w:divsChild>
        </w:div>
        <w:div w:id="778570326">
          <w:marLeft w:val="0"/>
          <w:marRight w:val="0"/>
          <w:marTop w:val="0"/>
          <w:marBottom w:val="0"/>
          <w:divBdr>
            <w:top w:val="none" w:sz="0" w:space="0" w:color="auto"/>
            <w:left w:val="none" w:sz="0" w:space="0" w:color="auto"/>
            <w:bottom w:val="none" w:sz="0" w:space="0" w:color="auto"/>
            <w:right w:val="none" w:sz="0" w:space="0" w:color="auto"/>
          </w:divBdr>
          <w:divsChild>
            <w:div w:id="63767890">
              <w:marLeft w:val="0"/>
              <w:marRight w:val="0"/>
              <w:marTop w:val="0"/>
              <w:marBottom w:val="0"/>
              <w:divBdr>
                <w:top w:val="none" w:sz="0" w:space="0" w:color="auto"/>
                <w:left w:val="none" w:sz="0" w:space="0" w:color="auto"/>
                <w:bottom w:val="none" w:sz="0" w:space="0" w:color="auto"/>
                <w:right w:val="none" w:sz="0" w:space="0" w:color="auto"/>
              </w:divBdr>
            </w:div>
          </w:divsChild>
        </w:div>
        <w:div w:id="926766880">
          <w:marLeft w:val="0"/>
          <w:marRight w:val="0"/>
          <w:marTop w:val="0"/>
          <w:marBottom w:val="0"/>
          <w:divBdr>
            <w:top w:val="none" w:sz="0" w:space="0" w:color="auto"/>
            <w:left w:val="none" w:sz="0" w:space="0" w:color="auto"/>
            <w:bottom w:val="none" w:sz="0" w:space="0" w:color="auto"/>
            <w:right w:val="none" w:sz="0" w:space="0" w:color="auto"/>
          </w:divBdr>
          <w:divsChild>
            <w:div w:id="490608306">
              <w:marLeft w:val="0"/>
              <w:marRight w:val="0"/>
              <w:marTop w:val="0"/>
              <w:marBottom w:val="0"/>
              <w:divBdr>
                <w:top w:val="none" w:sz="0" w:space="0" w:color="auto"/>
                <w:left w:val="none" w:sz="0" w:space="0" w:color="auto"/>
                <w:bottom w:val="none" w:sz="0" w:space="0" w:color="auto"/>
                <w:right w:val="none" w:sz="0" w:space="0" w:color="auto"/>
              </w:divBdr>
            </w:div>
          </w:divsChild>
        </w:div>
        <w:div w:id="1532111461">
          <w:marLeft w:val="0"/>
          <w:marRight w:val="0"/>
          <w:marTop w:val="0"/>
          <w:marBottom w:val="0"/>
          <w:divBdr>
            <w:top w:val="none" w:sz="0" w:space="0" w:color="auto"/>
            <w:left w:val="none" w:sz="0" w:space="0" w:color="auto"/>
            <w:bottom w:val="none" w:sz="0" w:space="0" w:color="auto"/>
            <w:right w:val="none" w:sz="0" w:space="0" w:color="auto"/>
          </w:divBdr>
          <w:divsChild>
            <w:div w:id="2119638964">
              <w:marLeft w:val="0"/>
              <w:marRight w:val="0"/>
              <w:marTop w:val="0"/>
              <w:marBottom w:val="0"/>
              <w:divBdr>
                <w:top w:val="none" w:sz="0" w:space="0" w:color="auto"/>
                <w:left w:val="none" w:sz="0" w:space="0" w:color="auto"/>
                <w:bottom w:val="none" w:sz="0" w:space="0" w:color="auto"/>
                <w:right w:val="none" w:sz="0" w:space="0" w:color="auto"/>
              </w:divBdr>
            </w:div>
          </w:divsChild>
        </w:div>
        <w:div w:id="920992870">
          <w:marLeft w:val="0"/>
          <w:marRight w:val="0"/>
          <w:marTop w:val="0"/>
          <w:marBottom w:val="0"/>
          <w:divBdr>
            <w:top w:val="none" w:sz="0" w:space="0" w:color="auto"/>
            <w:left w:val="none" w:sz="0" w:space="0" w:color="auto"/>
            <w:bottom w:val="none" w:sz="0" w:space="0" w:color="auto"/>
            <w:right w:val="none" w:sz="0" w:space="0" w:color="auto"/>
          </w:divBdr>
          <w:divsChild>
            <w:div w:id="1979063549">
              <w:marLeft w:val="0"/>
              <w:marRight w:val="0"/>
              <w:marTop w:val="0"/>
              <w:marBottom w:val="0"/>
              <w:divBdr>
                <w:top w:val="none" w:sz="0" w:space="0" w:color="auto"/>
                <w:left w:val="none" w:sz="0" w:space="0" w:color="auto"/>
                <w:bottom w:val="none" w:sz="0" w:space="0" w:color="auto"/>
                <w:right w:val="none" w:sz="0" w:space="0" w:color="auto"/>
              </w:divBdr>
            </w:div>
          </w:divsChild>
        </w:div>
        <w:div w:id="177013615">
          <w:marLeft w:val="0"/>
          <w:marRight w:val="0"/>
          <w:marTop w:val="0"/>
          <w:marBottom w:val="0"/>
          <w:divBdr>
            <w:top w:val="none" w:sz="0" w:space="0" w:color="auto"/>
            <w:left w:val="none" w:sz="0" w:space="0" w:color="auto"/>
            <w:bottom w:val="none" w:sz="0" w:space="0" w:color="auto"/>
            <w:right w:val="none" w:sz="0" w:space="0" w:color="auto"/>
          </w:divBdr>
          <w:divsChild>
            <w:div w:id="529925791">
              <w:marLeft w:val="0"/>
              <w:marRight w:val="0"/>
              <w:marTop w:val="0"/>
              <w:marBottom w:val="0"/>
              <w:divBdr>
                <w:top w:val="none" w:sz="0" w:space="0" w:color="auto"/>
                <w:left w:val="none" w:sz="0" w:space="0" w:color="auto"/>
                <w:bottom w:val="none" w:sz="0" w:space="0" w:color="auto"/>
                <w:right w:val="none" w:sz="0" w:space="0" w:color="auto"/>
              </w:divBdr>
            </w:div>
          </w:divsChild>
        </w:div>
        <w:div w:id="1388921397">
          <w:marLeft w:val="0"/>
          <w:marRight w:val="0"/>
          <w:marTop w:val="0"/>
          <w:marBottom w:val="0"/>
          <w:divBdr>
            <w:top w:val="none" w:sz="0" w:space="0" w:color="auto"/>
            <w:left w:val="none" w:sz="0" w:space="0" w:color="auto"/>
            <w:bottom w:val="none" w:sz="0" w:space="0" w:color="auto"/>
            <w:right w:val="none" w:sz="0" w:space="0" w:color="auto"/>
          </w:divBdr>
          <w:divsChild>
            <w:div w:id="1073895459">
              <w:marLeft w:val="0"/>
              <w:marRight w:val="0"/>
              <w:marTop w:val="0"/>
              <w:marBottom w:val="0"/>
              <w:divBdr>
                <w:top w:val="none" w:sz="0" w:space="0" w:color="auto"/>
                <w:left w:val="none" w:sz="0" w:space="0" w:color="auto"/>
                <w:bottom w:val="none" w:sz="0" w:space="0" w:color="auto"/>
                <w:right w:val="none" w:sz="0" w:space="0" w:color="auto"/>
              </w:divBdr>
            </w:div>
          </w:divsChild>
        </w:div>
        <w:div w:id="2022927093">
          <w:marLeft w:val="0"/>
          <w:marRight w:val="0"/>
          <w:marTop w:val="0"/>
          <w:marBottom w:val="0"/>
          <w:divBdr>
            <w:top w:val="none" w:sz="0" w:space="0" w:color="auto"/>
            <w:left w:val="none" w:sz="0" w:space="0" w:color="auto"/>
            <w:bottom w:val="none" w:sz="0" w:space="0" w:color="auto"/>
            <w:right w:val="none" w:sz="0" w:space="0" w:color="auto"/>
          </w:divBdr>
          <w:divsChild>
            <w:div w:id="319769431">
              <w:marLeft w:val="0"/>
              <w:marRight w:val="0"/>
              <w:marTop w:val="0"/>
              <w:marBottom w:val="0"/>
              <w:divBdr>
                <w:top w:val="none" w:sz="0" w:space="0" w:color="auto"/>
                <w:left w:val="none" w:sz="0" w:space="0" w:color="auto"/>
                <w:bottom w:val="none" w:sz="0" w:space="0" w:color="auto"/>
                <w:right w:val="none" w:sz="0" w:space="0" w:color="auto"/>
              </w:divBdr>
            </w:div>
          </w:divsChild>
        </w:div>
        <w:div w:id="1435519454">
          <w:marLeft w:val="0"/>
          <w:marRight w:val="0"/>
          <w:marTop w:val="0"/>
          <w:marBottom w:val="0"/>
          <w:divBdr>
            <w:top w:val="none" w:sz="0" w:space="0" w:color="auto"/>
            <w:left w:val="none" w:sz="0" w:space="0" w:color="auto"/>
            <w:bottom w:val="none" w:sz="0" w:space="0" w:color="auto"/>
            <w:right w:val="none" w:sz="0" w:space="0" w:color="auto"/>
          </w:divBdr>
          <w:divsChild>
            <w:div w:id="1555392174">
              <w:marLeft w:val="0"/>
              <w:marRight w:val="0"/>
              <w:marTop w:val="0"/>
              <w:marBottom w:val="0"/>
              <w:divBdr>
                <w:top w:val="none" w:sz="0" w:space="0" w:color="auto"/>
                <w:left w:val="none" w:sz="0" w:space="0" w:color="auto"/>
                <w:bottom w:val="none" w:sz="0" w:space="0" w:color="auto"/>
                <w:right w:val="none" w:sz="0" w:space="0" w:color="auto"/>
              </w:divBdr>
            </w:div>
          </w:divsChild>
        </w:div>
        <w:div w:id="2126145207">
          <w:marLeft w:val="0"/>
          <w:marRight w:val="0"/>
          <w:marTop w:val="0"/>
          <w:marBottom w:val="0"/>
          <w:divBdr>
            <w:top w:val="none" w:sz="0" w:space="0" w:color="auto"/>
            <w:left w:val="none" w:sz="0" w:space="0" w:color="auto"/>
            <w:bottom w:val="none" w:sz="0" w:space="0" w:color="auto"/>
            <w:right w:val="none" w:sz="0" w:space="0" w:color="auto"/>
          </w:divBdr>
          <w:divsChild>
            <w:div w:id="1611552037">
              <w:marLeft w:val="0"/>
              <w:marRight w:val="0"/>
              <w:marTop w:val="0"/>
              <w:marBottom w:val="0"/>
              <w:divBdr>
                <w:top w:val="none" w:sz="0" w:space="0" w:color="auto"/>
                <w:left w:val="none" w:sz="0" w:space="0" w:color="auto"/>
                <w:bottom w:val="none" w:sz="0" w:space="0" w:color="auto"/>
                <w:right w:val="none" w:sz="0" w:space="0" w:color="auto"/>
              </w:divBdr>
            </w:div>
          </w:divsChild>
        </w:div>
        <w:div w:id="28923352">
          <w:marLeft w:val="0"/>
          <w:marRight w:val="0"/>
          <w:marTop w:val="0"/>
          <w:marBottom w:val="0"/>
          <w:divBdr>
            <w:top w:val="none" w:sz="0" w:space="0" w:color="auto"/>
            <w:left w:val="none" w:sz="0" w:space="0" w:color="auto"/>
            <w:bottom w:val="none" w:sz="0" w:space="0" w:color="auto"/>
            <w:right w:val="none" w:sz="0" w:space="0" w:color="auto"/>
          </w:divBdr>
          <w:divsChild>
            <w:div w:id="784278314">
              <w:marLeft w:val="0"/>
              <w:marRight w:val="0"/>
              <w:marTop w:val="0"/>
              <w:marBottom w:val="0"/>
              <w:divBdr>
                <w:top w:val="none" w:sz="0" w:space="0" w:color="auto"/>
                <w:left w:val="none" w:sz="0" w:space="0" w:color="auto"/>
                <w:bottom w:val="none" w:sz="0" w:space="0" w:color="auto"/>
                <w:right w:val="none" w:sz="0" w:space="0" w:color="auto"/>
              </w:divBdr>
            </w:div>
          </w:divsChild>
        </w:div>
        <w:div w:id="1498574013">
          <w:marLeft w:val="0"/>
          <w:marRight w:val="0"/>
          <w:marTop w:val="0"/>
          <w:marBottom w:val="0"/>
          <w:divBdr>
            <w:top w:val="none" w:sz="0" w:space="0" w:color="auto"/>
            <w:left w:val="none" w:sz="0" w:space="0" w:color="auto"/>
            <w:bottom w:val="none" w:sz="0" w:space="0" w:color="auto"/>
            <w:right w:val="none" w:sz="0" w:space="0" w:color="auto"/>
          </w:divBdr>
          <w:divsChild>
            <w:div w:id="1483699464">
              <w:marLeft w:val="0"/>
              <w:marRight w:val="0"/>
              <w:marTop w:val="0"/>
              <w:marBottom w:val="0"/>
              <w:divBdr>
                <w:top w:val="none" w:sz="0" w:space="0" w:color="auto"/>
                <w:left w:val="none" w:sz="0" w:space="0" w:color="auto"/>
                <w:bottom w:val="none" w:sz="0" w:space="0" w:color="auto"/>
                <w:right w:val="none" w:sz="0" w:space="0" w:color="auto"/>
              </w:divBdr>
            </w:div>
          </w:divsChild>
        </w:div>
        <w:div w:id="2061123669">
          <w:marLeft w:val="0"/>
          <w:marRight w:val="0"/>
          <w:marTop w:val="0"/>
          <w:marBottom w:val="0"/>
          <w:divBdr>
            <w:top w:val="none" w:sz="0" w:space="0" w:color="auto"/>
            <w:left w:val="none" w:sz="0" w:space="0" w:color="auto"/>
            <w:bottom w:val="none" w:sz="0" w:space="0" w:color="auto"/>
            <w:right w:val="none" w:sz="0" w:space="0" w:color="auto"/>
          </w:divBdr>
          <w:divsChild>
            <w:div w:id="624428866">
              <w:marLeft w:val="0"/>
              <w:marRight w:val="0"/>
              <w:marTop w:val="0"/>
              <w:marBottom w:val="0"/>
              <w:divBdr>
                <w:top w:val="none" w:sz="0" w:space="0" w:color="auto"/>
                <w:left w:val="none" w:sz="0" w:space="0" w:color="auto"/>
                <w:bottom w:val="none" w:sz="0" w:space="0" w:color="auto"/>
                <w:right w:val="none" w:sz="0" w:space="0" w:color="auto"/>
              </w:divBdr>
            </w:div>
          </w:divsChild>
        </w:div>
        <w:div w:id="305597818">
          <w:marLeft w:val="0"/>
          <w:marRight w:val="0"/>
          <w:marTop w:val="0"/>
          <w:marBottom w:val="0"/>
          <w:divBdr>
            <w:top w:val="none" w:sz="0" w:space="0" w:color="auto"/>
            <w:left w:val="none" w:sz="0" w:space="0" w:color="auto"/>
            <w:bottom w:val="none" w:sz="0" w:space="0" w:color="auto"/>
            <w:right w:val="none" w:sz="0" w:space="0" w:color="auto"/>
          </w:divBdr>
          <w:divsChild>
            <w:div w:id="353961898">
              <w:marLeft w:val="0"/>
              <w:marRight w:val="0"/>
              <w:marTop w:val="0"/>
              <w:marBottom w:val="0"/>
              <w:divBdr>
                <w:top w:val="none" w:sz="0" w:space="0" w:color="auto"/>
                <w:left w:val="none" w:sz="0" w:space="0" w:color="auto"/>
                <w:bottom w:val="none" w:sz="0" w:space="0" w:color="auto"/>
                <w:right w:val="none" w:sz="0" w:space="0" w:color="auto"/>
              </w:divBdr>
            </w:div>
          </w:divsChild>
        </w:div>
        <w:div w:id="1414738946">
          <w:marLeft w:val="0"/>
          <w:marRight w:val="0"/>
          <w:marTop w:val="0"/>
          <w:marBottom w:val="0"/>
          <w:divBdr>
            <w:top w:val="none" w:sz="0" w:space="0" w:color="auto"/>
            <w:left w:val="none" w:sz="0" w:space="0" w:color="auto"/>
            <w:bottom w:val="none" w:sz="0" w:space="0" w:color="auto"/>
            <w:right w:val="none" w:sz="0" w:space="0" w:color="auto"/>
          </w:divBdr>
          <w:divsChild>
            <w:div w:id="2087333970">
              <w:marLeft w:val="0"/>
              <w:marRight w:val="0"/>
              <w:marTop w:val="0"/>
              <w:marBottom w:val="0"/>
              <w:divBdr>
                <w:top w:val="none" w:sz="0" w:space="0" w:color="auto"/>
                <w:left w:val="none" w:sz="0" w:space="0" w:color="auto"/>
                <w:bottom w:val="none" w:sz="0" w:space="0" w:color="auto"/>
                <w:right w:val="none" w:sz="0" w:space="0" w:color="auto"/>
              </w:divBdr>
            </w:div>
          </w:divsChild>
        </w:div>
        <w:div w:id="1067411449">
          <w:marLeft w:val="0"/>
          <w:marRight w:val="0"/>
          <w:marTop w:val="0"/>
          <w:marBottom w:val="0"/>
          <w:divBdr>
            <w:top w:val="none" w:sz="0" w:space="0" w:color="auto"/>
            <w:left w:val="none" w:sz="0" w:space="0" w:color="auto"/>
            <w:bottom w:val="none" w:sz="0" w:space="0" w:color="auto"/>
            <w:right w:val="none" w:sz="0" w:space="0" w:color="auto"/>
          </w:divBdr>
          <w:divsChild>
            <w:div w:id="1456868811">
              <w:marLeft w:val="0"/>
              <w:marRight w:val="0"/>
              <w:marTop w:val="0"/>
              <w:marBottom w:val="0"/>
              <w:divBdr>
                <w:top w:val="none" w:sz="0" w:space="0" w:color="auto"/>
                <w:left w:val="none" w:sz="0" w:space="0" w:color="auto"/>
                <w:bottom w:val="none" w:sz="0" w:space="0" w:color="auto"/>
                <w:right w:val="none" w:sz="0" w:space="0" w:color="auto"/>
              </w:divBdr>
            </w:div>
          </w:divsChild>
        </w:div>
        <w:div w:id="195969155">
          <w:marLeft w:val="0"/>
          <w:marRight w:val="0"/>
          <w:marTop w:val="0"/>
          <w:marBottom w:val="0"/>
          <w:divBdr>
            <w:top w:val="none" w:sz="0" w:space="0" w:color="auto"/>
            <w:left w:val="none" w:sz="0" w:space="0" w:color="auto"/>
            <w:bottom w:val="none" w:sz="0" w:space="0" w:color="auto"/>
            <w:right w:val="none" w:sz="0" w:space="0" w:color="auto"/>
          </w:divBdr>
          <w:divsChild>
            <w:div w:id="1635136496">
              <w:marLeft w:val="0"/>
              <w:marRight w:val="0"/>
              <w:marTop w:val="0"/>
              <w:marBottom w:val="0"/>
              <w:divBdr>
                <w:top w:val="none" w:sz="0" w:space="0" w:color="auto"/>
                <w:left w:val="none" w:sz="0" w:space="0" w:color="auto"/>
                <w:bottom w:val="none" w:sz="0" w:space="0" w:color="auto"/>
                <w:right w:val="none" w:sz="0" w:space="0" w:color="auto"/>
              </w:divBdr>
            </w:div>
          </w:divsChild>
        </w:div>
        <w:div w:id="1726220521">
          <w:marLeft w:val="0"/>
          <w:marRight w:val="0"/>
          <w:marTop w:val="0"/>
          <w:marBottom w:val="0"/>
          <w:divBdr>
            <w:top w:val="none" w:sz="0" w:space="0" w:color="auto"/>
            <w:left w:val="none" w:sz="0" w:space="0" w:color="auto"/>
            <w:bottom w:val="none" w:sz="0" w:space="0" w:color="auto"/>
            <w:right w:val="none" w:sz="0" w:space="0" w:color="auto"/>
          </w:divBdr>
          <w:divsChild>
            <w:div w:id="57215523">
              <w:marLeft w:val="0"/>
              <w:marRight w:val="0"/>
              <w:marTop w:val="0"/>
              <w:marBottom w:val="0"/>
              <w:divBdr>
                <w:top w:val="none" w:sz="0" w:space="0" w:color="auto"/>
                <w:left w:val="none" w:sz="0" w:space="0" w:color="auto"/>
                <w:bottom w:val="none" w:sz="0" w:space="0" w:color="auto"/>
                <w:right w:val="none" w:sz="0" w:space="0" w:color="auto"/>
              </w:divBdr>
            </w:div>
          </w:divsChild>
        </w:div>
        <w:div w:id="917592690">
          <w:marLeft w:val="0"/>
          <w:marRight w:val="0"/>
          <w:marTop w:val="0"/>
          <w:marBottom w:val="0"/>
          <w:divBdr>
            <w:top w:val="none" w:sz="0" w:space="0" w:color="auto"/>
            <w:left w:val="none" w:sz="0" w:space="0" w:color="auto"/>
            <w:bottom w:val="none" w:sz="0" w:space="0" w:color="auto"/>
            <w:right w:val="none" w:sz="0" w:space="0" w:color="auto"/>
          </w:divBdr>
          <w:divsChild>
            <w:div w:id="1805538868">
              <w:marLeft w:val="0"/>
              <w:marRight w:val="0"/>
              <w:marTop w:val="0"/>
              <w:marBottom w:val="0"/>
              <w:divBdr>
                <w:top w:val="none" w:sz="0" w:space="0" w:color="auto"/>
                <w:left w:val="none" w:sz="0" w:space="0" w:color="auto"/>
                <w:bottom w:val="none" w:sz="0" w:space="0" w:color="auto"/>
                <w:right w:val="none" w:sz="0" w:space="0" w:color="auto"/>
              </w:divBdr>
            </w:div>
          </w:divsChild>
        </w:div>
        <w:div w:id="819882132">
          <w:marLeft w:val="0"/>
          <w:marRight w:val="0"/>
          <w:marTop w:val="0"/>
          <w:marBottom w:val="0"/>
          <w:divBdr>
            <w:top w:val="none" w:sz="0" w:space="0" w:color="auto"/>
            <w:left w:val="none" w:sz="0" w:space="0" w:color="auto"/>
            <w:bottom w:val="none" w:sz="0" w:space="0" w:color="auto"/>
            <w:right w:val="none" w:sz="0" w:space="0" w:color="auto"/>
          </w:divBdr>
          <w:divsChild>
            <w:div w:id="1726829772">
              <w:marLeft w:val="0"/>
              <w:marRight w:val="0"/>
              <w:marTop w:val="0"/>
              <w:marBottom w:val="0"/>
              <w:divBdr>
                <w:top w:val="none" w:sz="0" w:space="0" w:color="auto"/>
                <w:left w:val="none" w:sz="0" w:space="0" w:color="auto"/>
                <w:bottom w:val="none" w:sz="0" w:space="0" w:color="auto"/>
                <w:right w:val="none" w:sz="0" w:space="0" w:color="auto"/>
              </w:divBdr>
            </w:div>
          </w:divsChild>
        </w:div>
        <w:div w:id="1838182551">
          <w:marLeft w:val="0"/>
          <w:marRight w:val="0"/>
          <w:marTop w:val="0"/>
          <w:marBottom w:val="0"/>
          <w:divBdr>
            <w:top w:val="none" w:sz="0" w:space="0" w:color="auto"/>
            <w:left w:val="none" w:sz="0" w:space="0" w:color="auto"/>
            <w:bottom w:val="none" w:sz="0" w:space="0" w:color="auto"/>
            <w:right w:val="none" w:sz="0" w:space="0" w:color="auto"/>
          </w:divBdr>
          <w:divsChild>
            <w:div w:id="245575773">
              <w:marLeft w:val="0"/>
              <w:marRight w:val="0"/>
              <w:marTop w:val="0"/>
              <w:marBottom w:val="0"/>
              <w:divBdr>
                <w:top w:val="none" w:sz="0" w:space="0" w:color="auto"/>
                <w:left w:val="none" w:sz="0" w:space="0" w:color="auto"/>
                <w:bottom w:val="none" w:sz="0" w:space="0" w:color="auto"/>
                <w:right w:val="none" w:sz="0" w:space="0" w:color="auto"/>
              </w:divBdr>
            </w:div>
          </w:divsChild>
        </w:div>
        <w:div w:id="337923161">
          <w:marLeft w:val="0"/>
          <w:marRight w:val="0"/>
          <w:marTop w:val="0"/>
          <w:marBottom w:val="0"/>
          <w:divBdr>
            <w:top w:val="none" w:sz="0" w:space="0" w:color="auto"/>
            <w:left w:val="none" w:sz="0" w:space="0" w:color="auto"/>
            <w:bottom w:val="none" w:sz="0" w:space="0" w:color="auto"/>
            <w:right w:val="none" w:sz="0" w:space="0" w:color="auto"/>
          </w:divBdr>
          <w:divsChild>
            <w:div w:id="19616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0480">
      <w:bodyDiv w:val="1"/>
      <w:marLeft w:val="0"/>
      <w:marRight w:val="0"/>
      <w:marTop w:val="0"/>
      <w:marBottom w:val="0"/>
      <w:divBdr>
        <w:top w:val="none" w:sz="0" w:space="0" w:color="auto"/>
        <w:left w:val="none" w:sz="0" w:space="0" w:color="auto"/>
        <w:bottom w:val="none" w:sz="0" w:space="0" w:color="auto"/>
        <w:right w:val="none" w:sz="0" w:space="0" w:color="auto"/>
      </w:divBdr>
    </w:div>
    <w:div w:id="1702826862">
      <w:bodyDiv w:val="1"/>
      <w:marLeft w:val="0"/>
      <w:marRight w:val="0"/>
      <w:marTop w:val="0"/>
      <w:marBottom w:val="0"/>
      <w:divBdr>
        <w:top w:val="none" w:sz="0" w:space="0" w:color="auto"/>
        <w:left w:val="none" w:sz="0" w:space="0" w:color="auto"/>
        <w:bottom w:val="none" w:sz="0" w:space="0" w:color="auto"/>
        <w:right w:val="none" w:sz="0" w:space="0" w:color="auto"/>
      </w:divBdr>
    </w:div>
    <w:div w:id="1705014843">
      <w:bodyDiv w:val="1"/>
      <w:marLeft w:val="0"/>
      <w:marRight w:val="0"/>
      <w:marTop w:val="0"/>
      <w:marBottom w:val="0"/>
      <w:divBdr>
        <w:top w:val="none" w:sz="0" w:space="0" w:color="auto"/>
        <w:left w:val="none" w:sz="0" w:space="0" w:color="auto"/>
        <w:bottom w:val="none" w:sz="0" w:space="0" w:color="auto"/>
        <w:right w:val="none" w:sz="0" w:space="0" w:color="auto"/>
      </w:divBdr>
    </w:div>
    <w:div w:id="1710911830">
      <w:bodyDiv w:val="1"/>
      <w:marLeft w:val="0"/>
      <w:marRight w:val="0"/>
      <w:marTop w:val="0"/>
      <w:marBottom w:val="0"/>
      <w:divBdr>
        <w:top w:val="none" w:sz="0" w:space="0" w:color="auto"/>
        <w:left w:val="none" w:sz="0" w:space="0" w:color="auto"/>
        <w:bottom w:val="none" w:sz="0" w:space="0" w:color="auto"/>
        <w:right w:val="none" w:sz="0" w:space="0" w:color="auto"/>
      </w:divBdr>
    </w:div>
    <w:div w:id="1712998121">
      <w:bodyDiv w:val="1"/>
      <w:marLeft w:val="0"/>
      <w:marRight w:val="0"/>
      <w:marTop w:val="0"/>
      <w:marBottom w:val="0"/>
      <w:divBdr>
        <w:top w:val="none" w:sz="0" w:space="0" w:color="auto"/>
        <w:left w:val="none" w:sz="0" w:space="0" w:color="auto"/>
        <w:bottom w:val="none" w:sz="0" w:space="0" w:color="auto"/>
        <w:right w:val="none" w:sz="0" w:space="0" w:color="auto"/>
      </w:divBdr>
    </w:div>
    <w:div w:id="1719234555">
      <w:bodyDiv w:val="1"/>
      <w:marLeft w:val="0"/>
      <w:marRight w:val="0"/>
      <w:marTop w:val="0"/>
      <w:marBottom w:val="0"/>
      <w:divBdr>
        <w:top w:val="none" w:sz="0" w:space="0" w:color="auto"/>
        <w:left w:val="none" w:sz="0" w:space="0" w:color="auto"/>
        <w:bottom w:val="none" w:sz="0" w:space="0" w:color="auto"/>
        <w:right w:val="none" w:sz="0" w:space="0" w:color="auto"/>
      </w:divBdr>
    </w:div>
    <w:div w:id="1731535106">
      <w:bodyDiv w:val="1"/>
      <w:marLeft w:val="0"/>
      <w:marRight w:val="0"/>
      <w:marTop w:val="0"/>
      <w:marBottom w:val="0"/>
      <w:divBdr>
        <w:top w:val="none" w:sz="0" w:space="0" w:color="auto"/>
        <w:left w:val="none" w:sz="0" w:space="0" w:color="auto"/>
        <w:bottom w:val="none" w:sz="0" w:space="0" w:color="auto"/>
        <w:right w:val="none" w:sz="0" w:space="0" w:color="auto"/>
      </w:divBdr>
    </w:div>
    <w:div w:id="1733192095">
      <w:bodyDiv w:val="1"/>
      <w:marLeft w:val="0"/>
      <w:marRight w:val="0"/>
      <w:marTop w:val="0"/>
      <w:marBottom w:val="0"/>
      <w:divBdr>
        <w:top w:val="none" w:sz="0" w:space="0" w:color="auto"/>
        <w:left w:val="none" w:sz="0" w:space="0" w:color="auto"/>
        <w:bottom w:val="none" w:sz="0" w:space="0" w:color="auto"/>
        <w:right w:val="none" w:sz="0" w:space="0" w:color="auto"/>
      </w:divBdr>
    </w:div>
    <w:div w:id="1733306486">
      <w:bodyDiv w:val="1"/>
      <w:marLeft w:val="0"/>
      <w:marRight w:val="0"/>
      <w:marTop w:val="0"/>
      <w:marBottom w:val="0"/>
      <w:divBdr>
        <w:top w:val="none" w:sz="0" w:space="0" w:color="auto"/>
        <w:left w:val="none" w:sz="0" w:space="0" w:color="auto"/>
        <w:bottom w:val="none" w:sz="0" w:space="0" w:color="auto"/>
        <w:right w:val="none" w:sz="0" w:space="0" w:color="auto"/>
      </w:divBdr>
    </w:div>
    <w:div w:id="1733427869">
      <w:bodyDiv w:val="1"/>
      <w:marLeft w:val="0"/>
      <w:marRight w:val="0"/>
      <w:marTop w:val="0"/>
      <w:marBottom w:val="0"/>
      <w:divBdr>
        <w:top w:val="none" w:sz="0" w:space="0" w:color="auto"/>
        <w:left w:val="none" w:sz="0" w:space="0" w:color="auto"/>
        <w:bottom w:val="none" w:sz="0" w:space="0" w:color="auto"/>
        <w:right w:val="none" w:sz="0" w:space="0" w:color="auto"/>
      </w:divBdr>
    </w:div>
    <w:div w:id="1737774785">
      <w:bodyDiv w:val="1"/>
      <w:marLeft w:val="0"/>
      <w:marRight w:val="0"/>
      <w:marTop w:val="0"/>
      <w:marBottom w:val="0"/>
      <w:divBdr>
        <w:top w:val="none" w:sz="0" w:space="0" w:color="auto"/>
        <w:left w:val="none" w:sz="0" w:space="0" w:color="auto"/>
        <w:bottom w:val="none" w:sz="0" w:space="0" w:color="auto"/>
        <w:right w:val="none" w:sz="0" w:space="0" w:color="auto"/>
      </w:divBdr>
    </w:div>
    <w:div w:id="1739861173">
      <w:bodyDiv w:val="1"/>
      <w:marLeft w:val="0"/>
      <w:marRight w:val="0"/>
      <w:marTop w:val="0"/>
      <w:marBottom w:val="0"/>
      <w:divBdr>
        <w:top w:val="none" w:sz="0" w:space="0" w:color="auto"/>
        <w:left w:val="none" w:sz="0" w:space="0" w:color="auto"/>
        <w:bottom w:val="none" w:sz="0" w:space="0" w:color="auto"/>
        <w:right w:val="none" w:sz="0" w:space="0" w:color="auto"/>
      </w:divBdr>
    </w:div>
    <w:div w:id="1741824961">
      <w:bodyDiv w:val="1"/>
      <w:marLeft w:val="0"/>
      <w:marRight w:val="0"/>
      <w:marTop w:val="0"/>
      <w:marBottom w:val="0"/>
      <w:divBdr>
        <w:top w:val="none" w:sz="0" w:space="0" w:color="auto"/>
        <w:left w:val="none" w:sz="0" w:space="0" w:color="auto"/>
        <w:bottom w:val="none" w:sz="0" w:space="0" w:color="auto"/>
        <w:right w:val="none" w:sz="0" w:space="0" w:color="auto"/>
      </w:divBdr>
    </w:div>
    <w:div w:id="1743944739">
      <w:bodyDiv w:val="1"/>
      <w:marLeft w:val="0"/>
      <w:marRight w:val="0"/>
      <w:marTop w:val="0"/>
      <w:marBottom w:val="0"/>
      <w:divBdr>
        <w:top w:val="none" w:sz="0" w:space="0" w:color="auto"/>
        <w:left w:val="none" w:sz="0" w:space="0" w:color="auto"/>
        <w:bottom w:val="none" w:sz="0" w:space="0" w:color="auto"/>
        <w:right w:val="none" w:sz="0" w:space="0" w:color="auto"/>
      </w:divBdr>
    </w:div>
    <w:div w:id="1745183175">
      <w:bodyDiv w:val="1"/>
      <w:marLeft w:val="0"/>
      <w:marRight w:val="0"/>
      <w:marTop w:val="0"/>
      <w:marBottom w:val="0"/>
      <w:divBdr>
        <w:top w:val="none" w:sz="0" w:space="0" w:color="auto"/>
        <w:left w:val="none" w:sz="0" w:space="0" w:color="auto"/>
        <w:bottom w:val="none" w:sz="0" w:space="0" w:color="auto"/>
        <w:right w:val="none" w:sz="0" w:space="0" w:color="auto"/>
      </w:divBdr>
    </w:div>
    <w:div w:id="1754010555">
      <w:bodyDiv w:val="1"/>
      <w:marLeft w:val="0"/>
      <w:marRight w:val="0"/>
      <w:marTop w:val="0"/>
      <w:marBottom w:val="0"/>
      <w:divBdr>
        <w:top w:val="none" w:sz="0" w:space="0" w:color="auto"/>
        <w:left w:val="none" w:sz="0" w:space="0" w:color="auto"/>
        <w:bottom w:val="none" w:sz="0" w:space="0" w:color="auto"/>
        <w:right w:val="none" w:sz="0" w:space="0" w:color="auto"/>
      </w:divBdr>
    </w:div>
    <w:div w:id="1763527273">
      <w:bodyDiv w:val="1"/>
      <w:marLeft w:val="0"/>
      <w:marRight w:val="0"/>
      <w:marTop w:val="0"/>
      <w:marBottom w:val="0"/>
      <w:divBdr>
        <w:top w:val="none" w:sz="0" w:space="0" w:color="auto"/>
        <w:left w:val="none" w:sz="0" w:space="0" w:color="auto"/>
        <w:bottom w:val="none" w:sz="0" w:space="0" w:color="auto"/>
        <w:right w:val="none" w:sz="0" w:space="0" w:color="auto"/>
      </w:divBdr>
    </w:div>
    <w:div w:id="1766799948">
      <w:bodyDiv w:val="1"/>
      <w:marLeft w:val="0"/>
      <w:marRight w:val="0"/>
      <w:marTop w:val="0"/>
      <w:marBottom w:val="0"/>
      <w:divBdr>
        <w:top w:val="none" w:sz="0" w:space="0" w:color="auto"/>
        <w:left w:val="none" w:sz="0" w:space="0" w:color="auto"/>
        <w:bottom w:val="none" w:sz="0" w:space="0" w:color="auto"/>
        <w:right w:val="none" w:sz="0" w:space="0" w:color="auto"/>
      </w:divBdr>
    </w:div>
    <w:div w:id="1769081745">
      <w:bodyDiv w:val="1"/>
      <w:marLeft w:val="0"/>
      <w:marRight w:val="0"/>
      <w:marTop w:val="0"/>
      <w:marBottom w:val="0"/>
      <w:divBdr>
        <w:top w:val="none" w:sz="0" w:space="0" w:color="auto"/>
        <w:left w:val="none" w:sz="0" w:space="0" w:color="auto"/>
        <w:bottom w:val="none" w:sz="0" w:space="0" w:color="auto"/>
        <w:right w:val="none" w:sz="0" w:space="0" w:color="auto"/>
      </w:divBdr>
    </w:div>
    <w:div w:id="1769696412">
      <w:bodyDiv w:val="1"/>
      <w:marLeft w:val="0"/>
      <w:marRight w:val="0"/>
      <w:marTop w:val="0"/>
      <w:marBottom w:val="0"/>
      <w:divBdr>
        <w:top w:val="none" w:sz="0" w:space="0" w:color="auto"/>
        <w:left w:val="none" w:sz="0" w:space="0" w:color="auto"/>
        <w:bottom w:val="none" w:sz="0" w:space="0" w:color="auto"/>
        <w:right w:val="none" w:sz="0" w:space="0" w:color="auto"/>
      </w:divBdr>
    </w:div>
    <w:div w:id="1780489736">
      <w:bodyDiv w:val="1"/>
      <w:marLeft w:val="0"/>
      <w:marRight w:val="0"/>
      <w:marTop w:val="0"/>
      <w:marBottom w:val="0"/>
      <w:divBdr>
        <w:top w:val="none" w:sz="0" w:space="0" w:color="auto"/>
        <w:left w:val="none" w:sz="0" w:space="0" w:color="auto"/>
        <w:bottom w:val="none" w:sz="0" w:space="0" w:color="auto"/>
        <w:right w:val="none" w:sz="0" w:space="0" w:color="auto"/>
      </w:divBdr>
    </w:div>
    <w:div w:id="1782410977">
      <w:bodyDiv w:val="1"/>
      <w:marLeft w:val="0"/>
      <w:marRight w:val="0"/>
      <w:marTop w:val="0"/>
      <w:marBottom w:val="0"/>
      <w:divBdr>
        <w:top w:val="none" w:sz="0" w:space="0" w:color="auto"/>
        <w:left w:val="none" w:sz="0" w:space="0" w:color="auto"/>
        <w:bottom w:val="none" w:sz="0" w:space="0" w:color="auto"/>
        <w:right w:val="none" w:sz="0" w:space="0" w:color="auto"/>
      </w:divBdr>
    </w:div>
    <w:div w:id="1784959802">
      <w:bodyDiv w:val="1"/>
      <w:marLeft w:val="0"/>
      <w:marRight w:val="0"/>
      <w:marTop w:val="0"/>
      <w:marBottom w:val="0"/>
      <w:divBdr>
        <w:top w:val="none" w:sz="0" w:space="0" w:color="auto"/>
        <w:left w:val="none" w:sz="0" w:space="0" w:color="auto"/>
        <w:bottom w:val="none" w:sz="0" w:space="0" w:color="auto"/>
        <w:right w:val="none" w:sz="0" w:space="0" w:color="auto"/>
      </w:divBdr>
    </w:div>
    <w:div w:id="1786264953">
      <w:bodyDiv w:val="1"/>
      <w:marLeft w:val="0"/>
      <w:marRight w:val="0"/>
      <w:marTop w:val="0"/>
      <w:marBottom w:val="0"/>
      <w:divBdr>
        <w:top w:val="none" w:sz="0" w:space="0" w:color="auto"/>
        <w:left w:val="none" w:sz="0" w:space="0" w:color="auto"/>
        <w:bottom w:val="none" w:sz="0" w:space="0" w:color="auto"/>
        <w:right w:val="none" w:sz="0" w:space="0" w:color="auto"/>
      </w:divBdr>
    </w:div>
    <w:div w:id="1792237508">
      <w:bodyDiv w:val="1"/>
      <w:marLeft w:val="0"/>
      <w:marRight w:val="0"/>
      <w:marTop w:val="0"/>
      <w:marBottom w:val="0"/>
      <w:divBdr>
        <w:top w:val="none" w:sz="0" w:space="0" w:color="auto"/>
        <w:left w:val="none" w:sz="0" w:space="0" w:color="auto"/>
        <w:bottom w:val="none" w:sz="0" w:space="0" w:color="auto"/>
        <w:right w:val="none" w:sz="0" w:space="0" w:color="auto"/>
      </w:divBdr>
    </w:div>
    <w:div w:id="1796482438">
      <w:bodyDiv w:val="1"/>
      <w:marLeft w:val="0"/>
      <w:marRight w:val="0"/>
      <w:marTop w:val="0"/>
      <w:marBottom w:val="0"/>
      <w:divBdr>
        <w:top w:val="none" w:sz="0" w:space="0" w:color="auto"/>
        <w:left w:val="none" w:sz="0" w:space="0" w:color="auto"/>
        <w:bottom w:val="none" w:sz="0" w:space="0" w:color="auto"/>
        <w:right w:val="none" w:sz="0" w:space="0" w:color="auto"/>
      </w:divBdr>
    </w:div>
    <w:div w:id="1799253198">
      <w:bodyDiv w:val="1"/>
      <w:marLeft w:val="0"/>
      <w:marRight w:val="0"/>
      <w:marTop w:val="0"/>
      <w:marBottom w:val="0"/>
      <w:divBdr>
        <w:top w:val="none" w:sz="0" w:space="0" w:color="auto"/>
        <w:left w:val="none" w:sz="0" w:space="0" w:color="auto"/>
        <w:bottom w:val="none" w:sz="0" w:space="0" w:color="auto"/>
        <w:right w:val="none" w:sz="0" w:space="0" w:color="auto"/>
      </w:divBdr>
    </w:div>
    <w:div w:id="1802334760">
      <w:bodyDiv w:val="1"/>
      <w:marLeft w:val="0"/>
      <w:marRight w:val="0"/>
      <w:marTop w:val="0"/>
      <w:marBottom w:val="0"/>
      <w:divBdr>
        <w:top w:val="none" w:sz="0" w:space="0" w:color="auto"/>
        <w:left w:val="none" w:sz="0" w:space="0" w:color="auto"/>
        <w:bottom w:val="none" w:sz="0" w:space="0" w:color="auto"/>
        <w:right w:val="none" w:sz="0" w:space="0" w:color="auto"/>
      </w:divBdr>
    </w:div>
    <w:div w:id="1804033047">
      <w:bodyDiv w:val="1"/>
      <w:marLeft w:val="0"/>
      <w:marRight w:val="0"/>
      <w:marTop w:val="0"/>
      <w:marBottom w:val="0"/>
      <w:divBdr>
        <w:top w:val="none" w:sz="0" w:space="0" w:color="auto"/>
        <w:left w:val="none" w:sz="0" w:space="0" w:color="auto"/>
        <w:bottom w:val="none" w:sz="0" w:space="0" w:color="auto"/>
        <w:right w:val="none" w:sz="0" w:space="0" w:color="auto"/>
      </w:divBdr>
    </w:div>
    <w:div w:id="1807627689">
      <w:bodyDiv w:val="1"/>
      <w:marLeft w:val="0"/>
      <w:marRight w:val="0"/>
      <w:marTop w:val="0"/>
      <w:marBottom w:val="0"/>
      <w:divBdr>
        <w:top w:val="none" w:sz="0" w:space="0" w:color="auto"/>
        <w:left w:val="none" w:sz="0" w:space="0" w:color="auto"/>
        <w:bottom w:val="none" w:sz="0" w:space="0" w:color="auto"/>
        <w:right w:val="none" w:sz="0" w:space="0" w:color="auto"/>
      </w:divBdr>
    </w:div>
    <w:div w:id="1809861921">
      <w:bodyDiv w:val="1"/>
      <w:marLeft w:val="0"/>
      <w:marRight w:val="0"/>
      <w:marTop w:val="0"/>
      <w:marBottom w:val="0"/>
      <w:divBdr>
        <w:top w:val="none" w:sz="0" w:space="0" w:color="auto"/>
        <w:left w:val="none" w:sz="0" w:space="0" w:color="auto"/>
        <w:bottom w:val="none" w:sz="0" w:space="0" w:color="auto"/>
        <w:right w:val="none" w:sz="0" w:space="0" w:color="auto"/>
      </w:divBdr>
    </w:div>
    <w:div w:id="1809974136">
      <w:bodyDiv w:val="1"/>
      <w:marLeft w:val="0"/>
      <w:marRight w:val="0"/>
      <w:marTop w:val="0"/>
      <w:marBottom w:val="0"/>
      <w:divBdr>
        <w:top w:val="none" w:sz="0" w:space="0" w:color="auto"/>
        <w:left w:val="none" w:sz="0" w:space="0" w:color="auto"/>
        <w:bottom w:val="none" w:sz="0" w:space="0" w:color="auto"/>
        <w:right w:val="none" w:sz="0" w:space="0" w:color="auto"/>
      </w:divBdr>
    </w:div>
    <w:div w:id="1813255055">
      <w:bodyDiv w:val="1"/>
      <w:marLeft w:val="0"/>
      <w:marRight w:val="0"/>
      <w:marTop w:val="0"/>
      <w:marBottom w:val="0"/>
      <w:divBdr>
        <w:top w:val="none" w:sz="0" w:space="0" w:color="auto"/>
        <w:left w:val="none" w:sz="0" w:space="0" w:color="auto"/>
        <w:bottom w:val="none" w:sz="0" w:space="0" w:color="auto"/>
        <w:right w:val="none" w:sz="0" w:space="0" w:color="auto"/>
      </w:divBdr>
      <w:divsChild>
        <w:div w:id="1723947398">
          <w:marLeft w:val="0"/>
          <w:marRight w:val="0"/>
          <w:marTop w:val="0"/>
          <w:marBottom w:val="0"/>
          <w:divBdr>
            <w:top w:val="none" w:sz="0" w:space="0" w:color="auto"/>
            <w:left w:val="none" w:sz="0" w:space="0" w:color="auto"/>
            <w:bottom w:val="none" w:sz="0" w:space="0" w:color="auto"/>
            <w:right w:val="none" w:sz="0" w:space="0" w:color="auto"/>
          </w:divBdr>
          <w:divsChild>
            <w:div w:id="399451985">
              <w:marLeft w:val="0"/>
              <w:marRight w:val="0"/>
              <w:marTop w:val="0"/>
              <w:marBottom w:val="0"/>
              <w:divBdr>
                <w:top w:val="none" w:sz="0" w:space="0" w:color="auto"/>
                <w:left w:val="none" w:sz="0" w:space="0" w:color="auto"/>
                <w:bottom w:val="none" w:sz="0" w:space="0" w:color="auto"/>
                <w:right w:val="none" w:sz="0" w:space="0" w:color="auto"/>
              </w:divBdr>
            </w:div>
          </w:divsChild>
        </w:div>
        <w:div w:id="244264762">
          <w:marLeft w:val="0"/>
          <w:marRight w:val="0"/>
          <w:marTop w:val="0"/>
          <w:marBottom w:val="0"/>
          <w:divBdr>
            <w:top w:val="none" w:sz="0" w:space="0" w:color="auto"/>
            <w:left w:val="none" w:sz="0" w:space="0" w:color="auto"/>
            <w:bottom w:val="none" w:sz="0" w:space="0" w:color="auto"/>
            <w:right w:val="none" w:sz="0" w:space="0" w:color="auto"/>
          </w:divBdr>
          <w:divsChild>
            <w:div w:id="195890170">
              <w:marLeft w:val="0"/>
              <w:marRight w:val="0"/>
              <w:marTop w:val="0"/>
              <w:marBottom w:val="0"/>
              <w:divBdr>
                <w:top w:val="none" w:sz="0" w:space="0" w:color="auto"/>
                <w:left w:val="none" w:sz="0" w:space="0" w:color="auto"/>
                <w:bottom w:val="none" w:sz="0" w:space="0" w:color="auto"/>
                <w:right w:val="none" w:sz="0" w:space="0" w:color="auto"/>
              </w:divBdr>
            </w:div>
          </w:divsChild>
        </w:div>
        <w:div w:id="523205620">
          <w:marLeft w:val="0"/>
          <w:marRight w:val="0"/>
          <w:marTop w:val="0"/>
          <w:marBottom w:val="0"/>
          <w:divBdr>
            <w:top w:val="none" w:sz="0" w:space="0" w:color="auto"/>
            <w:left w:val="none" w:sz="0" w:space="0" w:color="auto"/>
            <w:bottom w:val="none" w:sz="0" w:space="0" w:color="auto"/>
            <w:right w:val="none" w:sz="0" w:space="0" w:color="auto"/>
          </w:divBdr>
          <w:divsChild>
            <w:div w:id="1465199036">
              <w:marLeft w:val="0"/>
              <w:marRight w:val="0"/>
              <w:marTop w:val="0"/>
              <w:marBottom w:val="0"/>
              <w:divBdr>
                <w:top w:val="none" w:sz="0" w:space="0" w:color="auto"/>
                <w:left w:val="none" w:sz="0" w:space="0" w:color="auto"/>
                <w:bottom w:val="none" w:sz="0" w:space="0" w:color="auto"/>
                <w:right w:val="none" w:sz="0" w:space="0" w:color="auto"/>
              </w:divBdr>
            </w:div>
          </w:divsChild>
        </w:div>
        <w:div w:id="1845782160">
          <w:marLeft w:val="0"/>
          <w:marRight w:val="0"/>
          <w:marTop w:val="0"/>
          <w:marBottom w:val="0"/>
          <w:divBdr>
            <w:top w:val="none" w:sz="0" w:space="0" w:color="auto"/>
            <w:left w:val="none" w:sz="0" w:space="0" w:color="auto"/>
            <w:bottom w:val="none" w:sz="0" w:space="0" w:color="auto"/>
            <w:right w:val="none" w:sz="0" w:space="0" w:color="auto"/>
          </w:divBdr>
          <w:divsChild>
            <w:div w:id="1518304868">
              <w:marLeft w:val="0"/>
              <w:marRight w:val="0"/>
              <w:marTop w:val="0"/>
              <w:marBottom w:val="0"/>
              <w:divBdr>
                <w:top w:val="none" w:sz="0" w:space="0" w:color="auto"/>
                <w:left w:val="none" w:sz="0" w:space="0" w:color="auto"/>
                <w:bottom w:val="none" w:sz="0" w:space="0" w:color="auto"/>
                <w:right w:val="none" w:sz="0" w:space="0" w:color="auto"/>
              </w:divBdr>
            </w:div>
          </w:divsChild>
        </w:div>
        <w:div w:id="1349215051">
          <w:marLeft w:val="0"/>
          <w:marRight w:val="0"/>
          <w:marTop w:val="0"/>
          <w:marBottom w:val="0"/>
          <w:divBdr>
            <w:top w:val="none" w:sz="0" w:space="0" w:color="auto"/>
            <w:left w:val="none" w:sz="0" w:space="0" w:color="auto"/>
            <w:bottom w:val="none" w:sz="0" w:space="0" w:color="auto"/>
            <w:right w:val="none" w:sz="0" w:space="0" w:color="auto"/>
          </w:divBdr>
          <w:divsChild>
            <w:div w:id="1043797149">
              <w:marLeft w:val="0"/>
              <w:marRight w:val="0"/>
              <w:marTop w:val="0"/>
              <w:marBottom w:val="0"/>
              <w:divBdr>
                <w:top w:val="none" w:sz="0" w:space="0" w:color="auto"/>
                <w:left w:val="none" w:sz="0" w:space="0" w:color="auto"/>
                <w:bottom w:val="none" w:sz="0" w:space="0" w:color="auto"/>
                <w:right w:val="none" w:sz="0" w:space="0" w:color="auto"/>
              </w:divBdr>
            </w:div>
          </w:divsChild>
        </w:div>
        <w:div w:id="947464874">
          <w:marLeft w:val="0"/>
          <w:marRight w:val="0"/>
          <w:marTop w:val="0"/>
          <w:marBottom w:val="0"/>
          <w:divBdr>
            <w:top w:val="none" w:sz="0" w:space="0" w:color="auto"/>
            <w:left w:val="none" w:sz="0" w:space="0" w:color="auto"/>
            <w:bottom w:val="none" w:sz="0" w:space="0" w:color="auto"/>
            <w:right w:val="none" w:sz="0" w:space="0" w:color="auto"/>
          </w:divBdr>
          <w:divsChild>
            <w:div w:id="1219433775">
              <w:marLeft w:val="0"/>
              <w:marRight w:val="0"/>
              <w:marTop w:val="0"/>
              <w:marBottom w:val="0"/>
              <w:divBdr>
                <w:top w:val="none" w:sz="0" w:space="0" w:color="auto"/>
                <w:left w:val="none" w:sz="0" w:space="0" w:color="auto"/>
                <w:bottom w:val="none" w:sz="0" w:space="0" w:color="auto"/>
                <w:right w:val="none" w:sz="0" w:space="0" w:color="auto"/>
              </w:divBdr>
            </w:div>
          </w:divsChild>
        </w:div>
        <w:div w:id="1943879797">
          <w:marLeft w:val="0"/>
          <w:marRight w:val="0"/>
          <w:marTop w:val="0"/>
          <w:marBottom w:val="0"/>
          <w:divBdr>
            <w:top w:val="none" w:sz="0" w:space="0" w:color="auto"/>
            <w:left w:val="none" w:sz="0" w:space="0" w:color="auto"/>
            <w:bottom w:val="none" w:sz="0" w:space="0" w:color="auto"/>
            <w:right w:val="none" w:sz="0" w:space="0" w:color="auto"/>
          </w:divBdr>
          <w:divsChild>
            <w:div w:id="1197038014">
              <w:marLeft w:val="0"/>
              <w:marRight w:val="0"/>
              <w:marTop w:val="0"/>
              <w:marBottom w:val="0"/>
              <w:divBdr>
                <w:top w:val="none" w:sz="0" w:space="0" w:color="auto"/>
                <w:left w:val="none" w:sz="0" w:space="0" w:color="auto"/>
                <w:bottom w:val="none" w:sz="0" w:space="0" w:color="auto"/>
                <w:right w:val="none" w:sz="0" w:space="0" w:color="auto"/>
              </w:divBdr>
            </w:div>
          </w:divsChild>
        </w:div>
        <w:div w:id="709842116">
          <w:marLeft w:val="0"/>
          <w:marRight w:val="0"/>
          <w:marTop w:val="0"/>
          <w:marBottom w:val="0"/>
          <w:divBdr>
            <w:top w:val="none" w:sz="0" w:space="0" w:color="auto"/>
            <w:left w:val="none" w:sz="0" w:space="0" w:color="auto"/>
            <w:bottom w:val="none" w:sz="0" w:space="0" w:color="auto"/>
            <w:right w:val="none" w:sz="0" w:space="0" w:color="auto"/>
          </w:divBdr>
          <w:divsChild>
            <w:div w:id="1527913505">
              <w:marLeft w:val="0"/>
              <w:marRight w:val="0"/>
              <w:marTop w:val="0"/>
              <w:marBottom w:val="0"/>
              <w:divBdr>
                <w:top w:val="none" w:sz="0" w:space="0" w:color="auto"/>
                <w:left w:val="none" w:sz="0" w:space="0" w:color="auto"/>
                <w:bottom w:val="none" w:sz="0" w:space="0" w:color="auto"/>
                <w:right w:val="none" w:sz="0" w:space="0" w:color="auto"/>
              </w:divBdr>
            </w:div>
          </w:divsChild>
        </w:div>
        <w:div w:id="296567436">
          <w:marLeft w:val="0"/>
          <w:marRight w:val="0"/>
          <w:marTop w:val="0"/>
          <w:marBottom w:val="0"/>
          <w:divBdr>
            <w:top w:val="none" w:sz="0" w:space="0" w:color="auto"/>
            <w:left w:val="none" w:sz="0" w:space="0" w:color="auto"/>
            <w:bottom w:val="none" w:sz="0" w:space="0" w:color="auto"/>
            <w:right w:val="none" w:sz="0" w:space="0" w:color="auto"/>
          </w:divBdr>
          <w:divsChild>
            <w:div w:id="360519502">
              <w:marLeft w:val="0"/>
              <w:marRight w:val="0"/>
              <w:marTop w:val="0"/>
              <w:marBottom w:val="0"/>
              <w:divBdr>
                <w:top w:val="none" w:sz="0" w:space="0" w:color="auto"/>
                <w:left w:val="none" w:sz="0" w:space="0" w:color="auto"/>
                <w:bottom w:val="none" w:sz="0" w:space="0" w:color="auto"/>
                <w:right w:val="none" w:sz="0" w:space="0" w:color="auto"/>
              </w:divBdr>
            </w:div>
          </w:divsChild>
        </w:div>
        <w:div w:id="290206676">
          <w:marLeft w:val="0"/>
          <w:marRight w:val="0"/>
          <w:marTop w:val="0"/>
          <w:marBottom w:val="0"/>
          <w:divBdr>
            <w:top w:val="none" w:sz="0" w:space="0" w:color="auto"/>
            <w:left w:val="none" w:sz="0" w:space="0" w:color="auto"/>
            <w:bottom w:val="none" w:sz="0" w:space="0" w:color="auto"/>
            <w:right w:val="none" w:sz="0" w:space="0" w:color="auto"/>
          </w:divBdr>
          <w:divsChild>
            <w:div w:id="573204521">
              <w:marLeft w:val="0"/>
              <w:marRight w:val="0"/>
              <w:marTop w:val="0"/>
              <w:marBottom w:val="0"/>
              <w:divBdr>
                <w:top w:val="none" w:sz="0" w:space="0" w:color="auto"/>
                <w:left w:val="none" w:sz="0" w:space="0" w:color="auto"/>
                <w:bottom w:val="none" w:sz="0" w:space="0" w:color="auto"/>
                <w:right w:val="none" w:sz="0" w:space="0" w:color="auto"/>
              </w:divBdr>
            </w:div>
          </w:divsChild>
        </w:div>
        <w:div w:id="648242191">
          <w:marLeft w:val="0"/>
          <w:marRight w:val="0"/>
          <w:marTop w:val="0"/>
          <w:marBottom w:val="0"/>
          <w:divBdr>
            <w:top w:val="none" w:sz="0" w:space="0" w:color="auto"/>
            <w:left w:val="none" w:sz="0" w:space="0" w:color="auto"/>
            <w:bottom w:val="none" w:sz="0" w:space="0" w:color="auto"/>
            <w:right w:val="none" w:sz="0" w:space="0" w:color="auto"/>
          </w:divBdr>
          <w:divsChild>
            <w:div w:id="1705054914">
              <w:marLeft w:val="0"/>
              <w:marRight w:val="0"/>
              <w:marTop w:val="0"/>
              <w:marBottom w:val="0"/>
              <w:divBdr>
                <w:top w:val="none" w:sz="0" w:space="0" w:color="auto"/>
                <w:left w:val="none" w:sz="0" w:space="0" w:color="auto"/>
                <w:bottom w:val="none" w:sz="0" w:space="0" w:color="auto"/>
                <w:right w:val="none" w:sz="0" w:space="0" w:color="auto"/>
              </w:divBdr>
            </w:div>
          </w:divsChild>
        </w:div>
        <w:div w:id="1972712362">
          <w:marLeft w:val="0"/>
          <w:marRight w:val="0"/>
          <w:marTop w:val="0"/>
          <w:marBottom w:val="0"/>
          <w:divBdr>
            <w:top w:val="none" w:sz="0" w:space="0" w:color="auto"/>
            <w:left w:val="none" w:sz="0" w:space="0" w:color="auto"/>
            <w:bottom w:val="none" w:sz="0" w:space="0" w:color="auto"/>
            <w:right w:val="none" w:sz="0" w:space="0" w:color="auto"/>
          </w:divBdr>
          <w:divsChild>
            <w:div w:id="1067149182">
              <w:marLeft w:val="0"/>
              <w:marRight w:val="0"/>
              <w:marTop w:val="0"/>
              <w:marBottom w:val="0"/>
              <w:divBdr>
                <w:top w:val="none" w:sz="0" w:space="0" w:color="auto"/>
                <w:left w:val="none" w:sz="0" w:space="0" w:color="auto"/>
                <w:bottom w:val="none" w:sz="0" w:space="0" w:color="auto"/>
                <w:right w:val="none" w:sz="0" w:space="0" w:color="auto"/>
              </w:divBdr>
            </w:div>
          </w:divsChild>
        </w:div>
        <w:div w:id="330988661">
          <w:marLeft w:val="0"/>
          <w:marRight w:val="0"/>
          <w:marTop w:val="0"/>
          <w:marBottom w:val="0"/>
          <w:divBdr>
            <w:top w:val="none" w:sz="0" w:space="0" w:color="auto"/>
            <w:left w:val="none" w:sz="0" w:space="0" w:color="auto"/>
            <w:bottom w:val="none" w:sz="0" w:space="0" w:color="auto"/>
            <w:right w:val="none" w:sz="0" w:space="0" w:color="auto"/>
          </w:divBdr>
          <w:divsChild>
            <w:div w:id="705375082">
              <w:marLeft w:val="0"/>
              <w:marRight w:val="0"/>
              <w:marTop w:val="0"/>
              <w:marBottom w:val="0"/>
              <w:divBdr>
                <w:top w:val="none" w:sz="0" w:space="0" w:color="auto"/>
                <w:left w:val="none" w:sz="0" w:space="0" w:color="auto"/>
                <w:bottom w:val="none" w:sz="0" w:space="0" w:color="auto"/>
                <w:right w:val="none" w:sz="0" w:space="0" w:color="auto"/>
              </w:divBdr>
            </w:div>
          </w:divsChild>
        </w:div>
        <w:div w:id="1292592015">
          <w:marLeft w:val="0"/>
          <w:marRight w:val="0"/>
          <w:marTop w:val="0"/>
          <w:marBottom w:val="0"/>
          <w:divBdr>
            <w:top w:val="none" w:sz="0" w:space="0" w:color="auto"/>
            <w:left w:val="none" w:sz="0" w:space="0" w:color="auto"/>
            <w:bottom w:val="none" w:sz="0" w:space="0" w:color="auto"/>
            <w:right w:val="none" w:sz="0" w:space="0" w:color="auto"/>
          </w:divBdr>
          <w:divsChild>
            <w:div w:id="882057297">
              <w:marLeft w:val="0"/>
              <w:marRight w:val="0"/>
              <w:marTop w:val="0"/>
              <w:marBottom w:val="0"/>
              <w:divBdr>
                <w:top w:val="none" w:sz="0" w:space="0" w:color="auto"/>
                <w:left w:val="none" w:sz="0" w:space="0" w:color="auto"/>
                <w:bottom w:val="none" w:sz="0" w:space="0" w:color="auto"/>
                <w:right w:val="none" w:sz="0" w:space="0" w:color="auto"/>
              </w:divBdr>
            </w:div>
          </w:divsChild>
        </w:div>
        <w:div w:id="1107889897">
          <w:marLeft w:val="0"/>
          <w:marRight w:val="0"/>
          <w:marTop w:val="0"/>
          <w:marBottom w:val="0"/>
          <w:divBdr>
            <w:top w:val="none" w:sz="0" w:space="0" w:color="auto"/>
            <w:left w:val="none" w:sz="0" w:space="0" w:color="auto"/>
            <w:bottom w:val="none" w:sz="0" w:space="0" w:color="auto"/>
            <w:right w:val="none" w:sz="0" w:space="0" w:color="auto"/>
          </w:divBdr>
          <w:divsChild>
            <w:div w:id="2139257790">
              <w:marLeft w:val="0"/>
              <w:marRight w:val="0"/>
              <w:marTop w:val="0"/>
              <w:marBottom w:val="0"/>
              <w:divBdr>
                <w:top w:val="none" w:sz="0" w:space="0" w:color="auto"/>
                <w:left w:val="none" w:sz="0" w:space="0" w:color="auto"/>
                <w:bottom w:val="none" w:sz="0" w:space="0" w:color="auto"/>
                <w:right w:val="none" w:sz="0" w:space="0" w:color="auto"/>
              </w:divBdr>
            </w:div>
          </w:divsChild>
        </w:div>
        <w:div w:id="1365400903">
          <w:marLeft w:val="0"/>
          <w:marRight w:val="0"/>
          <w:marTop w:val="0"/>
          <w:marBottom w:val="0"/>
          <w:divBdr>
            <w:top w:val="none" w:sz="0" w:space="0" w:color="auto"/>
            <w:left w:val="none" w:sz="0" w:space="0" w:color="auto"/>
            <w:bottom w:val="none" w:sz="0" w:space="0" w:color="auto"/>
            <w:right w:val="none" w:sz="0" w:space="0" w:color="auto"/>
          </w:divBdr>
          <w:divsChild>
            <w:div w:id="311258719">
              <w:marLeft w:val="0"/>
              <w:marRight w:val="0"/>
              <w:marTop w:val="0"/>
              <w:marBottom w:val="0"/>
              <w:divBdr>
                <w:top w:val="none" w:sz="0" w:space="0" w:color="auto"/>
                <w:left w:val="none" w:sz="0" w:space="0" w:color="auto"/>
                <w:bottom w:val="none" w:sz="0" w:space="0" w:color="auto"/>
                <w:right w:val="none" w:sz="0" w:space="0" w:color="auto"/>
              </w:divBdr>
            </w:div>
            <w:div w:id="1294095438">
              <w:marLeft w:val="0"/>
              <w:marRight w:val="0"/>
              <w:marTop w:val="0"/>
              <w:marBottom w:val="0"/>
              <w:divBdr>
                <w:top w:val="none" w:sz="0" w:space="0" w:color="auto"/>
                <w:left w:val="none" w:sz="0" w:space="0" w:color="auto"/>
                <w:bottom w:val="none" w:sz="0" w:space="0" w:color="auto"/>
                <w:right w:val="none" w:sz="0" w:space="0" w:color="auto"/>
              </w:divBdr>
            </w:div>
          </w:divsChild>
        </w:div>
        <w:div w:id="1770854539">
          <w:marLeft w:val="0"/>
          <w:marRight w:val="0"/>
          <w:marTop w:val="0"/>
          <w:marBottom w:val="0"/>
          <w:divBdr>
            <w:top w:val="none" w:sz="0" w:space="0" w:color="auto"/>
            <w:left w:val="none" w:sz="0" w:space="0" w:color="auto"/>
            <w:bottom w:val="none" w:sz="0" w:space="0" w:color="auto"/>
            <w:right w:val="none" w:sz="0" w:space="0" w:color="auto"/>
          </w:divBdr>
          <w:divsChild>
            <w:div w:id="171116233">
              <w:marLeft w:val="0"/>
              <w:marRight w:val="0"/>
              <w:marTop w:val="0"/>
              <w:marBottom w:val="0"/>
              <w:divBdr>
                <w:top w:val="none" w:sz="0" w:space="0" w:color="auto"/>
                <w:left w:val="none" w:sz="0" w:space="0" w:color="auto"/>
                <w:bottom w:val="none" w:sz="0" w:space="0" w:color="auto"/>
                <w:right w:val="none" w:sz="0" w:space="0" w:color="auto"/>
              </w:divBdr>
            </w:div>
          </w:divsChild>
        </w:div>
        <w:div w:id="889344500">
          <w:marLeft w:val="0"/>
          <w:marRight w:val="0"/>
          <w:marTop w:val="0"/>
          <w:marBottom w:val="0"/>
          <w:divBdr>
            <w:top w:val="none" w:sz="0" w:space="0" w:color="auto"/>
            <w:left w:val="none" w:sz="0" w:space="0" w:color="auto"/>
            <w:bottom w:val="none" w:sz="0" w:space="0" w:color="auto"/>
            <w:right w:val="none" w:sz="0" w:space="0" w:color="auto"/>
          </w:divBdr>
          <w:divsChild>
            <w:div w:id="405422756">
              <w:marLeft w:val="0"/>
              <w:marRight w:val="0"/>
              <w:marTop w:val="0"/>
              <w:marBottom w:val="0"/>
              <w:divBdr>
                <w:top w:val="none" w:sz="0" w:space="0" w:color="auto"/>
                <w:left w:val="none" w:sz="0" w:space="0" w:color="auto"/>
                <w:bottom w:val="none" w:sz="0" w:space="0" w:color="auto"/>
                <w:right w:val="none" w:sz="0" w:space="0" w:color="auto"/>
              </w:divBdr>
            </w:div>
          </w:divsChild>
        </w:div>
        <w:div w:id="887380077">
          <w:marLeft w:val="0"/>
          <w:marRight w:val="0"/>
          <w:marTop w:val="0"/>
          <w:marBottom w:val="0"/>
          <w:divBdr>
            <w:top w:val="none" w:sz="0" w:space="0" w:color="auto"/>
            <w:left w:val="none" w:sz="0" w:space="0" w:color="auto"/>
            <w:bottom w:val="none" w:sz="0" w:space="0" w:color="auto"/>
            <w:right w:val="none" w:sz="0" w:space="0" w:color="auto"/>
          </w:divBdr>
          <w:divsChild>
            <w:div w:id="546916085">
              <w:marLeft w:val="0"/>
              <w:marRight w:val="0"/>
              <w:marTop w:val="0"/>
              <w:marBottom w:val="0"/>
              <w:divBdr>
                <w:top w:val="none" w:sz="0" w:space="0" w:color="auto"/>
                <w:left w:val="none" w:sz="0" w:space="0" w:color="auto"/>
                <w:bottom w:val="none" w:sz="0" w:space="0" w:color="auto"/>
                <w:right w:val="none" w:sz="0" w:space="0" w:color="auto"/>
              </w:divBdr>
            </w:div>
          </w:divsChild>
        </w:div>
        <w:div w:id="731004823">
          <w:marLeft w:val="0"/>
          <w:marRight w:val="0"/>
          <w:marTop w:val="0"/>
          <w:marBottom w:val="0"/>
          <w:divBdr>
            <w:top w:val="none" w:sz="0" w:space="0" w:color="auto"/>
            <w:left w:val="none" w:sz="0" w:space="0" w:color="auto"/>
            <w:bottom w:val="none" w:sz="0" w:space="0" w:color="auto"/>
            <w:right w:val="none" w:sz="0" w:space="0" w:color="auto"/>
          </w:divBdr>
          <w:divsChild>
            <w:div w:id="1780295901">
              <w:marLeft w:val="0"/>
              <w:marRight w:val="0"/>
              <w:marTop w:val="0"/>
              <w:marBottom w:val="0"/>
              <w:divBdr>
                <w:top w:val="none" w:sz="0" w:space="0" w:color="auto"/>
                <w:left w:val="none" w:sz="0" w:space="0" w:color="auto"/>
                <w:bottom w:val="none" w:sz="0" w:space="0" w:color="auto"/>
                <w:right w:val="none" w:sz="0" w:space="0" w:color="auto"/>
              </w:divBdr>
            </w:div>
          </w:divsChild>
        </w:div>
        <w:div w:id="1551377023">
          <w:marLeft w:val="0"/>
          <w:marRight w:val="0"/>
          <w:marTop w:val="0"/>
          <w:marBottom w:val="0"/>
          <w:divBdr>
            <w:top w:val="none" w:sz="0" w:space="0" w:color="auto"/>
            <w:left w:val="none" w:sz="0" w:space="0" w:color="auto"/>
            <w:bottom w:val="none" w:sz="0" w:space="0" w:color="auto"/>
            <w:right w:val="none" w:sz="0" w:space="0" w:color="auto"/>
          </w:divBdr>
          <w:divsChild>
            <w:div w:id="738359747">
              <w:marLeft w:val="0"/>
              <w:marRight w:val="0"/>
              <w:marTop w:val="0"/>
              <w:marBottom w:val="0"/>
              <w:divBdr>
                <w:top w:val="none" w:sz="0" w:space="0" w:color="auto"/>
                <w:left w:val="none" w:sz="0" w:space="0" w:color="auto"/>
                <w:bottom w:val="none" w:sz="0" w:space="0" w:color="auto"/>
                <w:right w:val="none" w:sz="0" w:space="0" w:color="auto"/>
              </w:divBdr>
            </w:div>
          </w:divsChild>
        </w:div>
        <w:div w:id="49117052">
          <w:marLeft w:val="0"/>
          <w:marRight w:val="0"/>
          <w:marTop w:val="0"/>
          <w:marBottom w:val="0"/>
          <w:divBdr>
            <w:top w:val="none" w:sz="0" w:space="0" w:color="auto"/>
            <w:left w:val="none" w:sz="0" w:space="0" w:color="auto"/>
            <w:bottom w:val="none" w:sz="0" w:space="0" w:color="auto"/>
            <w:right w:val="none" w:sz="0" w:space="0" w:color="auto"/>
          </w:divBdr>
          <w:divsChild>
            <w:div w:id="28066844">
              <w:marLeft w:val="0"/>
              <w:marRight w:val="0"/>
              <w:marTop w:val="0"/>
              <w:marBottom w:val="0"/>
              <w:divBdr>
                <w:top w:val="none" w:sz="0" w:space="0" w:color="auto"/>
                <w:left w:val="none" w:sz="0" w:space="0" w:color="auto"/>
                <w:bottom w:val="none" w:sz="0" w:space="0" w:color="auto"/>
                <w:right w:val="none" w:sz="0" w:space="0" w:color="auto"/>
              </w:divBdr>
            </w:div>
          </w:divsChild>
        </w:div>
        <w:div w:id="1010911876">
          <w:marLeft w:val="0"/>
          <w:marRight w:val="0"/>
          <w:marTop w:val="0"/>
          <w:marBottom w:val="0"/>
          <w:divBdr>
            <w:top w:val="none" w:sz="0" w:space="0" w:color="auto"/>
            <w:left w:val="none" w:sz="0" w:space="0" w:color="auto"/>
            <w:bottom w:val="none" w:sz="0" w:space="0" w:color="auto"/>
            <w:right w:val="none" w:sz="0" w:space="0" w:color="auto"/>
          </w:divBdr>
          <w:divsChild>
            <w:div w:id="86200477">
              <w:marLeft w:val="0"/>
              <w:marRight w:val="0"/>
              <w:marTop w:val="0"/>
              <w:marBottom w:val="0"/>
              <w:divBdr>
                <w:top w:val="none" w:sz="0" w:space="0" w:color="auto"/>
                <w:left w:val="none" w:sz="0" w:space="0" w:color="auto"/>
                <w:bottom w:val="none" w:sz="0" w:space="0" w:color="auto"/>
                <w:right w:val="none" w:sz="0" w:space="0" w:color="auto"/>
              </w:divBdr>
            </w:div>
          </w:divsChild>
        </w:div>
        <w:div w:id="2096511085">
          <w:marLeft w:val="0"/>
          <w:marRight w:val="0"/>
          <w:marTop w:val="0"/>
          <w:marBottom w:val="0"/>
          <w:divBdr>
            <w:top w:val="none" w:sz="0" w:space="0" w:color="auto"/>
            <w:left w:val="none" w:sz="0" w:space="0" w:color="auto"/>
            <w:bottom w:val="none" w:sz="0" w:space="0" w:color="auto"/>
            <w:right w:val="none" w:sz="0" w:space="0" w:color="auto"/>
          </w:divBdr>
          <w:divsChild>
            <w:div w:id="1009062846">
              <w:marLeft w:val="0"/>
              <w:marRight w:val="0"/>
              <w:marTop w:val="0"/>
              <w:marBottom w:val="0"/>
              <w:divBdr>
                <w:top w:val="none" w:sz="0" w:space="0" w:color="auto"/>
                <w:left w:val="none" w:sz="0" w:space="0" w:color="auto"/>
                <w:bottom w:val="none" w:sz="0" w:space="0" w:color="auto"/>
                <w:right w:val="none" w:sz="0" w:space="0" w:color="auto"/>
              </w:divBdr>
            </w:div>
          </w:divsChild>
        </w:div>
        <w:div w:id="240650060">
          <w:marLeft w:val="0"/>
          <w:marRight w:val="0"/>
          <w:marTop w:val="0"/>
          <w:marBottom w:val="0"/>
          <w:divBdr>
            <w:top w:val="none" w:sz="0" w:space="0" w:color="auto"/>
            <w:left w:val="none" w:sz="0" w:space="0" w:color="auto"/>
            <w:bottom w:val="none" w:sz="0" w:space="0" w:color="auto"/>
            <w:right w:val="none" w:sz="0" w:space="0" w:color="auto"/>
          </w:divBdr>
          <w:divsChild>
            <w:div w:id="1052928378">
              <w:marLeft w:val="0"/>
              <w:marRight w:val="0"/>
              <w:marTop w:val="0"/>
              <w:marBottom w:val="0"/>
              <w:divBdr>
                <w:top w:val="none" w:sz="0" w:space="0" w:color="auto"/>
                <w:left w:val="none" w:sz="0" w:space="0" w:color="auto"/>
                <w:bottom w:val="none" w:sz="0" w:space="0" w:color="auto"/>
                <w:right w:val="none" w:sz="0" w:space="0" w:color="auto"/>
              </w:divBdr>
            </w:div>
          </w:divsChild>
        </w:div>
        <w:div w:id="1603491048">
          <w:marLeft w:val="0"/>
          <w:marRight w:val="0"/>
          <w:marTop w:val="0"/>
          <w:marBottom w:val="0"/>
          <w:divBdr>
            <w:top w:val="none" w:sz="0" w:space="0" w:color="auto"/>
            <w:left w:val="none" w:sz="0" w:space="0" w:color="auto"/>
            <w:bottom w:val="none" w:sz="0" w:space="0" w:color="auto"/>
            <w:right w:val="none" w:sz="0" w:space="0" w:color="auto"/>
          </w:divBdr>
          <w:divsChild>
            <w:div w:id="1887259936">
              <w:marLeft w:val="0"/>
              <w:marRight w:val="0"/>
              <w:marTop w:val="0"/>
              <w:marBottom w:val="0"/>
              <w:divBdr>
                <w:top w:val="none" w:sz="0" w:space="0" w:color="auto"/>
                <w:left w:val="none" w:sz="0" w:space="0" w:color="auto"/>
                <w:bottom w:val="none" w:sz="0" w:space="0" w:color="auto"/>
                <w:right w:val="none" w:sz="0" w:space="0" w:color="auto"/>
              </w:divBdr>
            </w:div>
          </w:divsChild>
        </w:div>
        <w:div w:id="840584867">
          <w:marLeft w:val="0"/>
          <w:marRight w:val="0"/>
          <w:marTop w:val="0"/>
          <w:marBottom w:val="0"/>
          <w:divBdr>
            <w:top w:val="none" w:sz="0" w:space="0" w:color="auto"/>
            <w:left w:val="none" w:sz="0" w:space="0" w:color="auto"/>
            <w:bottom w:val="none" w:sz="0" w:space="0" w:color="auto"/>
            <w:right w:val="none" w:sz="0" w:space="0" w:color="auto"/>
          </w:divBdr>
          <w:divsChild>
            <w:div w:id="1894150663">
              <w:marLeft w:val="0"/>
              <w:marRight w:val="0"/>
              <w:marTop w:val="0"/>
              <w:marBottom w:val="0"/>
              <w:divBdr>
                <w:top w:val="none" w:sz="0" w:space="0" w:color="auto"/>
                <w:left w:val="none" w:sz="0" w:space="0" w:color="auto"/>
                <w:bottom w:val="none" w:sz="0" w:space="0" w:color="auto"/>
                <w:right w:val="none" w:sz="0" w:space="0" w:color="auto"/>
              </w:divBdr>
            </w:div>
          </w:divsChild>
        </w:div>
        <w:div w:id="79109656">
          <w:marLeft w:val="0"/>
          <w:marRight w:val="0"/>
          <w:marTop w:val="0"/>
          <w:marBottom w:val="0"/>
          <w:divBdr>
            <w:top w:val="none" w:sz="0" w:space="0" w:color="auto"/>
            <w:left w:val="none" w:sz="0" w:space="0" w:color="auto"/>
            <w:bottom w:val="none" w:sz="0" w:space="0" w:color="auto"/>
            <w:right w:val="none" w:sz="0" w:space="0" w:color="auto"/>
          </w:divBdr>
          <w:divsChild>
            <w:div w:id="1423259065">
              <w:marLeft w:val="0"/>
              <w:marRight w:val="0"/>
              <w:marTop w:val="0"/>
              <w:marBottom w:val="0"/>
              <w:divBdr>
                <w:top w:val="none" w:sz="0" w:space="0" w:color="auto"/>
                <w:left w:val="none" w:sz="0" w:space="0" w:color="auto"/>
                <w:bottom w:val="none" w:sz="0" w:space="0" w:color="auto"/>
                <w:right w:val="none" w:sz="0" w:space="0" w:color="auto"/>
              </w:divBdr>
            </w:div>
          </w:divsChild>
        </w:div>
        <w:div w:id="872227559">
          <w:marLeft w:val="0"/>
          <w:marRight w:val="0"/>
          <w:marTop w:val="0"/>
          <w:marBottom w:val="0"/>
          <w:divBdr>
            <w:top w:val="none" w:sz="0" w:space="0" w:color="auto"/>
            <w:left w:val="none" w:sz="0" w:space="0" w:color="auto"/>
            <w:bottom w:val="none" w:sz="0" w:space="0" w:color="auto"/>
            <w:right w:val="none" w:sz="0" w:space="0" w:color="auto"/>
          </w:divBdr>
          <w:divsChild>
            <w:div w:id="447161758">
              <w:marLeft w:val="0"/>
              <w:marRight w:val="0"/>
              <w:marTop w:val="0"/>
              <w:marBottom w:val="0"/>
              <w:divBdr>
                <w:top w:val="none" w:sz="0" w:space="0" w:color="auto"/>
                <w:left w:val="none" w:sz="0" w:space="0" w:color="auto"/>
                <w:bottom w:val="none" w:sz="0" w:space="0" w:color="auto"/>
                <w:right w:val="none" w:sz="0" w:space="0" w:color="auto"/>
              </w:divBdr>
            </w:div>
          </w:divsChild>
        </w:div>
        <w:div w:id="495994694">
          <w:marLeft w:val="0"/>
          <w:marRight w:val="0"/>
          <w:marTop w:val="0"/>
          <w:marBottom w:val="0"/>
          <w:divBdr>
            <w:top w:val="none" w:sz="0" w:space="0" w:color="auto"/>
            <w:left w:val="none" w:sz="0" w:space="0" w:color="auto"/>
            <w:bottom w:val="none" w:sz="0" w:space="0" w:color="auto"/>
            <w:right w:val="none" w:sz="0" w:space="0" w:color="auto"/>
          </w:divBdr>
          <w:divsChild>
            <w:div w:id="2077706850">
              <w:marLeft w:val="0"/>
              <w:marRight w:val="0"/>
              <w:marTop w:val="0"/>
              <w:marBottom w:val="0"/>
              <w:divBdr>
                <w:top w:val="none" w:sz="0" w:space="0" w:color="auto"/>
                <w:left w:val="none" w:sz="0" w:space="0" w:color="auto"/>
                <w:bottom w:val="none" w:sz="0" w:space="0" w:color="auto"/>
                <w:right w:val="none" w:sz="0" w:space="0" w:color="auto"/>
              </w:divBdr>
            </w:div>
          </w:divsChild>
        </w:div>
        <w:div w:id="1662351873">
          <w:marLeft w:val="0"/>
          <w:marRight w:val="0"/>
          <w:marTop w:val="0"/>
          <w:marBottom w:val="0"/>
          <w:divBdr>
            <w:top w:val="none" w:sz="0" w:space="0" w:color="auto"/>
            <w:left w:val="none" w:sz="0" w:space="0" w:color="auto"/>
            <w:bottom w:val="none" w:sz="0" w:space="0" w:color="auto"/>
            <w:right w:val="none" w:sz="0" w:space="0" w:color="auto"/>
          </w:divBdr>
          <w:divsChild>
            <w:div w:id="1483616265">
              <w:marLeft w:val="0"/>
              <w:marRight w:val="0"/>
              <w:marTop w:val="0"/>
              <w:marBottom w:val="0"/>
              <w:divBdr>
                <w:top w:val="none" w:sz="0" w:space="0" w:color="auto"/>
                <w:left w:val="none" w:sz="0" w:space="0" w:color="auto"/>
                <w:bottom w:val="none" w:sz="0" w:space="0" w:color="auto"/>
                <w:right w:val="none" w:sz="0" w:space="0" w:color="auto"/>
              </w:divBdr>
            </w:div>
          </w:divsChild>
        </w:div>
        <w:div w:id="105464632">
          <w:marLeft w:val="0"/>
          <w:marRight w:val="0"/>
          <w:marTop w:val="0"/>
          <w:marBottom w:val="0"/>
          <w:divBdr>
            <w:top w:val="none" w:sz="0" w:space="0" w:color="auto"/>
            <w:left w:val="none" w:sz="0" w:space="0" w:color="auto"/>
            <w:bottom w:val="none" w:sz="0" w:space="0" w:color="auto"/>
            <w:right w:val="none" w:sz="0" w:space="0" w:color="auto"/>
          </w:divBdr>
          <w:divsChild>
            <w:div w:id="659962187">
              <w:marLeft w:val="0"/>
              <w:marRight w:val="0"/>
              <w:marTop w:val="0"/>
              <w:marBottom w:val="0"/>
              <w:divBdr>
                <w:top w:val="none" w:sz="0" w:space="0" w:color="auto"/>
                <w:left w:val="none" w:sz="0" w:space="0" w:color="auto"/>
                <w:bottom w:val="none" w:sz="0" w:space="0" w:color="auto"/>
                <w:right w:val="none" w:sz="0" w:space="0" w:color="auto"/>
              </w:divBdr>
            </w:div>
          </w:divsChild>
        </w:div>
        <w:div w:id="1805466829">
          <w:marLeft w:val="0"/>
          <w:marRight w:val="0"/>
          <w:marTop w:val="0"/>
          <w:marBottom w:val="0"/>
          <w:divBdr>
            <w:top w:val="none" w:sz="0" w:space="0" w:color="auto"/>
            <w:left w:val="none" w:sz="0" w:space="0" w:color="auto"/>
            <w:bottom w:val="none" w:sz="0" w:space="0" w:color="auto"/>
            <w:right w:val="none" w:sz="0" w:space="0" w:color="auto"/>
          </w:divBdr>
          <w:divsChild>
            <w:div w:id="1427116146">
              <w:marLeft w:val="0"/>
              <w:marRight w:val="0"/>
              <w:marTop w:val="0"/>
              <w:marBottom w:val="0"/>
              <w:divBdr>
                <w:top w:val="none" w:sz="0" w:space="0" w:color="auto"/>
                <w:left w:val="none" w:sz="0" w:space="0" w:color="auto"/>
                <w:bottom w:val="none" w:sz="0" w:space="0" w:color="auto"/>
                <w:right w:val="none" w:sz="0" w:space="0" w:color="auto"/>
              </w:divBdr>
            </w:div>
          </w:divsChild>
        </w:div>
        <w:div w:id="801967625">
          <w:marLeft w:val="0"/>
          <w:marRight w:val="0"/>
          <w:marTop w:val="0"/>
          <w:marBottom w:val="0"/>
          <w:divBdr>
            <w:top w:val="none" w:sz="0" w:space="0" w:color="auto"/>
            <w:left w:val="none" w:sz="0" w:space="0" w:color="auto"/>
            <w:bottom w:val="none" w:sz="0" w:space="0" w:color="auto"/>
            <w:right w:val="none" w:sz="0" w:space="0" w:color="auto"/>
          </w:divBdr>
          <w:divsChild>
            <w:div w:id="795413276">
              <w:marLeft w:val="0"/>
              <w:marRight w:val="0"/>
              <w:marTop w:val="0"/>
              <w:marBottom w:val="0"/>
              <w:divBdr>
                <w:top w:val="none" w:sz="0" w:space="0" w:color="auto"/>
                <w:left w:val="none" w:sz="0" w:space="0" w:color="auto"/>
                <w:bottom w:val="none" w:sz="0" w:space="0" w:color="auto"/>
                <w:right w:val="none" w:sz="0" w:space="0" w:color="auto"/>
              </w:divBdr>
            </w:div>
          </w:divsChild>
        </w:div>
        <w:div w:id="931208185">
          <w:marLeft w:val="0"/>
          <w:marRight w:val="0"/>
          <w:marTop w:val="0"/>
          <w:marBottom w:val="0"/>
          <w:divBdr>
            <w:top w:val="none" w:sz="0" w:space="0" w:color="auto"/>
            <w:left w:val="none" w:sz="0" w:space="0" w:color="auto"/>
            <w:bottom w:val="none" w:sz="0" w:space="0" w:color="auto"/>
            <w:right w:val="none" w:sz="0" w:space="0" w:color="auto"/>
          </w:divBdr>
          <w:divsChild>
            <w:div w:id="2112779667">
              <w:marLeft w:val="0"/>
              <w:marRight w:val="0"/>
              <w:marTop w:val="0"/>
              <w:marBottom w:val="0"/>
              <w:divBdr>
                <w:top w:val="none" w:sz="0" w:space="0" w:color="auto"/>
                <w:left w:val="none" w:sz="0" w:space="0" w:color="auto"/>
                <w:bottom w:val="none" w:sz="0" w:space="0" w:color="auto"/>
                <w:right w:val="none" w:sz="0" w:space="0" w:color="auto"/>
              </w:divBdr>
            </w:div>
          </w:divsChild>
        </w:div>
        <w:div w:id="1793861592">
          <w:marLeft w:val="0"/>
          <w:marRight w:val="0"/>
          <w:marTop w:val="0"/>
          <w:marBottom w:val="0"/>
          <w:divBdr>
            <w:top w:val="none" w:sz="0" w:space="0" w:color="auto"/>
            <w:left w:val="none" w:sz="0" w:space="0" w:color="auto"/>
            <w:bottom w:val="none" w:sz="0" w:space="0" w:color="auto"/>
            <w:right w:val="none" w:sz="0" w:space="0" w:color="auto"/>
          </w:divBdr>
          <w:divsChild>
            <w:div w:id="899243791">
              <w:marLeft w:val="0"/>
              <w:marRight w:val="0"/>
              <w:marTop w:val="0"/>
              <w:marBottom w:val="0"/>
              <w:divBdr>
                <w:top w:val="none" w:sz="0" w:space="0" w:color="auto"/>
                <w:left w:val="none" w:sz="0" w:space="0" w:color="auto"/>
                <w:bottom w:val="none" w:sz="0" w:space="0" w:color="auto"/>
                <w:right w:val="none" w:sz="0" w:space="0" w:color="auto"/>
              </w:divBdr>
            </w:div>
          </w:divsChild>
        </w:div>
        <w:div w:id="1114905378">
          <w:marLeft w:val="0"/>
          <w:marRight w:val="0"/>
          <w:marTop w:val="0"/>
          <w:marBottom w:val="0"/>
          <w:divBdr>
            <w:top w:val="none" w:sz="0" w:space="0" w:color="auto"/>
            <w:left w:val="none" w:sz="0" w:space="0" w:color="auto"/>
            <w:bottom w:val="none" w:sz="0" w:space="0" w:color="auto"/>
            <w:right w:val="none" w:sz="0" w:space="0" w:color="auto"/>
          </w:divBdr>
          <w:divsChild>
            <w:div w:id="574583738">
              <w:marLeft w:val="0"/>
              <w:marRight w:val="0"/>
              <w:marTop w:val="0"/>
              <w:marBottom w:val="0"/>
              <w:divBdr>
                <w:top w:val="none" w:sz="0" w:space="0" w:color="auto"/>
                <w:left w:val="none" w:sz="0" w:space="0" w:color="auto"/>
                <w:bottom w:val="none" w:sz="0" w:space="0" w:color="auto"/>
                <w:right w:val="none" w:sz="0" w:space="0" w:color="auto"/>
              </w:divBdr>
            </w:div>
          </w:divsChild>
        </w:div>
        <w:div w:id="1473214829">
          <w:marLeft w:val="0"/>
          <w:marRight w:val="0"/>
          <w:marTop w:val="0"/>
          <w:marBottom w:val="0"/>
          <w:divBdr>
            <w:top w:val="none" w:sz="0" w:space="0" w:color="auto"/>
            <w:left w:val="none" w:sz="0" w:space="0" w:color="auto"/>
            <w:bottom w:val="none" w:sz="0" w:space="0" w:color="auto"/>
            <w:right w:val="none" w:sz="0" w:space="0" w:color="auto"/>
          </w:divBdr>
          <w:divsChild>
            <w:div w:id="1936204831">
              <w:marLeft w:val="0"/>
              <w:marRight w:val="0"/>
              <w:marTop w:val="0"/>
              <w:marBottom w:val="0"/>
              <w:divBdr>
                <w:top w:val="none" w:sz="0" w:space="0" w:color="auto"/>
                <w:left w:val="none" w:sz="0" w:space="0" w:color="auto"/>
                <w:bottom w:val="none" w:sz="0" w:space="0" w:color="auto"/>
                <w:right w:val="none" w:sz="0" w:space="0" w:color="auto"/>
              </w:divBdr>
            </w:div>
          </w:divsChild>
        </w:div>
        <w:div w:id="194855904">
          <w:marLeft w:val="0"/>
          <w:marRight w:val="0"/>
          <w:marTop w:val="0"/>
          <w:marBottom w:val="0"/>
          <w:divBdr>
            <w:top w:val="none" w:sz="0" w:space="0" w:color="auto"/>
            <w:left w:val="none" w:sz="0" w:space="0" w:color="auto"/>
            <w:bottom w:val="none" w:sz="0" w:space="0" w:color="auto"/>
            <w:right w:val="none" w:sz="0" w:space="0" w:color="auto"/>
          </w:divBdr>
          <w:divsChild>
            <w:div w:id="1737318458">
              <w:marLeft w:val="0"/>
              <w:marRight w:val="0"/>
              <w:marTop w:val="0"/>
              <w:marBottom w:val="0"/>
              <w:divBdr>
                <w:top w:val="none" w:sz="0" w:space="0" w:color="auto"/>
                <w:left w:val="none" w:sz="0" w:space="0" w:color="auto"/>
                <w:bottom w:val="none" w:sz="0" w:space="0" w:color="auto"/>
                <w:right w:val="none" w:sz="0" w:space="0" w:color="auto"/>
              </w:divBdr>
            </w:div>
            <w:div w:id="895353573">
              <w:marLeft w:val="0"/>
              <w:marRight w:val="0"/>
              <w:marTop w:val="0"/>
              <w:marBottom w:val="0"/>
              <w:divBdr>
                <w:top w:val="none" w:sz="0" w:space="0" w:color="auto"/>
                <w:left w:val="none" w:sz="0" w:space="0" w:color="auto"/>
                <w:bottom w:val="none" w:sz="0" w:space="0" w:color="auto"/>
                <w:right w:val="none" w:sz="0" w:space="0" w:color="auto"/>
              </w:divBdr>
            </w:div>
          </w:divsChild>
        </w:div>
        <w:div w:id="1976791007">
          <w:marLeft w:val="0"/>
          <w:marRight w:val="0"/>
          <w:marTop w:val="0"/>
          <w:marBottom w:val="0"/>
          <w:divBdr>
            <w:top w:val="none" w:sz="0" w:space="0" w:color="auto"/>
            <w:left w:val="none" w:sz="0" w:space="0" w:color="auto"/>
            <w:bottom w:val="none" w:sz="0" w:space="0" w:color="auto"/>
            <w:right w:val="none" w:sz="0" w:space="0" w:color="auto"/>
          </w:divBdr>
          <w:divsChild>
            <w:div w:id="2065131293">
              <w:marLeft w:val="0"/>
              <w:marRight w:val="0"/>
              <w:marTop w:val="0"/>
              <w:marBottom w:val="0"/>
              <w:divBdr>
                <w:top w:val="none" w:sz="0" w:space="0" w:color="auto"/>
                <w:left w:val="none" w:sz="0" w:space="0" w:color="auto"/>
                <w:bottom w:val="none" w:sz="0" w:space="0" w:color="auto"/>
                <w:right w:val="none" w:sz="0" w:space="0" w:color="auto"/>
              </w:divBdr>
            </w:div>
          </w:divsChild>
        </w:div>
        <w:div w:id="2065130302">
          <w:marLeft w:val="0"/>
          <w:marRight w:val="0"/>
          <w:marTop w:val="0"/>
          <w:marBottom w:val="0"/>
          <w:divBdr>
            <w:top w:val="none" w:sz="0" w:space="0" w:color="auto"/>
            <w:left w:val="none" w:sz="0" w:space="0" w:color="auto"/>
            <w:bottom w:val="none" w:sz="0" w:space="0" w:color="auto"/>
            <w:right w:val="none" w:sz="0" w:space="0" w:color="auto"/>
          </w:divBdr>
          <w:divsChild>
            <w:div w:id="1670908141">
              <w:marLeft w:val="0"/>
              <w:marRight w:val="0"/>
              <w:marTop w:val="0"/>
              <w:marBottom w:val="0"/>
              <w:divBdr>
                <w:top w:val="none" w:sz="0" w:space="0" w:color="auto"/>
                <w:left w:val="none" w:sz="0" w:space="0" w:color="auto"/>
                <w:bottom w:val="none" w:sz="0" w:space="0" w:color="auto"/>
                <w:right w:val="none" w:sz="0" w:space="0" w:color="auto"/>
              </w:divBdr>
            </w:div>
          </w:divsChild>
        </w:div>
        <w:div w:id="1224755461">
          <w:marLeft w:val="0"/>
          <w:marRight w:val="0"/>
          <w:marTop w:val="0"/>
          <w:marBottom w:val="0"/>
          <w:divBdr>
            <w:top w:val="none" w:sz="0" w:space="0" w:color="auto"/>
            <w:left w:val="none" w:sz="0" w:space="0" w:color="auto"/>
            <w:bottom w:val="none" w:sz="0" w:space="0" w:color="auto"/>
            <w:right w:val="none" w:sz="0" w:space="0" w:color="auto"/>
          </w:divBdr>
          <w:divsChild>
            <w:div w:id="1963728576">
              <w:marLeft w:val="0"/>
              <w:marRight w:val="0"/>
              <w:marTop w:val="0"/>
              <w:marBottom w:val="0"/>
              <w:divBdr>
                <w:top w:val="none" w:sz="0" w:space="0" w:color="auto"/>
                <w:left w:val="none" w:sz="0" w:space="0" w:color="auto"/>
                <w:bottom w:val="none" w:sz="0" w:space="0" w:color="auto"/>
                <w:right w:val="none" w:sz="0" w:space="0" w:color="auto"/>
              </w:divBdr>
            </w:div>
          </w:divsChild>
        </w:div>
        <w:div w:id="1166751153">
          <w:marLeft w:val="0"/>
          <w:marRight w:val="0"/>
          <w:marTop w:val="0"/>
          <w:marBottom w:val="0"/>
          <w:divBdr>
            <w:top w:val="none" w:sz="0" w:space="0" w:color="auto"/>
            <w:left w:val="none" w:sz="0" w:space="0" w:color="auto"/>
            <w:bottom w:val="none" w:sz="0" w:space="0" w:color="auto"/>
            <w:right w:val="none" w:sz="0" w:space="0" w:color="auto"/>
          </w:divBdr>
          <w:divsChild>
            <w:div w:id="1630429393">
              <w:marLeft w:val="0"/>
              <w:marRight w:val="0"/>
              <w:marTop w:val="0"/>
              <w:marBottom w:val="0"/>
              <w:divBdr>
                <w:top w:val="none" w:sz="0" w:space="0" w:color="auto"/>
                <w:left w:val="none" w:sz="0" w:space="0" w:color="auto"/>
                <w:bottom w:val="none" w:sz="0" w:space="0" w:color="auto"/>
                <w:right w:val="none" w:sz="0" w:space="0" w:color="auto"/>
              </w:divBdr>
            </w:div>
          </w:divsChild>
        </w:div>
        <w:div w:id="1500120841">
          <w:marLeft w:val="0"/>
          <w:marRight w:val="0"/>
          <w:marTop w:val="0"/>
          <w:marBottom w:val="0"/>
          <w:divBdr>
            <w:top w:val="none" w:sz="0" w:space="0" w:color="auto"/>
            <w:left w:val="none" w:sz="0" w:space="0" w:color="auto"/>
            <w:bottom w:val="none" w:sz="0" w:space="0" w:color="auto"/>
            <w:right w:val="none" w:sz="0" w:space="0" w:color="auto"/>
          </w:divBdr>
          <w:divsChild>
            <w:div w:id="1837258830">
              <w:marLeft w:val="0"/>
              <w:marRight w:val="0"/>
              <w:marTop w:val="0"/>
              <w:marBottom w:val="0"/>
              <w:divBdr>
                <w:top w:val="none" w:sz="0" w:space="0" w:color="auto"/>
                <w:left w:val="none" w:sz="0" w:space="0" w:color="auto"/>
                <w:bottom w:val="none" w:sz="0" w:space="0" w:color="auto"/>
                <w:right w:val="none" w:sz="0" w:space="0" w:color="auto"/>
              </w:divBdr>
            </w:div>
          </w:divsChild>
        </w:div>
        <w:div w:id="655181469">
          <w:marLeft w:val="0"/>
          <w:marRight w:val="0"/>
          <w:marTop w:val="0"/>
          <w:marBottom w:val="0"/>
          <w:divBdr>
            <w:top w:val="none" w:sz="0" w:space="0" w:color="auto"/>
            <w:left w:val="none" w:sz="0" w:space="0" w:color="auto"/>
            <w:bottom w:val="none" w:sz="0" w:space="0" w:color="auto"/>
            <w:right w:val="none" w:sz="0" w:space="0" w:color="auto"/>
          </w:divBdr>
          <w:divsChild>
            <w:div w:id="1726950471">
              <w:marLeft w:val="0"/>
              <w:marRight w:val="0"/>
              <w:marTop w:val="0"/>
              <w:marBottom w:val="0"/>
              <w:divBdr>
                <w:top w:val="none" w:sz="0" w:space="0" w:color="auto"/>
                <w:left w:val="none" w:sz="0" w:space="0" w:color="auto"/>
                <w:bottom w:val="none" w:sz="0" w:space="0" w:color="auto"/>
                <w:right w:val="none" w:sz="0" w:space="0" w:color="auto"/>
              </w:divBdr>
            </w:div>
          </w:divsChild>
        </w:div>
        <w:div w:id="1244339326">
          <w:marLeft w:val="0"/>
          <w:marRight w:val="0"/>
          <w:marTop w:val="0"/>
          <w:marBottom w:val="0"/>
          <w:divBdr>
            <w:top w:val="none" w:sz="0" w:space="0" w:color="auto"/>
            <w:left w:val="none" w:sz="0" w:space="0" w:color="auto"/>
            <w:bottom w:val="none" w:sz="0" w:space="0" w:color="auto"/>
            <w:right w:val="none" w:sz="0" w:space="0" w:color="auto"/>
          </w:divBdr>
          <w:divsChild>
            <w:div w:id="339696982">
              <w:marLeft w:val="0"/>
              <w:marRight w:val="0"/>
              <w:marTop w:val="0"/>
              <w:marBottom w:val="0"/>
              <w:divBdr>
                <w:top w:val="none" w:sz="0" w:space="0" w:color="auto"/>
                <w:left w:val="none" w:sz="0" w:space="0" w:color="auto"/>
                <w:bottom w:val="none" w:sz="0" w:space="0" w:color="auto"/>
                <w:right w:val="none" w:sz="0" w:space="0" w:color="auto"/>
              </w:divBdr>
            </w:div>
          </w:divsChild>
        </w:div>
        <w:div w:id="1883319191">
          <w:marLeft w:val="0"/>
          <w:marRight w:val="0"/>
          <w:marTop w:val="0"/>
          <w:marBottom w:val="0"/>
          <w:divBdr>
            <w:top w:val="none" w:sz="0" w:space="0" w:color="auto"/>
            <w:left w:val="none" w:sz="0" w:space="0" w:color="auto"/>
            <w:bottom w:val="none" w:sz="0" w:space="0" w:color="auto"/>
            <w:right w:val="none" w:sz="0" w:space="0" w:color="auto"/>
          </w:divBdr>
          <w:divsChild>
            <w:div w:id="825706984">
              <w:marLeft w:val="0"/>
              <w:marRight w:val="0"/>
              <w:marTop w:val="0"/>
              <w:marBottom w:val="0"/>
              <w:divBdr>
                <w:top w:val="none" w:sz="0" w:space="0" w:color="auto"/>
                <w:left w:val="none" w:sz="0" w:space="0" w:color="auto"/>
                <w:bottom w:val="none" w:sz="0" w:space="0" w:color="auto"/>
                <w:right w:val="none" w:sz="0" w:space="0" w:color="auto"/>
              </w:divBdr>
            </w:div>
          </w:divsChild>
        </w:div>
        <w:div w:id="1258757596">
          <w:marLeft w:val="0"/>
          <w:marRight w:val="0"/>
          <w:marTop w:val="0"/>
          <w:marBottom w:val="0"/>
          <w:divBdr>
            <w:top w:val="none" w:sz="0" w:space="0" w:color="auto"/>
            <w:left w:val="none" w:sz="0" w:space="0" w:color="auto"/>
            <w:bottom w:val="none" w:sz="0" w:space="0" w:color="auto"/>
            <w:right w:val="none" w:sz="0" w:space="0" w:color="auto"/>
          </w:divBdr>
          <w:divsChild>
            <w:div w:id="1398894552">
              <w:marLeft w:val="0"/>
              <w:marRight w:val="0"/>
              <w:marTop w:val="0"/>
              <w:marBottom w:val="0"/>
              <w:divBdr>
                <w:top w:val="none" w:sz="0" w:space="0" w:color="auto"/>
                <w:left w:val="none" w:sz="0" w:space="0" w:color="auto"/>
                <w:bottom w:val="none" w:sz="0" w:space="0" w:color="auto"/>
                <w:right w:val="none" w:sz="0" w:space="0" w:color="auto"/>
              </w:divBdr>
            </w:div>
          </w:divsChild>
        </w:div>
        <w:div w:id="472479230">
          <w:marLeft w:val="0"/>
          <w:marRight w:val="0"/>
          <w:marTop w:val="0"/>
          <w:marBottom w:val="0"/>
          <w:divBdr>
            <w:top w:val="none" w:sz="0" w:space="0" w:color="auto"/>
            <w:left w:val="none" w:sz="0" w:space="0" w:color="auto"/>
            <w:bottom w:val="none" w:sz="0" w:space="0" w:color="auto"/>
            <w:right w:val="none" w:sz="0" w:space="0" w:color="auto"/>
          </w:divBdr>
          <w:divsChild>
            <w:div w:id="602423668">
              <w:marLeft w:val="0"/>
              <w:marRight w:val="0"/>
              <w:marTop w:val="0"/>
              <w:marBottom w:val="0"/>
              <w:divBdr>
                <w:top w:val="none" w:sz="0" w:space="0" w:color="auto"/>
                <w:left w:val="none" w:sz="0" w:space="0" w:color="auto"/>
                <w:bottom w:val="none" w:sz="0" w:space="0" w:color="auto"/>
                <w:right w:val="none" w:sz="0" w:space="0" w:color="auto"/>
              </w:divBdr>
            </w:div>
          </w:divsChild>
        </w:div>
        <w:div w:id="210852540">
          <w:marLeft w:val="0"/>
          <w:marRight w:val="0"/>
          <w:marTop w:val="0"/>
          <w:marBottom w:val="0"/>
          <w:divBdr>
            <w:top w:val="none" w:sz="0" w:space="0" w:color="auto"/>
            <w:left w:val="none" w:sz="0" w:space="0" w:color="auto"/>
            <w:bottom w:val="none" w:sz="0" w:space="0" w:color="auto"/>
            <w:right w:val="none" w:sz="0" w:space="0" w:color="auto"/>
          </w:divBdr>
          <w:divsChild>
            <w:div w:id="1312566105">
              <w:marLeft w:val="0"/>
              <w:marRight w:val="0"/>
              <w:marTop w:val="0"/>
              <w:marBottom w:val="0"/>
              <w:divBdr>
                <w:top w:val="none" w:sz="0" w:space="0" w:color="auto"/>
                <w:left w:val="none" w:sz="0" w:space="0" w:color="auto"/>
                <w:bottom w:val="none" w:sz="0" w:space="0" w:color="auto"/>
                <w:right w:val="none" w:sz="0" w:space="0" w:color="auto"/>
              </w:divBdr>
            </w:div>
          </w:divsChild>
        </w:div>
        <w:div w:id="1319578070">
          <w:marLeft w:val="0"/>
          <w:marRight w:val="0"/>
          <w:marTop w:val="0"/>
          <w:marBottom w:val="0"/>
          <w:divBdr>
            <w:top w:val="none" w:sz="0" w:space="0" w:color="auto"/>
            <w:left w:val="none" w:sz="0" w:space="0" w:color="auto"/>
            <w:bottom w:val="none" w:sz="0" w:space="0" w:color="auto"/>
            <w:right w:val="none" w:sz="0" w:space="0" w:color="auto"/>
          </w:divBdr>
          <w:divsChild>
            <w:div w:id="10910904">
              <w:marLeft w:val="0"/>
              <w:marRight w:val="0"/>
              <w:marTop w:val="0"/>
              <w:marBottom w:val="0"/>
              <w:divBdr>
                <w:top w:val="none" w:sz="0" w:space="0" w:color="auto"/>
                <w:left w:val="none" w:sz="0" w:space="0" w:color="auto"/>
                <w:bottom w:val="none" w:sz="0" w:space="0" w:color="auto"/>
                <w:right w:val="none" w:sz="0" w:space="0" w:color="auto"/>
              </w:divBdr>
            </w:div>
          </w:divsChild>
        </w:div>
        <w:div w:id="825708854">
          <w:marLeft w:val="0"/>
          <w:marRight w:val="0"/>
          <w:marTop w:val="0"/>
          <w:marBottom w:val="0"/>
          <w:divBdr>
            <w:top w:val="none" w:sz="0" w:space="0" w:color="auto"/>
            <w:left w:val="none" w:sz="0" w:space="0" w:color="auto"/>
            <w:bottom w:val="none" w:sz="0" w:space="0" w:color="auto"/>
            <w:right w:val="none" w:sz="0" w:space="0" w:color="auto"/>
          </w:divBdr>
          <w:divsChild>
            <w:div w:id="355810856">
              <w:marLeft w:val="0"/>
              <w:marRight w:val="0"/>
              <w:marTop w:val="0"/>
              <w:marBottom w:val="0"/>
              <w:divBdr>
                <w:top w:val="none" w:sz="0" w:space="0" w:color="auto"/>
                <w:left w:val="none" w:sz="0" w:space="0" w:color="auto"/>
                <w:bottom w:val="none" w:sz="0" w:space="0" w:color="auto"/>
                <w:right w:val="none" w:sz="0" w:space="0" w:color="auto"/>
              </w:divBdr>
            </w:div>
          </w:divsChild>
        </w:div>
        <w:div w:id="661354967">
          <w:marLeft w:val="0"/>
          <w:marRight w:val="0"/>
          <w:marTop w:val="0"/>
          <w:marBottom w:val="0"/>
          <w:divBdr>
            <w:top w:val="none" w:sz="0" w:space="0" w:color="auto"/>
            <w:left w:val="none" w:sz="0" w:space="0" w:color="auto"/>
            <w:bottom w:val="none" w:sz="0" w:space="0" w:color="auto"/>
            <w:right w:val="none" w:sz="0" w:space="0" w:color="auto"/>
          </w:divBdr>
          <w:divsChild>
            <w:div w:id="790170249">
              <w:marLeft w:val="0"/>
              <w:marRight w:val="0"/>
              <w:marTop w:val="0"/>
              <w:marBottom w:val="0"/>
              <w:divBdr>
                <w:top w:val="none" w:sz="0" w:space="0" w:color="auto"/>
                <w:left w:val="none" w:sz="0" w:space="0" w:color="auto"/>
                <w:bottom w:val="none" w:sz="0" w:space="0" w:color="auto"/>
                <w:right w:val="none" w:sz="0" w:space="0" w:color="auto"/>
              </w:divBdr>
            </w:div>
          </w:divsChild>
        </w:div>
        <w:div w:id="853416257">
          <w:marLeft w:val="0"/>
          <w:marRight w:val="0"/>
          <w:marTop w:val="0"/>
          <w:marBottom w:val="0"/>
          <w:divBdr>
            <w:top w:val="none" w:sz="0" w:space="0" w:color="auto"/>
            <w:left w:val="none" w:sz="0" w:space="0" w:color="auto"/>
            <w:bottom w:val="none" w:sz="0" w:space="0" w:color="auto"/>
            <w:right w:val="none" w:sz="0" w:space="0" w:color="auto"/>
          </w:divBdr>
          <w:divsChild>
            <w:div w:id="1611861631">
              <w:marLeft w:val="0"/>
              <w:marRight w:val="0"/>
              <w:marTop w:val="0"/>
              <w:marBottom w:val="0"/>
              <w:divBdr>
                <w:top w:val="none" w:sz="0" w:space="0" w:color="auto"/>
                <w:left w:val="none" w:sz="0" w:space="0" w:color="auto"/>
                <w:bottom w:val="none" w:sz="0" w:space="0" w:color="auto"/>
                <w:right w:val="none" w:sz="0" w:space="0" w:color="auto"/>
              </w:divBdr>
            </w:div>
          </w:divsChild>
        </w:div>
        <w:div w:id="1406222509">
          <w:marLeft w:val="0"/>
          <w:marRight w:val="0"/>
          <w:marTop w:val="0"/>
          <w:marBottom w:val="0"/>
          <w:divBdr>
            <w:top w:val="none" w:sz="0" w:space="0" w:color="auto"/>
            <w:left w:val="none" w:sz="0" w:space="0" w:color="auto"/>
            <w:bottom w:val="none" w:sz="0" w:space="0" w:color="auto"/>
            <w:right w:val="none" w:sz="0" w:space="0" w:color="auto"/>
          </w:divBdr>
          <w:divsChild>
            <w:div w:id="1324042334">
              <w:marLeft w:val="0"/>
              <w:marRight w:val="0"/>
              <w:marTop w:val="0"/>
              <w:marBottom w:val="0"/>
              <w:divBdr>
                <w:top w:val="none" w:sz="0" w:space="0" w:color="auto"/>
                <w:left w:val="none" w:sz="0" w:space="0" w:color="auto"/>
                <w:bottom w:val="none" w:sz="0" w:space="0" w:color="auto"/>
                <w:right w:val="none" w:sz="0" w:space="0" w:color="auto"/>
              </w:divBdr>
            </w:div>
          </w:divsChild>
        </w:div>
        <w:div w:id="855458292">
          <w:marLeft w:val="0"/>
          <w:marRight w:val="0"/>
          <w:marTop w:val="0"/>
          <w:marBottom w:val="0"/>
          <w:divBdr>
            <w:top w:val="none" w:sz="0" w:space="0" w:color="auto"/>
            <w:left w:val="none" w:sz="0" w:space="0" w:color="auto"/>
            <w:bottom w:val="none" w:sz="0" w:space="0" w:color="auto"/>
            <w:right w:val="none" w:sz="0" w:space="0" w:color="auto"/>
          </w:divBdr>
          <w:divsChild>
            <w:div w:id="1301689993">
              <w:marLeft w:val="0"/>
              <w:marRight w:val="0"/>
              <w:marTop w:val="0"/>
              <w:marBottom w:val="0"/>
              <w:divBdr>
                <w:top w:val="none" w:sz="0" w:space="0" w:color="auto"/>
                <w:left w:val="none" w:sz="0" w:space="0" w:color="auto"/>
                <w:bottom w:val="none" w:sz="0" w:space="0" w:color="auto"/>
                <w:right w:val="none" w:sz="0" w:space="0" w:color="auto"/>
              </w:divBdr>
            </w:div>
          </w:divsChild>
        </w:div>
        <w:div w:id="1071847780">
          <w:marLeft w:val="0"/>
          <w:marRight w:val="0"/>
          <w:marTop w:val="0"/>
          <w:marBottom w:val="0"/>
          <w:divBdr>
            <w:top w:val="none" w:sz="0" w:space="0" w:color="auto"/>
            <w:left w:val="none" w:sz="0" w:space="0" w:color="auto"/>
            <w:bottom w:val="none" w:sz="0" w:space="0" w:color="auto"/>
            <w:right w:val="none" w:sz="0" w:space="0" w:color="auto"/>
          </w:divBdr>
          <w:divsChild>
            <w:div w:id="1304969289">
              <w:marLeft w:val="0"/>
              <w:marRight w:val="0"/>
              <w:marTop w:val="0"/>
              <w:marBottom w:val="0"/>
              <w:divBdr>
                <w:top w:val="none" w:sz="0" w:space="0" w:color="auto"/>
                <w:left w:val="none" w:sz="0" w:space="0" w:color="auto"/>
                <w:bottom w:val="none" w:sz="0" w:space="0" w:color="auto"/>
                <w:right w:val="none" w:sz="0" w:space="0" w:color="auto"/>
              </w:divBdr>
            </w:div>
          </w:divsChild>
        </w:div>
        <w:div w:id="798646691">
          <w:marLeft w:val="0"/>
          <w:marRight w:val="0"/>
          <w:marTop w:val="0"/>
          <w:marBottom w:val="0"/>
          <w:divBdr>
            <w:top w:val="none" w:sz="0" w:space="0" w:color="auto"/>
            <w:left w:val="none" w:sz="0" w:space="0" w:color="auto"/>
            <w:bottom w:val="none" w:sz="0" w:space="0" w:color="auto"/>
            <w:right w:val="none" w:sz="0" w:space="0" w:color="auto"/>
          </w:divBdr>
          <w:divsChild>
            <w:div w:id="847912850">
              <w:marLeft w:val="0"/>
              <w:marRight w:val="0"/>
              <w:marTop w:val="0"/>
              <w:marBottom w:val="0"/>
              <w:divBdr>
                <w:top w:val="none" w:sz="0" w:space="0" w:color="auto"/>
                <w:left w:val="none" w:sz="0" w:space="0" w:color="auto"/>
                <w:bottom w:val="none" w:sz="0" w:space="0" w:color="auto"/>
                <w:right w:val="none" w:sz="0" w:space="0" w:color="auto"/>
              </w:divBdr>
            </w:div>
          </w:divsChild>
        </w:div>
        <w:div w:id="2102214253">
          <w:marLeft w:val="0"/>
          <w:marRight w:val="0"/>
          <w:marTop w:val="0"/>
          <w:marBottom w:val="0"/>
          <w:divBdr>
            <w:top w:val="none" w:sz="0" w:space="0" w:color="auto"/>
            <w:left w:val="none" w:sz="0" w:space="0" w:color="auto"/>
            <w:bottom w:val="none" w:sz="0" w:space="0" w:color="auto"/>
            <w:right w:val="none" w:sz="0" w:space="0" w:color="auto"/>
          </w:divBdr>
          <w:divsChild>
            <w:div w:id="1410271756">
              <w:marLeft w:val="0"/>
              <w:marRight w:val="0"/>
              <w:marTop w:val="0"/>
              <w:marBottom w:val="0"/>
              <w:divBdr>
                <w:top w:val="none" w:sz="0" w:space="0" w:color="auto"/>
                <w:left w:val="none" w:sz="0" w:space="0" w:color="auto"/>
                <w:bottom w:val="none" w:sz="0" w:space="0" w:color="auto"/>
                <w:right w:val="none" w:sz="0" w:space="0" w:color="auto"/>
              </w:divBdr>
            </w:div>
          </w:divsChild>
        </w:div>
        <w:div w:id="604650250">
          <w:marLeft w:val="0"/>
          <w:marRight w:val="0"/>
          <w:marTop w:val="0"/>
          <w:marBottom w:val="0"/>
          <w:divBdr>
            <w:top w:val="none" w:sz="0" w:space="0" w:color="auto"/>
            <w:left w:val="none" w:sz="0" w:space="0" w:color="auto"/>
            <w:bottom w:val="none" w:sz="0" w:space="0" w:color="auto"/>
            <w:right w:val="none" w:sz="0" w:space="0" w:color="auto"/>
          </w:divBdr>
          <w:divsChild>
            <w:div w:id="2084258735">
              <w:marLeft w:val="0"/>
              <w:marRight w:val="0"/>
              <w:marTop w:val="0"/>
              <w:marBottom w:val="0"/>
              <w:divBdr>
                <w:top w:val="none" w:sz="0" w:space="0" w:color="auto"/>
                <w:left w:val="none" w:sz="0" w:space="0" w:color="auto"/>
                <w:bottom w:val="none" w:sz="0" w:space="0" w:color="auto"/>
                <w:right w:val="none" w:sz="0" w:space="0" w:color="auto"/>
              </w:divBdr>
            </w:div>
          </w:divsChild>
        </w:div>
        <w:div w:id="1495103704">
          <w:marLeft w:val="0"/>
          <w:marRight w:val="0"/>
          <w:marTop w:val="0"/>
          <w:marBottom w:val="0"/>
          <w:divBdr>
            <w:top w:val="none" w:sz="0" w:space="0" w:color="auto"/>
            <w:left w:val="none" w:sz="0" w:space="0" w:color="auto"/>
            <w:bottom w:val="none" w:sz="0" w:space="0" w:color="auto"/>
            <w:right w:val="none" w:sz="0" w:space="0" w:color="auto"/>
          </w:divBdr>
          <w:divsChild>
            <w:div w:id="445541833">
              <w:marLeft w:val="0"/>
              <w:marRight w:val="0"/>
              <w:marTop w:val="0"/>
              <w:marBottom w:val="0"/>
              <w:divBdr>
                <w:top w:val="none" w:sz="0" w:space="0" w:color="auto"/>
                <w:left w:val="none" w:sz="0" w:space="0" w:color="auto"/>
                <w:bottom w:val="none" w:sz="0" w:space="0" w:color="auto"/>
                <w:right w:val="none" w:sz="0" w:space="0" w:color="auto"/>
              </w:divBdr>
            </w:div>
          </w:divsChild>
        </w:div>
        <w:div w:id="965627190">
          <w:marLeft w:val="0"/>
          <w:marRight w:val="0"/>
          <w:marTop w:val="0"/>
          <w:marBottom w:val="0"/>
          <w:divBdr>
            <w:top w:val="none" w:sz="0" w:space="0" w:color="auto"/>
            <w:left w:val="none" w:sz="0" w:space="0" w:color="auto"/>
            <w:bottom w:val="none" w:sz="0" w:space="0" w:color="auto"/>
            <w:right w:val="none" w:sz="0" w:space="0" w:color="auto"/>
          </w:divBdr>
          <w:divsChild>
            <w:div w:id="504515247">
              <w:marLeft w:val="0"/>
              <w:marRight w:val="0"/>
              <w:marTop w:val="0"/>
              <w:marBottom w:val="0"/>
              <w:divBdr>
                <w:top w:val="none" w:sz="0" w:space="0" w:color="auto"/>
                <w:left w:val="none" w:sz="0" w:space="0" w:color="auto"/>
                <w:bottom w:val="none" w:sz="0" w:space="0" w:color="auto"/>
                <w:right w:val="none" w:sz="0" w:space="0" w:color="auto"/>
              </w:divBdr>
            </w:div>
          </w:divsChild>
        </w:div>
        <w:div w:id="1610315827">
          <w:marLeft w:val="0"/>
          <w:marRight w:val="0"/>
          <w:marTop w:val="0"/>
          <w:marBottom w:val="0"/>
          <w:divBdr>
            <w:top w:val="none" w:sz="0" w:space="0" w:color="auto"/>
            <w:left w:val="none" w:sz="0" w:space="0" w:color="auto"/>
            <w:bottom w:val="none" w:sz="0" w:space="0" w:color="auto"/>
            <w:right w:val="none" w:sz="0" w:space="0" w:color="auto"/>
          </w:divBdr>
          <w:divsChild>
            <w:div w:id="945619000">
              <w:marLeft w:val="0"/>
              <w:marRight w:val="0"/>
              <w:marTop w:val="0"/>
              <w:marBottom w:val="0"/>
              <w:divBdr>
                <w:top w:val="none" w:sz="0" w:space="0" w:color="auto"/>
                <w:left w:val="none" w:sz="0" w:space="0" w:color="auto"/>
                <w:bottom w:val="none" w:sz="0" w:space="0" w:color="auto"/>
                <w:right w:val="none" w:sz="0" w:space="0" w:color="auto"/>
              </w:divBdr>
            </w:div>
          </w:divsChild>
        </w:div>
        <w:div w:id="802693967">
          <w:marLeft w:val="0"/>
          <w:marRight w:val="0"/>
          <w:marTop w:val="0"/>
          <w:marBottom w:val="0"/>
          <w:divBdr>
            <w:top w:val="none" w:sz="0" w:space="0" w:color="auto"/>
            <w:left w:val="none" w:sz="0" w:space="0" w:color="auto"/>
            <w:bottom w:val="none" w:sz="0" w:space="0" w:color="auto"/>
            <w:right w:val="none" w:sz="0" w:space="0" w:color="auto"/>
          </w:divBdr>
          <w:divsChild>
            <w:div w:id="1758405409">
              <w:marLeft w:val="0"/>
              <w:marRight w:val="0"/>
              <w:marTop w:val="0"/>
              <w:marBottom w:val="0"/>
              <w:divBdr>
                <w:top w:val="none" w:sz="0" w:space="0" w:color="auto"/>
                <w:left w:val="none" w:sz="0" w:space="0" w:color="auto"/>
                <w:bottom w:val="none" w:sz="0" w:space="0" w:color="auto"/>
                <w:right w:val="none" w:sz="0" w:space="0" w:color="auto"/>
              </w:divBdr>
            </w:div>
          </w:divsChild>
        </w:div>
        <w:div w:id="2088988861">
          <w:marLeft w:val="0"/>
          <w:marRight w:val="0"/>
          <w:marTop w:val="0"/>
          <w:marBottom w:val="0"/>
          <w:divBdr>
            <w:top w:val="none" w:sz="0" w:space="0" w:color="auto"/>
            <w:left w:val="none" w:sz="0" w:space="0" w:color="auto"/>
            <w:bottom w:val="none" w:sz="0" w:space="0" w:color="auto"/>
            <w:right w:val="none" w:sz="0" w:space="0" w:color="auto"/>
          </w:divBdr>
          <w:divsChild>
            <w:div w:id="431629811">
              <w:marLeft w:val="0"/>
              <w:marRight w:val="0"/>
              <w:marTop w:val="0"/>
              <w:marBottom w:val="0"/>
              <w:divBdr>
                <w:top w:val="none" w:sz="0" w:space="0" w:color="auto"/>
                <w:left w:val="none" w:sz="0" w:space="0" w:color="auto"/>
                <w:bottom w:val="none" w:sz="0" w:space="0" w:color="auto"/>
                <w:right w:val="none" w:sz="0" w:space="0" w:color="auto"/>
              </w:divBdr>
            </w:div>
          </w:divsChild>
        </w:div>
        <w:div w:id="1251506659">
          <w:marLeft w:val="0"/>
          <w:marRight w:val="0"/>
          <w:marTop w:val="0"/>
          <w:marBottom w:val="0"/>
          <w:divBdr>
            <w:top w:val="none" w:sz="0" w:space="0" w:color="auto"/>
            <w:left w:val="none" w:sz="0" w:space="0" w:color="auto"/>
            <w:bottom w:val="none" w:sz="0" w:space="0" w:color="auto"/>
            <w:right w:val="none" w:sz="0" w:space="0" w:color="auto"/>
          </w:divBdr>
          <w:divsChild>
            <w:div w:id="938105484">
              <w:marLeft w:val="0"/>
              <w:marRight w:val="0"/>
              <w:marTop w:val="0"/>
              <w:marBottom w:val="0"/>
              <w:divBdr>
                <w:top w:val="none" w:sz="0" w:space="0" w:color="auto"/>
                <w:left w:val="none" w:sz="0" w:space="0" w:color="auto"/>
                <w:bottom w:val="none" w:sz="0" w:space="0" w:color="auto"/>
                <w:right w:val="none" w:sz="0" w:space="0" w:color="auto"/>
              </w:divBdr>
            </w:div>
          </w:divsChild>
        </w:div>
        <w:div w:id="1577207067">
          <w:marLeft w:val="0"/>
          <w:marRight w:val="0"/>
          <w:marTop w:val="0"/>
          <w:marBottom w:val="0"/>
          <w:divBdr>
            <w:top w:val="none" w:sz="0" w:space="0" w:color="auto"/>
            <w:left w:val="none" w:sz="0" w:space="0" w:color="auto"/>
            <w:bottom w:val="none" w:sz="0" w:space="0" w:color="auto"/>
            <w:right w:val="none" w:sz="0" w:space="0" w:color="auto"/>
          </w:divBdr>
          <w:divsChild>
            <w:div w:id="548035906">
              <w:marLeft w:val="0"/>
              <w:marRight w:val="0"/>
              <w:marTop w:val="0"/>
              <w:marBottom w:val="0"/>
              <w:divBdr>
                <w:top w:val="none" w:sz="0" w:space="0" w:color="auto"/>
                <w:left w:val="none" w:sz="0" w:space="0" w:color="auto"/>
                <w:bottom w:val="none" w:sz="0" w:space="0" w:color="auto"/>
                <w:right w:val="none" w:sz="0" w:space="0" w:color="auto"/>
              </w:divBdr>
            </w:div>
          </w:divsChild>
        </w:div>
        <w:div w:id="2003461762">
          <w:marLeft w:val="0"/>
          <w:marRight w:val="0"/>
          <w:marTop w:val="0"/>
          <w:marBottom w:val="0"/>
          <w:divBdr>
            <w:top w:val="none" w:sz="0" w:space="0" w:color="auto"/>
            <w:left w:val="none" w:sz="0" w:space="0" w:color="auto"/>
            <w:bottom w:val="none" w:sz="0" w:space="0" w:color="auto"/>
            <w:right w:val="none" w:sz="0" w:space="0" w:color="auto"/>
          </w:divBdr>
          <w:divsChild>
            <w:div w:id="984118897">
              <w:marLeft w:val="0"/>
              <w:marRight w:val="0"/>
              <w:marTop w:val="0"/>
              <w:marBottom w:val="0"/>
              <w:divBdr>
                <w:top w:val="none" w:sz="0" w:space="0" w:color="auto"/>
                <w:left w:val="none" w:sz="0" w:space="0" w:color="auto"/>
                <w:bottom w:val="none" w:sz="0" w:space="0" w:color="auto"/>
                <w:right w:val="none" w:sz="0" w:space="0" w:color="auto"/>
              </w:divBdr>
            </w:div>
          </w:divsChild>
        </w:div>
        <w:div w:id="1888685805">
          <w:marLeft w:val="0"/>
          <w:marRight w:val="0"/>
          <w:marTop w:val="0"/>
          <w:marBottom w:val="0"/>
          <w:divBdr>
            <w:top w:val="none" w:sz="0" w:space="0" w:color="auto"/>
            <w:left w:val="none" w:sz="0" w:space="0" w:color="auto"/>
            <w:bottom w:val="none" w:sz="0" w:space="0" w:color="auto"/>
            <w:right w:val="none" w:sz="0" w:space="0" w:color="auto"/>
          </w:divBdr>
          <w:divsChild>
            <w:div w:id="782071152">
              <w:marLeft w:val="0"/>
              <w:marRight w:val="0"/>
              <w:marTop w:val="0"/>
              <w:marBottom w:val="0"/>
              <w:divBdr>
                <w:top w:val="none" w:sz="0" w:space="0" w:color="auto"/>
                <w:left w:val="none" w:sz="0" w:space="0" w:color="auto"/>
                <w:bottom w:val="none" w:sz="0" w:space="0" w:color="auto"/>
                <w:right w:val="none" w:sz="0" w:space="0" w:color="auto"/>
              </w:divBdr>
            </w:div>
          </w:divsChild>
        </w:div>
        <w:div w:id="1294750963">
          <w:marLeft w:val="0"/>
          <w:marRight w:val="0"/>
          <w:marTop w:val="0"/>
          <w:marBottom w:val="0"/>
          <w:divBdr>
            <w:top w:val="none" w:sz="0" w:space="0" w:color="auto"/>
            <w:left w:val="none" w:sz="0" w:space="0" w:color="auto"/>
            <w:bottom w:val="none" w:sz="0" w:space="0" w:color="auto"/>
            <w:right w:val="none" w:sz="0" w:space="0" w:color="auto"/>
          </w:divBdr>
          <w:divsChild>
            <w:div w:id="812257720">
              <w:marLeft w:val="0"/>
              <w:marRight w:val="0"/>
              <w:marTop w:val="0"/>
              <w:marBottom w:val="0"/>
              <w:divBdr>
                <w:top w:val="none" w:sz="0" w:space="0" w:color="auto"/>
                <w:left w:val="none" w:sz="0" w:space="0" w:color="auto"/>
                <w:bottom w:val="none" w:sz="0" w:space="0" w:color="auto"/>
                <w:right w:val="none" w:sz="0" w:space="0" w:color="auto"/>
              </w:divBdr>
            </w:div>
          </w:divsChild>
        </w:div>
        <w:div w:id="668093162">
          <w:marLeft w:val="0"/>
          <w:marRight w:val="0"/>
          <w:marTop w:val="0"/>
          <w:marBottom w:val="0"/>
          <w:divBdr>
            <w:top w:val="none" w:sz="0" w:space="0" w:color="auto"/>
            <w:left w:val="none" w:sz="0" w:space="0" w:color="auto"/>
            <w:bottom w:val="none" w:sz="0" w:space="0" w:color="auto"/>
            <w:right w:val="none" w:sz="0" w:space="0" w:color="auto"/>
          </w:divBdr>
          <w:divsChild>
            <w:div w:id="2106800426">
              <w:marLeft w:val="0"/>
              <w:marRight w:val="0"/>
              <w:marTop w:val="0"/>
              <w:marBottom w:val="0"/>
              <w:divBdr>
                <w:top w:val="none" w:sz="0" w:space="0" w:color="auto"/>
                <w:left w:val="none" w:sz="0" w:space="0" w:color="auto"/>
                <w:bottom w:val="none" w:sz="0" w:space="0" w:color="auto"/>
                <w:right w:val="none" w:sz="0" w:space="0" w:color="auto"/>
              </w:divBdr>
            </w:div>
          </w:divsChild>
        </w:div>
        <w:div w:id="351493319">
          <w:marLeft w:val="0"/>
          <w:marRight w:val="0"/>
          <w:marTop w:val="0"/>
          <w:marBottom w:val="0"/>
          <w:divBdr>
            <w:top w:val="none" w:sz="0" w:space="0" w:color="auto"/>
            <w:left w:val="none" w:sz="0" w:space="0" w:color="auto"/>
            <w:bottom w:val="none" w:sz="0" w:space="0" w:color="auto"/>
            <w:right w:val="none" w:sz="0" w:space="0" w:color="auto"/>
          </w:divBdr>
          <w:divsChild>
            <w:div w:id="32584818">
              <w:marLeft w:val="0"/>
              <w:marRight w:val="0"/>
              <w:marTop w:val="0"/>
              <w:marBottom w:val="0"/>
              <w:divBdr>
                <w:top w:val="none" w:sz="0" w:space="0" w:color="auto"/>
                <w:left w:val="none" w:sz="0" w:space="0" w:color="auto"/>
                <w:bottom w:val="none" w:sz="0" w:space="0" w:color="auto"/>
                <w:right w:val="none" w:sz="0" w:space="0" w:color="auto"/>
              </w:divBdr>
            </w:div>
          </w:divsChild>
        </w:div>
        <w:div w:id="889463480">
          <w:marLeft w:val="0"/>
          <w:marRight w:val="0"/>
          <w:marTop w:val="0"/>
          <w:marBottom w:val="0"/>
          <w:divBdr>
            <w:top w:val="none" w:sz="0" w:space="0" w:color="auto"/>
            <w:left w:val="none" w:sz="0" w:space="0" w:color="auto"/>
            <w:bottom w:val="none" w:sz="0" w:space="0" w:color="auto"/>
            <w:right w:val="none" w:sz="0" w:space="0" w:color="auto"/>
          </w:divBdr>
          <w:divsChild>
            <w:div w:id="1694722460">
              <w:marLeft w:val="0"/>
              <w:marRight w:val="0"/>
              <w:marTop w:val="0"/>
              <w:marBottom w:val="0"/>
              <w:divBdr>
                <w:top w:val="none" w:sz="0" w:space="0" w:color="auto"/>
                <w:left w:val="none" w:sz="0" w:space="0" w:color="auto"/>
                <w:bottom w:val="none" w:sz="0" w:space="0" w:color="auto"/>
                <w:right w:val="none" w:sz="0" w:space="0" w:color="auto"/>
              </w:divBdr>
            </w:div>
          </w:divsChild>
        </w:div>
        <w:div w:id="878083674">
          <w:marLeft w:val="0"/>
          <w:marRight w:val="0"/>
          <w:marTop w:val="0"/>
          <w:marBottom w:val="0"/>
          <w:divBdr>
            <w:top w:val="none" w:sz="0" w:space="0" w:color="auto"/>
            <w:left w:val="none" w:sz="0" w:space="0" w:color="auto"/>
            <w:bottom w:val="none" w:sz="0" w:space="0" w:color="auto"/>
            <w:right w:val="none" w:sz="0" w:space="0" w:color="auto"/>
          </w:divBdr>
          <w:divsChild>
            <w:div w:id="234122279">
              <w:marLeft w:val="0"/>
              <w:marRight w:val="0"/>
              <w:marTop w:val="0"/>
              <w:marBottom w:val="0"/>
              <w:divBdr>
                <w:top w:val="none" w:sz="0" w:space="0" w:color="auto"/>
                <w:left w:val="none" w:sz="0" w:space="0" w:color="auto"/>
                <w:bottom w:val="none" w:sz="0" w:space="0" w:color="auto"/>
                <w:right w:val="none" w:sz="0" w:space="0" w:color="auto"/>
              </w:divBdr>
            </w:div>
          </w:divsChild>
        </w:div>
        <w:div w:id="1087771991">
          <w:marLeft w:val="0"/>
          <w:marRight w:val="0"/>
          <w:marTop w:val="0"/>
          <w:marBottom w:val="0"/>
          <w:divBdr>
            <w:top w:val="none" w:sz="0" w:space="0" w:color="auto"/>
            <w:left w:val="none" w:sz="0" w:space="0" w:color="auto"/>
            <w:bottom w:val="none" w:sz="0" w:space="0" w:color="auto"/>
            <w:right w:val="none" w:sz="0" w:space="0" w:color="auto"/>
          </w:divBdr>
          <w:divsChild>
            <w:div w:id="18747825">
              <w:marLeft w:val="0"/>
              <w:marRight w:val="0"/>
              <w:marTop w:val="0"/>
              <w:marBottom w:val="0"/>
              <w:divBdr>
                <w:top w:val="none" w:sz="0" w:space="0" w:color="auto"/>
                <w:left w:val="none" w:sz="0" w:space="0" w:color="auto"/>
                <w:bottom w:val="none" w:sz="0" w:space="0" w:color="auto"/>
                <w:right w:val="none" w:sz="0" w:space="0" w:color="auto"/>
              </w:divBdr>
            </w:div>
          </w:divsChild>
        </w:div>
        <w:div w:id="236211729">
          <w:marLeft w:val="0"/>
          <w:marRight w:val="0"/>
          <w:marTop w:val="0"/>
          <w:marBottom w:val="0"/>
          <w:divBdr>
            <w:top w:val="none" w:sz="0" w:space="0" w:color="auto"/>
            <w:left w:val="none" w:sz="0" w:space="0" w:color="auto"/>
            <w:bottom w:val="none" w:sz="0" w:space="0" w:color="auto"/>
            <w:right w:val="none" w:sz="0" w:space="0" w:color="auto"/>
          </w:divBdr>
          <w:divsChild>
            <w:div w:id="784038033">
              <w:marLeft w:val="0"/>
              <w:marRight w:val="0"/>
              <w:marTop w:val="0"/>
              <w:marBottom w:val="0"/>
              <w:divBdr>
                <w:top w:val="none" w:sz="0" w:space="0" w:color="auto"/>
                <w:left w:val="none" w:sz="0" w:space="0" w:color="auto"/>
                <w:bottom w:val="none" w:sz="0" w:space="0" w:color="auto"/>
                <w:right w:val="none" w:sz="0" w:space="0" w:color="auto"/>
              </w:divBdr>
            </w:div>
          </w:divsChild>
        </w:div>
        <w:div w:id="975797586">
          <w:marLeft w:val="0"/>
          <w:marRight w:val="0"/>
          <w:marTop w:val="0"/>
          <w:marBottom w:val="0"/>
          <w:divBdr>
            <w:top w:val="none" w:sz="0" w:space="0" w:color="auto"/>
            <w:left w:val="none" w:sz="0" w:space="0" w:color="auto"/>
            <w:bottom w:val="none" w:sz="0" w:space="0" w:color="auto"/>
            <w:right w:val="none" w:sz="0" w:space="0" w:color="auto"/>
          </w:divBdr>
          <w:divsChild>
            <w:div w:id="86507691">
              <w:marLeft w:val="0"/>
              <w:marRight w:val="0"/>
              <w:marTop w:val="0"/>
              <w:marBottom w:val="0"/>
              <w:divBdr>
                <w:top w:val="none" w:sz="0" w:space="0" w:color="auto"/>
                <w:left w:val="none" w:sz="0" w:space="0" w:color="auto"/>
                <w:bottom w:val="none" w:sz="0" w:space="0" w:color="auto"/>
                <w:right w:val="none" w:sz="0" w:space="0" w:color="auto"/>
              </w:divBdr>
            </w:div>
          </w:divsChild>
        </w:div>
        <w:div w:id="1765226760">
          <w:marLeft w:val="0"/>
          <w:marRight w:val="0"/>
          <w:marTop w:val="0"/>
          <w:marBottom w:val="0"/>
          <w:divBdr>
            <w:top w:val="none" w:sz="0" w:space="0" w:color="auto"/>
            <w:left w:val="none" w:sz="0" w:space="0" w:color="auto"/>
            <w:bottom w:val="none" w:sz="0" w:space="0" w:color="auto"/>
            <w:right w:val="none" w:sz="0" w:space="0" w:color="auto"/>
          </w:divBdr>
          <w:divsChild>
            <w:div w:id="1672175899">
              <w:marLeft w:val="0"/>
              <w:marRight w:val="0"/>
              <w:marTop w:val="0"/>
              <w:marBottom w:val="0"/>
              <w:divBdr>
                <w:top w:val="none" w:sz="0" w:space="0" w:color="auto"/>
                <w:left w:val="none" w:sz="0" w:space="0" w:color="auto"/>
                <w:bottom w:val="none" w:sz="0" w:space="0" w:color="auto"/>
                <w:right w:val="none" w:sz="0" w:space="0" w:color="auto"/>
              </w:divBdr>
            </w:div>
          </w:divsChild>
        </w:div>
        <w:div w:id="839931953">
          <w:marLeft w:val="0"/>
          <w:marRight w:val="0"/>
          <w:marTop w:val="0"/>
          <w:marBottom w:val="0"/>
          <w:divBdr>
            <w:top w:val="none" w:sz="0" w:space="0" w:color="auto"/>
            <w:left w:val="none" w:sz="0" w:space="0" w:color="auto"/>
            <w:bottom w:val="none" w:sz="0" w:space="0" w:color="auto"/>
            <w:right w:val="none" w:sz="0" w:space="0" w:color="auto"/>
          </w:divBdr>
          <w:divsChild>
            <w:div w:id="206528837">
              <w:marLeft w:val="0"/>
              <w:marRight w:val="0"/>
              <w:marTop w:val="0"/>
              <w:marBottom w:val="0"/>
              <w:divBdr>
                <w:top w:val="none" w:sz="0" w:space="0" w:color="auto"/>
                <w:left w:val="none" w:sz="0" w:space="0" w:color="auto"/>
                <w:bottom w:val="none" w:sz="0" w:space="0" w:color="auto"/>
                <w:right w:val="none" w:sz="0" w:space="0" w:color="auto"/>
              </w:divBdr>
            </w:div>
          </w:divsChild>
        </w:div>
        <w:div w:id="1171872424">
          <w:marLeft w:val="0"/>
          <w:marRight w:val="0"/>
          <w:marTop w:val="0"/>
          <w:marBottom w:val="0"/>
          <w:divBdr>
            <w:top w:val="none" w:sz="0" w:space="0" w:color="auto"/>
            <w:left w:val="none" w:sz="0" w:space="0" w:color="auto"/>
            <w:bottom w:val="none" w:sz="0" w:space="0" w:color="auto"/>
            <w:right w:val="none" w:sz="0" w:space="0" w:color="auto"/>
          </w:divBdr>
          <w:divsChild>
            <w:div w:id="1984390576">
              <w:marLeft w:val="0"/>
              <w:marRight w:val="0"/>
              <w:marTop w:val="0"/>
              <w:marBottom w:val="0"/>
              <w:divBdr>
                <w:top w:val="none" w:sz="0" w:space="0" w:color="auto"/>
                <w:left w:val="none" w:sz="0" w:space="0" w:color="auto"/>
                <w:bottom w:val="none" w:sz="0" w:space="0" w:color="auto"/>
                <w:right w:val="none" w:sz="0" w:space="0" w:color="auto"/>
              </w:divBdr>
            </w:div>
          </w:divsChild>
        </w:div>
        <w:div w:id="1303315268">
          <w:marLeft w:val="0"/>
          <w:marRight w:val="0"/>
          <w:marTop w:val="0"/>
          <w:marBottom w:val="0"/>
          <w:divBdr>
            <w:top w:val="none" w:sz="0" w:space="0" w:color="auto"/>
            <w:left w:val="none" w:sz="0" w:space="0" w:color="auto"/>
            <w:bottom w:val="none" w:sz="0" w:space="0" w:color="auto"/>
            <w:right w:val="none" w:sz="0" w:space="0" w:color="auto"/>
          </w:divBdr>
          <w:divsChild>
            <w:div w:id="2141072502">
              <w:marLeft w:val="0"/>
              <w:marRight w:val="0"/>
              <w:marTop w:val="0"/>
              <w:marBottom w:val="0"/>
              <w:divBdr>
                <w:top w:val="none" w:sz="0" w:space="0" w:color="auto"/>
                <w:left w:val="none" w:sz="0" w:space="0" w:color="auto"/>
                <w:bottom w:val="none" w:sz="0" w:space="0" w:color="auto"/>
                <w:right w:val="none" w:sz="0" w:space="0" w:color="auto"/>
              </w:divBdr>
            </w:div>
          </w:divsChild>
        </w:div>
        <w:div w:id="1366715415">
          <w:marLeft w:val="0"/>
          <w:marRight w:val="0"/>
          <w:marTop w:val="0"/>
          <w:marBottom w:val="0"/>
          <w:divBdr>
            <w:top w:val="none" w:sz="0" w:space="0" w:color="auto"/>
            <w:left w:val="none" w:sz="0" w:space="0" w:color="auto"/>
            <w:bottom w:val="none" w:sz="0" w:space="0" w:color="auto"/>
            <w:right w:val="none" w:sz="0" w:space="0" w:color="auto"/>
          </w:divBdr>
          <w:divsChild>
            <w:div w:id="1605841192">
              <w:marLeft w:val="0"/>
              <w:marRight w:val="0"/>
              <w:marTop w:val="0"/>
              <w:marBottom w:val="0"/>
              <w:divBdr>
                <w:top w:val="none" w:sz="0" w:space="0" w:color="auto"/>
                <w:left w:val="none" w:sz="0" w:space="0" w:color="auto"/>
                <w:bottom w:val="none" w:sz="0" w:space="0" w:color="auto"/>
                <w:right w:val="none" w:sz="0" w:space="0" w:color="auto"/>
              </w:divBdr>
            </w:div>
          </w:divsChild>
        </w:div>
        <w:div w:id="1080105294">
          <w:marLeft w:val="0"/>
          <w:marRight w:val="0"/>
          <w:marTop w:val="0"/>
          <w:marBottom w:val="0"/>
          <w:divBdr>
            <w:top w:val="none" w:sz="0" w:space="0" w:color="auto"/>
            <w:left w:val="none" w:sz="0" w:space="0" w:color="auto"/>
            <w:bottom w:val="none" w:sz="0" w:space="0" w:color="auto"/>
            <w:right w:val="none" w:sz="0" w:space="0" w:color="auto"/>
          </w:divBdr>
          <w:divsChild>
            <w:div w:id="1747800215">
              <w:marLeft w:val="0"/>
              <w:marRight w:val="0"/>
              <w:marTop w:val="0"/>
              <w:marBottom w:val="0"/>
              <w:divBdr>
                <w:top w:val="none" w:sz="0" w:space="0" w:color="auto"/>
                <w:left w:val="none" w:sz="0" w:space="0" w:color="auto"/>
                <w:bottom w:val="none" w:sz="0" w:space="0" w:color="auto"/>
                <w:right w:val="none" w:sz="0" w:space="0" w:color="auto"/>
              </w:divBdr>
            </w:div>
          </w:divsChild>
        </w:div>
        <w:div w:id="104884476">
          <w:marLeft w:val="0"/>
          <w:marRight w:val="0"/>
          <w:marTop w:val="0"/>
          <w:marBottom w:val="0"/>
          <w:divBdr>
            <w:top w:val="none" w:sz="0" w:space="0" w:color="auto"/>
            <w:left w:val="none" w:sz="0" w:space="0" w:color="auto"/>
            <w:bottom w:val="none" w:sz="0" w:space="0" w:color="auto"/>
            <w:right w:val="none" w:sz="0" w:space="0" w:color="auto"/>
          </w:divBdr>
          <w:divsChild>
            <w:div w:id="1143935161">
              <w:marLeft w:val="0"/>
              <w:marRight w:val="0"/>
              <w:marTop w:val="0"/>
              <w:marBottom w:val="0"/>
              <w:divBdr>
                <w:top w:val="none" w:sz="0" w:space="0" w:color="auto"/>
                <w:left w:val="none" w:sz="0" w:space="0" w:color="auto"/>
                <w:bottom w:val="none" w:sz="0" w:space="0" w:color="auto"/>
                <w:right w:val="none" w:sz="0" w:space="0" w:color="auto"/>
              </w:divBdr>
            </w:div>
          </w:divsChild>
        </w:div>
        <w:div w:id="707874573">
          <w:marLeft w:val="0"/>
          <w:marRight w:val="0"/>
          <w:marTop w:val="0"/>
          <w:marBottom w:val="0"/>
          <w:divBdr>
            <w:top w:val="none" w:sz="0" w:space="0" w:color="auto"/>
            <w:left w:val="none" w:sz="0" w:space="0" w:color="auto"/>
            <w:bottom w:val="none" w:sz="0" w:space="0" w:color="auto"/>
            <w:right w:val="none" w:sz="0" w:space="0" w:color="auto"/>
          </w:divBdr>
          <w:divsChild>
            <w:div w:id="932711349">
              <w:marLeft w:val="0"/>
              <w:marRight w:val="0"/>
              <w:marTop w:val="0"/>
              <w:marBottom w:val="0"/>
              <w:divBdr>
                <w:top w:val="none" w:sz="0" w:space="0" w:color="auto"/>
                <w:left w:val="none" w:sz="0" w:space="0" w:color="auto"/>
                <w:bottom w:val="none" w:sz="0" w:space="0" w:color="auto"/>
                <w:right w:val="none" w:sz="0" w:space="0" w:color="auto"/>
              </w:divBdr>
            </w:div>
          </w:divsChild>
        </w:div>
        <w:div w:id="2043749100">
          <w:marLeft w:val="0"/>
          <w:marRight w:val="0"/>
          <w:marTop w:val="0"/>
          <w:marBottom w:val="0"/>
          <w:divBdr>
            <w:top w:val="none" w:sz="0" w:space="0" w:color="auto"/>
            <w:left w:val="none" w:sz="0" w:space="0" w:color="auto"/>
            <w:bottom w:val="none" w:sz="0" w:space="0" w:color="auto"/>
            <w:right w:val="none" w:sz="0" w:space="0" w:color="auto"/>
          </w:divBdr>
          <w:divsChild>
            <w:div w:id="998121370">
              <w:marLeft w:val="0"/>
              <w:marRight w:val="0"/>
              <w:marTop w:val="0"/>
              <w:marBottom w:val="0"/>
              <w:divBdr>
                <w:top w:val="none" w:sz="0" w:space="0" w:color="auto"/>
                <w:left w:val="none" w:sz="0" w:space="0" w:color="auto"/>
                <w:bottom w:val="none" w:sz="0" w:space="0" w:color="auto"/>
                <w:right w:val="none" w:sz="0" w:space="0" w:color="auto"/>
              </w:divBdr>
            </w:div>
          </w:divsChild>
        </w:div>
        <w:div w:id="1324357532">
          <w:marLeft w:val="0"/>
          <w:marRight w:val="0"/>
          <w:marTop w:val="0"/>
          <w:marBottom w:val="0"/>
          <w:divBdr>
            <w:top w:val="none" w:sz="0" w:space="0" w:color="auto"/>
            <w:left w:val="none" w:sz="0" w:space="0" w:color="auto"/>
            <w:bottom w:val="none" w:sz="0" w:space="0" w:color="auto"/>
            <w:right w:val="none" w:sz="0" w:space="0" w:color="auto"/>
          </w:divBdr>
          <w:divsChild>
            <w:div w:id="985620839">
              <w:marLeft w:val="0"/>
              <w:marRight w:val="0"/>
              <w:marTop w:val="0"/>
              <w:marBottom w:val="0"/>
              <w:divBdr>
                <w:top w:val="none" w:sz="0" w:space="0" w:color="auto"/>
                <w:left w:val="none" w:sz="0" w:space="0" w:color="auto"/>
                <w:bottom w:val="none" w:sz="0" w:space="0" w:color="auto"/>
                <w:right w:val="none" w:sz="0" w:space="0" w:color="auto"/>
              </w:divBdr>
            </w:div>
          </w:divsChild>
        </w:div>
        <w:div w:id="1139570973">
          <w:marLeft w:val="0"/>
          <w:marRight w:val="0"/>
          <w:marTop w:val="0"/>
          <w:marBottom w:val="0"/>
          <w:divBdr>
            <w:top w:val="none" w:sz="0" w:space="0" w:color="auto"/>
            <w:left w:val="none" w:sz="0" w:space="0" w:color="auto"/>
            <w:bottom w:val="none" w:sz="0" w:space="0" w:color="auto"/>
            <w:right w:val="none" w:sz="0" w:space="0" w:color="auto"/>
          </w:divBdr>
          <w:divsChild>
            <w:div w:id="1376807331">
              <w:marLeft w:val="0"/>
              <w:marRight w:val="0"/>
              <w:marTop w:val="0"/>
              <w:marBottom w:val="0"/>
              <w:divBdr>
                <w:top w:val="none" w:sz="0" w:space="0" w:color="auto"/>
                <w:left w:val="none" w:sz="0" w:space="0" w:color="auto"/>
                <w:bottom w:val="none" w:sz="0" w:space="0" w:color="auto"/>
                <w:right w:val="none" w:sz="0" w:space="0" w:color="auto"/>
              </w:divBdr>
            </w:div>
          </w:divsChild>
        </w:div>
        <w:div w:id="1110277328">
          <w:marLeft w:val="0"/>
          <w:marRight w:val="0"/>
          <w:marTop w:val="0"/>
          <w:marBottom w:val="0"/>
          <w:divBdr>
            <w:top w:val="none" w:sz="0" w:space="0" w:color="auto"/>
            <w:left w:val="none" w:sz="0" w:space="0" w:color="auto"/>
            <w:bottom w:val="none" w:sz="0" w:space="0" w:color="auto"/>
            <w:right w:val="none" w:sz="0" w:space="0" w:color="auto"/>
          </w:divBdr>
          <w:divsChild>
            <w:div w:id="1742171586">
              <w:marLeft w:val="0"/>
              <w:marRight w:val="0"/>
              <w:marTop w:val="0"/>
              <w:marBottom w:val="0"/>
              <w:divBdr>
                <w:top w:val="none" w:sz="0" w:space="0" w:color="auto"/>
                <w:left w:val="none" w:sz="0" w:space="0" w:color="auto"/>
                <w:bottom w:val="none" w:sz="0" w:space="0" w:color="auto"/>
                <w:right w:val="none" w:sz="0" w:space="0" w:color="auto"/>
              </w:divBdr>
            </w:div>
          </w:divsChild>
        </w:div>
        <w:div w:id="336154860">
          <w:marLeft w:val="0"/>
          <w:marRight w:val="0"/>
          <w:marTop w:val="0"/>
          <w:marBottom w:val="0"/>
          <w:divBdr>
            <w:top w:val="none" w:sz="0" w:space="0" w:color="auto"/>
            <w:left w:val="none" w:sz="0" w:space="0" w:color="auto"/>
            <w:bottom w:val="none" w:sz="0" w:space="0" w:color="auto"/>
            <w:right w:val="none" w:sz="0" w:space="0" w:color="auto"/>
          </w:divBdr>
          <w:divsChild>
            <w:div w:id="1632706529">
              <w:marLeft w:val="0"/>
              <w:marRight w:val="0"/>
              <w:marTop w:val="0"/>
              <w:marBottom w:val="0"/>
              <w:divBdr>
                <w:top w:val="none" w:sz="0" w:space="0" w:color="auto"/>
                <w:left w:val="none" w:sz="0" w:space="0" w:color="auto"/>
                <w:bottom w:val="none" w:sz="0" w:space="0" w:color="auto"/>
                <w:right w:val="none" w:sz="0" w:space="0" w:color="auto"/>
              </w:divBdr>
            </w:div>
          </w:divsChild>
        </w:div>
        <w:div w:id="152331392">
          <w:marLeft w:val="0"/>
          <w:marRight w:val="0"/>
          <w:marTop w:val="0"/>
          <w:marBottom w:val="0"/>
          <w:divBdr>
            <w:top w:val="none" w:sz="0" w:space="0" w:color="auto"/>
            <w:left w:val="none" w:sz="0" w:space="0" w:color="auto"/>
            <w:bottom w:val="none" w:sz="0" w:space="0" w:color="auto"/>
            <w:right w:val="none" w:sz="0" w:space="0" w:color="auto"/>
          </w:divBdr>
          <w:divsChild>
            <w:div w:id="535387143">
              <w:marLeft w:val="0"/>
              <w:marRight w:val="0"/>
              <w:marTop w:val="0"/>
              <w:marBottom w:val="0"/>
              <w:divBdr>
                <w:top w:val="none" w:sz="0" w:space="0" w:color="auto"/>
                <w:left w:val="none" w:sz="0" w:space="0" w:color="auto"/>
                <w:bottom w:val="none" w:sz="0" w:space="0" w:color="auto"/>
                <w:right w:val="none" w:sz="0" w:space="0" w:color="auto"/>
              </w:divBdr>
            </w:div>
          </w:divsChild>
        </w:div>
        <w:div w:id="720710139">
          <w:marLeft w:val="0"/>
          <w:marRight w:val="0"/>
          <w:marTop w:val="0"/>
          <w:marBottom w:val="0"/>
          <w:divBdr>
            <w:top w:val="none" w:sz="0" w:space="0" w:color="auto"/>
            <w:left w:val="none" w:sz="0" w:space="0" w:color="auto"/>
            <w:bottom w:val="none" w:sz="0" w:space="0" w:color="auto"/>
            <w:right w:val="none" w:sz="0" w:space="0" w:color="auto"/>
          </w:divBdr>
          <w:divsChild>
            <w:div w:id="742878433">
              <w:marLeft w:val="0"/>
              <w:marRight w:val="0"/>
              <w:marTop w:val="0"/>
              <w:marBottom w:val="0"/>
              <w:divBdr>
                <w:top w:val="none" w:sz="0" w:space="0" w:color="auto"/>
                <w:left w:val="none" w:sz="0" w:space="0" w:color="auto"/>
                <w:bottom w:val="none" w:sz="0" w:space="0" w:color="auto"/>
                <w:right w:val="none" w:sz="0" w:space="0" w:color="auto"/>
              </w:divBdr>
            </w:div>
          </w:divsChild>
        </w:div>
        <w:div w:id="375548130">
          <w:marLeft w:val="0"/>
          <w:marRight w:val="0"/>
          <w:marTop w:val="0"/>
          <w:marBottom w:val="0"/>
          <w:divBdr>
            <w:top w:val="none" w:sz="0" w:space="0" w:color="auto"/>
            <w:left w:val="none" w:sz="0" w:space="0" w:color="auto"/>
            <w:bottom w:val="none" w:sz="0" w:space="0" w:color="auto"/>
            <w:right w:val="none" w:sz="0" w:space="0" w:color="auto"/>
          </w:divBdr>
          <w:divsChild>
            <w:div w:id="232930649">
              <w:marLeft w:val="0"/>
              <w:marRight w:val="0"/>
              <w:marTop w:val="0"/>
              <w:marBottom w:val="0"/>
              <w:divBdr>
                <w:top w:val="none" w:sz="0" w:space="0" w:color="auto"/>
                <w:left w:val="none" w:sz="0" w:space="0" w:color="auto"/>
                <w:bottom w:val="none" w:sz="0" w:space="0" w:color="auto"/>
                <w:right w:val="none" w:sz="0" w:space="0" w:color="auto"/>
              </w:divBdr>
            </w:div>
          </w:divsChild>
        </w:div>
        <w:div w:id="119542382">
          <w:marLeft w:val="0"/>
          <w:marRight w:val="0"/>
          <w:marTop w:val="0"/>
          <w:marBottom w:val="0"/>
          <w:divBdr>
            <w:top w:val="none" w:sz="0" w:space="0" w:color="auto"/>
            <w:left w:val="none" w:sz="0" w:space="0" w:color="auto"/>
            <w:bottom w:val="none" w:sz="0" w:space="0" w:color="auto"/>
            <w:right w:val="none" w:sz="0" w:space="0" w:color="auto"/>
          </w:divBdr>
          <w:divsChild>
            <w:div w:id="1065374439">
              <w:marLeft w:val="0"/>
              <w:marRight w:val="0"/>
              <w:marTop w:val="0"/>
              <w:marBottom w:val="0"/>
              <w:divBdr>
                <w:top w:val="none" w:sz="0" w:space="0" w:color="auto"/>
                <w:left w:val="none" w:sz="0" w:space="0" w:color="auto"/>
                <w:bottom w:val="none" w:sz="0" w:space="0" w:color="auto"/>
                <w:right w:val="none" w:sz="0" w:space="0" w:color="auto"/>
              </w:divBdr>
            </w:div>
          </w:divsChild>
        </w:div>
        <w:div w:id="336154842">
          <w:marLeft w:val="0"/>
          <w:marRight w:val="0"/>
          <w:marTop w:val="0"/>
          <w:marBottom w:val="0"/>
          <w:divBdr>
            <w:top w:val="none" w:sz="0" w:space="0" w:color="auto"/>
            <w:left w:val="none" w:sz="0" w:space="0" w:color="auto"/>
            <w:bottom w:val="none" w:sz="0" w:space="0" w:color="auto"/>
            <w:right w:val="none" w:sz="0" w:space="0" w:color="auto"/>
          </w:divBdr>
          <w:divsChild>
            <w:div w:id="267590458">
              <w:marLeft w:val="0"/>
              <w:marRight w:val="0"/>
              <w:marTop w:val="0"/>
              <w:marBottom w:val="0"/>
              <w:divBdr>
                <w:top w:val="none" w:sz="0" w:space="0" w:color="auto"/>
                <w:left w:val="none" w:sz="0" w:space="0" w:color="auto"/>
                <w:bottom w:val="none" w:sz="0" w:space="0" w:color="auto"/>
                <w:right w:val="none" w:sz="0" w:space="0" w:color="auto"/>
              </w:divBdr>
            </w:div>
          </w:divsChild>
        </w:div>
        <w:div w:id="623317909">
          <w:marLeft w:val="0"/>
          <w:marRight w:val="0"/>
          <w:marTop w:val="0"/>
          <w:marBottom w:val="0"/>
          <w:divBdr>
            <w:top w:val="none" w:sz="0" w:space="0" w:color="auto"/>
            <w:left w:val="none" w:sz="0" w:space="0" w:color="auto"/>
            <w:bottom w:val="none" w:sz="0" w:space="0" w:color="auto"/>
            <w:right w:val="none" w:sz="0" w:space="0" w:color="auto"/>
          </w:divBdr>
          <w:divsChild>
            <w:div w:id="1343778678">
              <w:marLeft w:val="0"/>
              <w:marRight w:val="0"/>
              <w:marTop w:val="0"/>
              <w:marBottom w:val="0"/>
              <w:divBdr>
                <w:top w:val="none" w:sz="0" w:space="0" w:color="auto"/>
                <w:left w:val="none" w:sz="0" w:space="0" w:color="auto"/>
                <w:bottom w:val="none" w:sz="0" w:space="0" w:color="auto"/>
                <w:right w:val="none" w:sz="0" w:space="0" w:color="auto"/>
              </w:divBdr>
            </w:div>
          </w:divsChild>
        </w:div>
        <w:div w:id="1201167130">
          <w:marLeft w:val="0"/>
          <w:marRight w:val="0"/>
          <w:marTop w:val="0"/>
          <w:marBottom w:val="0"/>
          <w:divBdr>
            <w:top w:val="none" w:sz="0" w:space="0" w:color="auto"/>
            <w:left w:val="none" w:sz="0" w:space="0" w:color="auto"/>
            <w:bottom w:val="none" w:sz="0" w:space="0" w:color="auto"/>
            <w:right w:val="none" w:sz="0" w:space="0" w:color="auto"/>
          </w:divBdr>
          <w:divsChild>
            <w:div w:id="141932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7006">
      <w:bodyDiv w:val="1"/>
      <w:marLeft w:val="0"/>
      <w:marRight w:val="0"/>
      <w:marTop w:val="0"/>
      <w:marBottom w:val="0"/>
      <w:divBdr>
        <w:top w:val="none" w:sz="0" w:space="0" w:color="auto"/>
        <w:left w:val="none" w:sz="0" w:space="0" w:color="auto"/>
        <w:bottom w:val="none" w:sz="0" w:space="0" w:color="auto"/>
        <w:right w:val="none" w:sz="0" w:space="0" w:color="auto"/>
      </w:divBdr>
    </w:div>
    <w:div w:id="1837306673">
      <w:bodyDiv w:val="1"/>
      <w:marLeft w:val="0"/>
      <w:marRight w:val="0"/>
      <w:marTop w:val="0"/>
      <w:marBottom w:val="0"/>
      <w:divBdr>
        <w:top w:val="none" w:sz="0" w:space="0" w:color="auto"/>
        <w:left w:val="none" w:sz="0" w:space="0" w:color="auto"/>
        <w:bottom w:val="none" w:sz="0" w:space="0" w:color="auto"/>
        <w:right w:val="none" w:sz="0" w:space="0" w:color="auto"/>
      </w:divBdr>
    </w:div>
    <w:div w:id="1837837569">
      <w:bodyDiv w:val="1"/>
      <w:marLeft w:val="0"/>
      <w:marRight w:val="0"/>
      <w:marTop w:val="0"/>
      <w:marBottom w:val="0"/>
      <w:divBdr>
        <w:top w:val="none" w:sz="0" w:space="0" w:color="auto"/>
        <w:left w:val="none" w:sz="0" w:space="0" w:color="auto"/>
        <w:bottom w:val="none" w:sz="0" w:space="0" w:color="auto"/>
        <w:right w:val="none" w:sz="0" w:space="0" w:color="auto"/>
      </w:divBdr>
    </w:div>
    <w:div w:id="1840802796">
      <w:bodyDiv w:val="1"/>
      <w:marLeft w:val="0"/>
      <w:marRight w:val="0"/>
      <w:marTop w:val="0"/>
      <w:marBottom w:val="0"/>
      <w:divBdr>
        <w:top w:val="none" w:sz="0" w:space="0" w:color="auto"/>
        <w:left w:val="none" w:sz="0" w:space="0" w:color="auto"/>
        <w:bottom w:val="none" w:sz="0" w:space="0" w:color="auto"/>
        <w:right w:val="none" w:sz="0" w:space="0" w:color="auto"/>
      </w:divBdr>
    </w:div>
    <w:div w:id="1849783786">
      <w:bodyDiv w:val="1"/>
      <w:marLeft w:val="0"/>
      <w:marRight w:val="0"/>
      <w:marTop w:val="0"/>
      <w:marBottom w:val="0"/>
      <w:divBdr>
        <w:top w:val="none" w:sz="0" w:space="0" w:color="auto"/>
        <w:left w:val="none" w:sz="0" w:space="0" w:color="auto"/>
        <w:bottom w:val="none" w:sz="0" w:space="0" w:color="auto"/>
        <w:right w:val="none" w:sz="0" w:space="0" w:color="auto"/>
      </w:divBdr>
    </w:div>
    <w:div w:id="1854801298">
      <w:bodyDiv w:val="1"/>
      <w:marLeft w:val="0"/>
      <w:marRight w:val="0"/>
      <w:marTop w:val="0"/>
      <w:marBottom w:val="0"/>
      <w:divBdr>
        <w:top w:val="none" w:sz="0" w:space="0" w:color="auto"/>
        <w:left w:val="none" w:sz="0" w:space="0" w:color="auto"/>
        <w:bottom w:val="none" w:sz="0" w:space="0" w:color="auto"/>
        <w:right w:val="none" w:sz="0" w:space="0" w:color="auto"/>
      </w:divBdr>
    </w:div>
    <w:div w:id="1861044615">
      <w:bodyDiv w:val="1"/>
      <w:marLeft w:val="0"/>
      <w:marRight w:val="0"/>
      <w:marTop w:val="0"/>
      <w:marBottom w:val="0"/>
      <w:divBdr>
        <w:top w:val="none" w:sz="0" w:space="0" w:color="auto"/>
        <w:left w:val="none" w:sz="0" w:space="0" w:color="auto"/>
        <w:bottom w:val="none" w:sz="0" w:space="0" w:color="auto"/>
        <w:right w:val="none" w:sz="0" w:space="0" w:color="auto"/>
      </w:divBdr>
    </w:div>
    <w:div w:id="1862549545">
      <w:bodyDiv w:val="1"/>
      <w:marLeft w:val="0"/>
      <w:marRight w:val="0"/>
      <w:marTop w:val="0"/>
      <w:marBottom w:val="0"/>
      <w:divBdr>
        <w:top w:val="none" w:sz="0" w:space="0" w:color="auto"/>
        <w:left w:val="none" w:sz="0" w:space="0" w:color="auto"/>
        <w:bottom w:val="none" w:sz="0" w:space="0" w:color="auto"/>
        <w:right w:val="none" w:sz="0" w:space="0" w:color="auto"/>
      </w:divBdr>
    </w:div>
    <w:div w:id="1870725576">
      <w:bodyDiv w:val="1"/>
      <w:marLeft w:val="0"/>
      <w:marRight w:val="0"/>
      <w:marTop w:val="0"/>
      <w:marBottom w:val="0"/>
      <w:divBdr>
        <w:top w:val="none" w:sz="0" w:space="0" w:color="auto"/>
        <w:left w:val="none" w:sz="0" w:space="0" w:color="auto"/>
        <w:bottom w:val="none" w:sz="0" w:space="0" w:color="auto"/>
        <w:right w:val="none" w:sz="0" w:space="0" w:color="auto"/>
      </w:divBdr>
    </w:div>
    <w:div w:id="1877546665">
      <w:bodyDiv w:val="1"/>
      <w:marLeft w:val="0"/>
      <w:marRight w:val="0"/>
      <w:marTop w:val="0"/>
      <w:marBottom w:val="0"/>
      <w:divBdr>
        <w:top w:val="none" w:sz="0" w:space="0" w:color="auto"/>
        <w:left w:val="none" w:sz="0" w:space="0" w:color="auto"/>
        <w:bottom w:val="none" w:sz="0" w:space="0" w:color="auto"/>
        <w:right w:val="none" w:sz="0" w:space="0" w:color="auto"/>
      </w:divBdr>
    </w:div>
    <w:div w:id="1887061332">
      <w:bodyDiv w:val="1"/>
      <w:marLeft w:val="0"/>
      <w:marRight w:val="0"/>
      <w:marTop w:val="0"/>
      <w:marBottom w:val="0"/>
      <w:divBdr>
        <w:top w:val="none" w:sz="0" w:space="0" w:color="auto"/>
        <w:left w:val="none" w:sz="0" w:space="0" w:color="auto"/>
        <w:bottom w:val="none" w:sz="0" w:space="0" w:color="auto"/>
        <w:right w:val="none" w:sz="0" w:space="0" w:color="auto"/>
      </w:divBdr>
    </w:div>
    <w:div w:id="1899246469">
      <w:bodyDiv w:val="1"/>
      <w:marLeft w:val="0"/>
      <w:marRight w:val="0"/>
      <w:marTop w:val="0"/>
      <w:marBottom w:val="0"/>
      <w:divBdr>
        <w:top w:val="none" w:sz="0" w:space="0" w:color="auto"/>
        <w:left w:val="none" w:sz="0" w:space="0" w:color="auto"/>
        <w:bottom w:val="none" w:sz="0" w:space="0" w:color="auto"/>
        <w:right w:val="none" w:sz="0" w:space="0" w:color="auto"/>
      </w:divBdr>
    </w:div>
    <w:div w:id="1900047110">
      <w:bodyDiv w:val="1"/>
      <w:marLeft w:val="0"/>
      <w:marRight w:val="0"/>
      <w:marTop w:val="0"/>
      <w:marBottom w:val="0"/>
      <w:divBdr>
        <w:top w:val="none" w:sz="0" w:space="0" w:color="auto"/>
        <w:left w:val="none" w:sz="0" w:space="0" w:color="auto"/>
        <w:bottom w:val="none" w:sz="0" w:space="0" w:color="auto"/>
        <w:right w:val="none" w:sz="0" w:space="0" w:color="auto"/>
      </w:divBdr>
    </w:div>
    <w:div w:id="1901208610">
      <w:bodyDiv w:val="1"/>
      <w:marLeft w:val="0"/>
      <w:marRight w:val="0"/>
      <w:marTop w:val="0"/>
      <w:marBottom w:val="0"/>
      <w:divBdr>
        <w:top w:val="none" w:sz="0" w:space="0" w:color="auto"/>
        <w:left w:val="none" w:sz="0" w:space="0" w:color="auto"/>
        <w:bottom w:val="none" w:sz="0" w:space="0" w:color="auto"/>
        <w:right w:val="none" w:sz="0" w:space="0" w:color="auto"/>
      </w:divBdr>
    </w:div>
    <w:div w:id="1904367052">
      <w:bodyDiv w:val="1"/>
      <w:marLeft w:val="0"/>
      <w:marRight w:val="0"/>
      <w:marTop w:val="0"/>
      <w:marBottom w:val="0"/>
      <w:divBdr>
        <w:top w:val="none" w:sz="0" w:space="0" w:color="auto"/>
        <w:left w:val="none" w:sz="0" w:space="0" w:color="auto"/>
        <w:bottom w:val="none" w:sz="0" w:space="0" w:color="auto"/>
        <w:right w:val="none" w:sz="0" w:space="0" w:color="auto"/>
      </w:divBdr>
    </w:div>
    <w:div w:id="1910189259">
      <w:bodyDiv w:val="1"/>
      <w:marLeft w:val="0"/>
      <w:marRight w:val="0"/>
      <w:marTop w:val="0"/>
      <w:marBottom w:val="0"/>
      <w:divBdr>
        <w:top w:val="none" w:sz="0" w:space="0" w:color="auto"/>
        <w:left w:val="none" w:sz="0" w:space="0" w:color="auto"/>
        <w:bottom w:val="none" w:sz="0" w:space="0" w:color="auto"/>
        <w:right w:val="none" w:sz="0" w:space="0" w:color="auto"/>
      </w:divBdr>
    </w:div>
    <w:div w:id="1910462527">
      <w:bodyDiv w:val="1"/>
      <w:marLeft w:val="0"/>
      <w:marRight w:val="0"/>
      <w:marTop w:val="0"/>
      <w:marBottom w:val="0"/>
      <w:divBdr>
        <w:top w:val="none" w:sz="0" w:space="0" w:color="auto"/>
        <w:left w:val="none" w:sz="0" w:space="0" w:color="auto"/>
        <w:bottom w:val="none" w:sz="0" w:space="0" w:color="auto"/>
        <w:right w:val="none" w:sz="0" w:space="0" w:color="auto"/>
      </w:divBdr>
    </w:div>
    <w:div w:id="1915579215">
      <w:bodyDiv w:val="1"/>
      <w:marLeft w:val="0"/>
      <w:marRight w:val="0"/>
      <w:marTop w:val="0"/>
      <w:marBottom w:val="0"/>
      <w:divBdr>
        <w:top w:val="none" w:sz="0" w:space="0" w:color="auto"/>
        <w:left w:val="none" w:sz="0" w:space="0" w:color="auto"/>
        <w:bottom w:val="none" w:sz="0" w:space="0" w:color="auto"/>
        <w:right w:val="none" w:sz="0" w:space="0" w:color="auto"/>
      </w:divBdr>
    </w:div>
    <w:div w:id="1919170377">
      <w:bodyDiv w:val="1"/>
      <w:marLeft w:val="0"/>
      <w:marRight w:val="0"/>
      <w:marTop w:val="0"/>
      <w:marBottom w:val="0"/>
      <w:divBdr>
        <w:top w:val="none" w:sz="0" w:space="0" w:color="auto"/>
        <w:left w:val="none" w:sz="0" w:space="0" w:color="auto"/>
        <w:bottom w:val="none" w:sz="0" w:space="0" w:color="auto"/>
        <w:right w:val="none" w:sz="0" w:space="0" w:color="auto"/>
      </w:divBdr>
    </w:div>
    <w:div w:id="1925217418">
      <w:bodyDiv w:val="1"/>
      <w:marLeft w:val="0"/>
      <w:marRight w:val="0"/>
      <w:marTop w:val="0"/>
      <w:marBottom w:val="0"/>
      <w:divBdr>
        <w:top w:val="none" w:sz="0" w:space="0" w:color="auto"/>
        <w:left w:val="none" w:sz="0" w:space="0" w:color="auto"/>
        <w:bottom w:val="none" w:sz="0" w:space="0" w:color="auto"/>
        <w:right w:val="none" w:sz="0" w:space="0" w:color="auto"/>
      </w:divBdr>
    </w:div>
    <w:div w:id="1940092216">
      <w:bodyDiv w:val="1"/>
      <w:marLeft w:val="0"/>
      <w:marRight w:val="0"/>
      <w:marTop w:val="0"/>
      <w:marBottom w:val="0"/>
      <w:divBdr>
        <w:top w:val="none" w:sz="0" w:space="0" w:color="auto"/>
        <w:left w:val="none" w:sz="0" w:space="0" w:color="auto"/>
        <w:bottom w:val="none" w:sz="0" w:space="0" w:color="auto"/>
        <w:right w:val="none" w:sz="0" w:space="0" w:color="auto"/>
      </w:divBdr>
    </w:div>
    <w:div w:id="1942493431">
      <w:bodyDiv w:val="1"/>
      <w:marLeft w:val="0"/>
      <w:marRight w:val="0"/>
      <w:marTop w:val="0"/>
      <w:marBottom w:val="0"/>
      <w:divBdr>
        <w:top w:val="none" w:sz="0" w:space="0" w:color="auto"/>
        <w:left w:val="none" w:sz="0" w:space="0" w:color="auto"/>
        <w:bottom w:val="none" w:sz="0" w:space="0" w:color="auto"/>
        <w:right w:val="none" w:sz="0" w:space="0" w:color="auto"/>
      </w:divBdr>
    </w:div>
    <w:div w:id="1949657139">
      <w:bodyDiv w:val="1"/>
      <w:marLeft w:val="0"/>
      <w:marRight w:val="0"/>
      <w:marTop w:val="0"/>
      <w:marBottom w:val="0"/>
      <w:divBdr>
        <w:top w:val="none" w:sz="0" w:space="0" w:color="auto"/>
        <w:left w:val="none" w:sz="0" w:space="0" w:color="auto"/>
        <w:bottom w:val="none" w:sz="0" w:space="0" w:color="auto"/>
        <w:right w:val="none" w:sz="0" w:space="0" w:color="auto"/>
      </w:divBdr>
    </w:div>
    <w:div w:id="1954705205">
      <w:bodyDiv w:val="1"/>
      <w:marLeft w:val="0"/>
      <w:marRight w:val="0"/>
      <w:marTop w:val="0"/>
      <w:marBottom w:val="0"/>
      <w:divBdr>
        <w:top w:val="none" w:sz="0" w:space="0" w:color="auto"/>
        <w:left w:val="none" w:sz="0" w:space="0" w:color="auto"/>
        <w:bottom w:val="none" w:sz="0" w:space="0" w:color="auto"/>
        <w:right w:val="none" w:sz="0" w:space="0" w:color="auto"/>
      </w:divBdr>
    </w:div>
    <w:div w:id="1962105547">
      <w:bodyDiv w:val="1"/>
      <w:marLeft w:val="0"/>
      <w:marRight w:val="0"/>
      <w:marTop w:val="0"/>
      <w:marBottom w:val="0"/>
      <w:divBdr>
        <w:top w:val="none" w:sz="0" w:space="0" w:color="auto"/>
        <w:left w:val="none" w:sz="0" w:space="0" w:color="auto"/>
        <w:bottom w:val="none" w:sz="0" w:space="0" w:color="auto"/>
        <w:right w:val="none" w:sz="0" w:space="0" w:color="auto"/>
      </w:divBdr>
    </w:div>
    <w:div w:id="1964775041">
      <w:bodyDiv w:val="1"/>
      <w:marLeft w:val="0"/>
      <w:marRight w:val="0"/>
      <w:marTop w:val="0"/>
      <w:marBottom w:val="0"/>
      <w:divBdr>
        <w:top w:val="none" w:sz="0" w:space="0" w:color="auto"/>
        <w:left w:val="none" w:sz="0" w:space="0" w:color="auto"/>
        <w:bottom w:val="none" w:sz="0" w:space="0" w:color="auto"/>
        <w:right w:val="none" w:sz="0" w:space="0" w:color="auto"/>
      </w:divBdr>
    </w:div>
    <w:div w:id="1968002991">
      <w:bodyDiv w:val="1"/>
      <w:marLeft w:val="0"/>
      <w:marRight w:val="0"/>
      <w:marTop w:val="0"/>
      <w:marBottom w:val="0"/>
      <w:divBdr>
        <w:top w:val="none" w:sz="0" w:space="0" w:color="auto"/>
        <w:left w:val="none" w:sz="0" w:space="0" w:color="auto"/>
        <w:bottom w:val="none" w:sz="0" w:space="0" w:color="auto"/>
        <w:right w:val="none" w:sz="0" w:space="0" w:color="auto"/>
      </w:divBdr>
    </w:div>
    <w:div w:id="1977559973">
      <w:bodyDiv w:val="1"/>
      <w:marLeft w:val="0"/>
      <w:marRight w:val="0"/>
      <w:marTop w:val="0"/>
      <w:marBottom w:val="0"/>
      <w:divBdr>
        <w:top w:val="none" w:sz="0" w:space="0" w:color="auto"/>
        <w:left w:val="none" w:sz="0" w:space="0" w:color="auto"/>
        <w:bottom w:val="none" w:sz="0" w:space="0" w:color="auto"/>
        <w:right w:val="none" w:sz="0" w:space="0" w:color="auto"/>
      </w:divBdr>
    </w:div>
    <w:div w:id="1986160212">
      <w:bodyDiv w:val="1"/>
      <w:marLeft w:val="0"/>
      <w:marRight w:val="0"/>
      <w:marTop w:val="0"/>
      <w:marBottom w:val="0"/>
      <w:divBdr>
        <w:top w:val="none" w:sz="0" w:space="0" w:color="auto"/>
        <w:left w:val="none" w:sz="0" w:space="0" w:color="auto"/>
        <w:bottom w:val="none" w:sz="0" w:space="0" w:color="auto"/>
        <w:right w:val="none" w:sz="0" w:space="0" w:color="auto"/>
      </w:divBdr>
    </w:div>
    <w:div w:id="1991791479">
      <w:bodyDiv w:val="1"/>
      <w:marLeft w:val="0"/>
      <w:marRight w:val="0"/>
      <w:marTop w:val="0"/>
      <w:marBottom w:val="0"/>
      <w:divBdr>
        <w:top w:val="none" w:sz="0" w:space="0" w:color="auto"/>
        <w:left w:val="none" w:sz="0" w:space="0" w:color="auto"/>
        <w:bottom w:val="none" w:sz="0" w:space="0" w:color="auto"/>
        <w:right w:val="none" w:sz="0" w:space="0" w:color="auto"/>
      </w:divBdr>
    </w:div>
    <w:div w:id="2003316934">
      <w:bodyDiv w:val="1"/>
      <w:marLeft w:val="0"/>
      <w:marRight w:val="0"/>
      <w:marTop w:val="0"/>
      <w:marBottom w:val="0"/>
      <w:divBdr>
        <w:top w:val="none" w:sz="0" w:space="0" w:color="auto"/>
        <w:left w:val="none" w:sz="0" w:space="0" w:color="auto"/>
        <w:bottom w:val="none" w:sz="0" w:space="0" w:color="auto"/>
        <w:right w:val="none" w:sz="0" w:space="0" w:color="auto"/>
      </w:divBdr>
    </w:div>
    <w:div w:id="2007972256">
      <w:bodyDiv w:val="1"/>
      <w:marLeft w:val="0"/>
      <w:marRight w:val="0"/>
      <w:marTop w:val="0"/>
      <w:marBottom w:val="0"/>
      <w:divBdr>
        <w:top w:val="none" w:sz="0" w:space="0" w:color="auto"/>
        <w:left w:val="none" w:sz="0" w:space="0" w:color="auto"/>
        <w:bottom w:val="none" w:sz="0" w:space="0" w:color="auto"/>
        <w:right w:val="none" w:sz="0" w:space="0" w:color="auto"/>
      </w:divBdr>
    </w:div>
    <w:div w:id="2011329255">
      <w:bodyDiv w:val="1"/>
      <w:marLeft w:val="0"/>
      <w:marRight w:val="0"/>
      <w:marTop w:val="0"/>
      <w:marBottom w:val="0"/>
      <w:divBdr>
        <w:top w:val="none" w:sz="0" w:space="0" w:color="auto"/>
        <w:left w:val="none" w:sz="0" w:space="0" w:color="auto"/>
        <w:bottom w:val="none" w:sz="0" w:space="0" w:color="auto"/>
        <w:right w:val="none" w:sz="0" w:space="0" w:color="auto"/>
      </w:divBdr>
    </w:div>
    <w:div w:id="2013021805">
      <w:bodyDiv w:val="1"/>
      <w:marLeft w:val="0"/>
      <w:marRight w:val="0"/>
      <w:marTop w:val="0"/>
      <w:marBottom w:val="0"/>
      <w:divBdr>
        <w:top w:val="none" w:sz="0" w:space="0" w:color="auto"/>
        <w:left w:val="none" w:sz="0" w:space="0" w:color="auto"/>
        <w:bottom w:val="none" w:sz="0" w:space="0" w:color="auto"/>
        <w:right w:val="none" w:sz="0" w:space="0" w:color="auto"/>
      </w:divBdr>
    </w:div>
    <w:div w:id="2014262076">
      <w:bodyDiv w:val="1"/>
      <w:marLeft w:val="0"/>
      <w:marRight w:val="0"/>
      <w:marTop w:val="0"/>
      <w:marBottom w:val="0"/>
      <w:divBdr>
        <w:top w:val="none" w:sz="0" w:space="0" w:color="auto"/>
        <w:left w:val="none" w:sz="0" w:space="0" w:color="auto"/>
        <w:bottom w:val="none" w:sz="0" w:space="0" w:color="auto"/>
        <w:right w:val="none" w:sz="0" w:space="0" w:color="auto"/>
      </w:divBdr>
    </w:div>
    <w:div w:id="2018455006">
      <w:bodyDiv w:val="1"/>
      <w:marLeft w:val="0"/>
      <w:marRight w:val="0"/>
      <w:marTop w:val="0"/>
      <w:marBottom w:val="0"/>
      <w:divBdr>
        <w:top w:val="none" w:sz="0" w:space="0" w:color="auto"/>
        <w:left w:val="none" w:sz="0" w:space="0" w:color="auto"/>
        <w:bottom w:val="none" w:sz="0" w:space="0" w:color="auto"/>
        <w:right w:val="none" w:sz="0" w:space="0" w:color="auto"/>
      </w:divBdr>
    </w:div>
    <w:div w:id="2026058836">
      <w:bodyDiv w:val="1"/>
      <w:marLeft w:val="0"/>
      <w:marRight w:val="0"/>
      <w:marTop w:val="0"/>
      <w:marBottom w:val="0"/>
      <w:divBdr>
        <w:top w:val="none" w:sz="0" w:space="0" w:color="auto"/>
        <w:left w:val="none" w:sz="0" w:space="0" w:color="auto"/>
        <w:bottom w:val="none" w:sz="0" w:space="0" w:color="auto"/>
        <w:right w:val="none" w:sz="0" w:space="0" w:color="auto"/>
      </w:divBdr>
    </w:div>
    <w:div w:id="2027516311">
      <w:bodyDiv w:val="1"/>
      <w:marLeft w:val="0"/>
      <w:marRight w:val="0"/>
      <w:marTop w:val="0"/>
      <w:marBottom w:val="0"/>
      <w:divBdr>
        <w:top w:val="none" w:sz="0" w:space="0" w:color="auto"/>
        <w:left w:val="none" w:sz="0" w:space="0" w:color="auto"/>
        <w:bottom w:val="none" w:sz="0" w:space="0" w:color="auto"/>
        <w:right w:val="none" w:sz="0" w:space="0" w:color="auto"/>
      </w:divBdr>
    </w:div>
    <w:div w:id="2028211561">
      <w:bodyDiv w:val="1"/>
      <w:marLeft w:val="0"/>
      <w:marRight w:val="0"/>
      <w:marTop w:val="0"/>
      <w:marBottom w:val="0"/>
      <w:divBdr>
        <w:top w:val="none" w:sz="0" w:space="0" w:color="auto"/>
        <w:left w:val="none" w:sz="0" w:space="0" w:color="auto"/>
        <w:bottom w:val="none" w:sz="0" w:space="0" w:color="auto"/>
        <w:right w:val="none" w:sz="0" w:space="0" w:color="auto"/>
      </w:divBdr>
    </w:div>
    <w:div w:id="2039233420">
      <w:bodyDiv w:val="1"/>
      <w:marLeft w:val="0"/>
      <w:marRight w:val="0"/>
      <w:marTop w:val="0"/>
      <w:marBottom w:val="0"/>
      <w:divBdr>
        <w:top w:val="none" w:sz="0" w:space="0" w:color="auto"/>
        <w:left w:val="none" w:sz="0" w:space="0" w:color="auto"/>
        <w:bottom w:val="none" w:sz="0" w:space="0" w:color="auto"/>
        <w:right w:val="none" w:sz="0" w:space="0" w:color="auto"/>
      </w:divBdr>
    </w:div>
    <w:div w:id="2045520369">
      <w:bodyDiv w:val="1"/>
      <w:marLeft w:val="0"/>
      <w:marRight w:val="0"/>
      <w:marTop w:val="0"/>
      <w:marBottom w:val="0"/>
      <w:divBdr>
        <w:top w:val="none" w:sz="0" w:space="0" w:color="auto"/>
        <w:left w:val="none" w:sz="0" w:space="0" w:color="auto"/>
        <w:bottom w:val="none" w:sz="0" w:space="0" w:color="auto"/>
        <w:right w:val="none" w:sz="0" w:space="0" w:color="auto"/>
      </w:divBdr>
    </w:div>
    <w:div w:id="2048330599">
      <w:bodyDiv w:val="1"/>
      <w:marLeft w:val="0"/>
      <w:marRight w:val="0"/>
      <w:marTop w:val="0"/>
      <w:marBottom w:val="0"/>
      <w:divBdr>
        <w:top w:val="none" w:sz="0" w:space="0" w:color="auto"/>
        <w:left w:val="none" w:sz="0" w:space="0" w:color="auto"/>
        <w:bottom w:val="none" w:sz="0" w:space="0" w:color="auto"/>
        <w:right w:val="none" w:sz="0" w:space="0" w:color="auto"/>
      </w:divBdr>
    </w:div>
    <w:div w:id="2052920354">
      <w:bodyDiv w:val="1"/>
      <w:marLeft w:val="0"/>
      <w:marRight w:val="0"/>
      <w:marTop w:val="0"/>
      <w:marBottom w:val="0"/>
      <w:divBdr>
        <w:top w:val="none" w:sz="0" w:space="0" w:color="auto"/>
        <w:left w:val="none" w:sz="0" w:space="0" w:color="auto"/>
        <w:bottom w:val="none" w:sz="0" w:space="0" w:color="auto"/>
        <w:right w:val="none" w:sz="0" w:space="0" w:color="auto"/>
      </w:divBdr>
    </w:div>
    <w:div w:id="2054110507">
      <w:bodyDiv w:val="1"/>
      <w:marLeft w:val="0"/>
      <w:marRight w:val="0"/>
      <w:marTop w:val="0"/>
      <w:marBottom w:val="0"/>
      <w:divBdr>
        <w:top w:val="none" w:sz="0" w:space="0" w:color="auto"/>
        <w:left w:val="none" w:sz="0" w:space="0" w:color="auto"/>
        <w:bottom w:val="none" w:sz="0" w:space="0" w:color="auto"/>
        <w:right w:val="none" w:sz="0" w:space="0" w:color="auto"/>
      </w:divBdr>
    </w:div>
    <w:div w:id="2055930247">
      <w:bodyDiv w:val="1"/>
      <w:marLeft w:val="0"/>
      <w:marRight w:val="0"/>
      <w:marTop w:val="0"/>
      <w:marBottom w:val="0"/>
      <w:divBdr>
        <w:top w:val="none" w:sz="0" w:space="0" w:color="auto"/>
        <w:left w:val="none" w:sz="0" w:space="0" w:color="auto"/>
        <w:bottom w:val="none" w:sz="0" w:space="0" w:color="auto"/>
        <w:right w:val="none" w:sz="0" w:space="0" w:color="auto"/>
      </w:divBdr>
    </w:div>
    <w:div w:id="2056543128">
      <w:bodyDiv w:val="1"/>
      <w:marLeft w:val="0"/>
      <w:marRight w:val="0"/>
      <w:marTop w:val="0"/>
      <w:marBottom w:val="0"/>
      <w:divBdr>
        <w:top w:val="none" w:sz="0" w:space="0" w:color="auto"/>
        <w:left w:val="none" w:sz="0" w:space="0" w:color="auto"/>
        <w:bottom w:val="none" w:sz="0" w:space="0" w:color="auto"/>
        <w:right w:val="none" w:sz="0" w:space="0" w:color="auto"/>
      </w:divBdr>
    </w:div>
    <w:div w:id="2057506538">
      <w:bodyDiv w:val="1"/>
      <w:marLeft w:val="0"/>
      <w:marRight w:val="0"/>
      <w:marTop w:val="0"/>
      <w:marBottom w:val="0"/>
      <w:divBdr>
        <w:top w:val="none" w:sz="0" w:space="0" w:color="auto"/>
        <w:left w:val="none" w:sz="0" w:space="0" w:color="auto"/>
        <w:bottom w:val="none" w:sz="0" w:space="0" w:color="auto"/>
        <w:right w:val="none" w:sz="0" w:space="0" w:color="auto"/>
      </w:divBdr>
    </w:div>
    <w:div w:id="2059745642">
      <w:bodyDiv w:val="1"/>
      <w:marLeft w:val="0"/>
      <w:marRight w:val="0"/>
      <w:marTop w:val="0"/>
      <w:marBottom w:val="0"/>
      <w:divBdr>
        <w:top w:val="none" w:sz="0" w:space="0" w:color="auto"/>
        <w:left w:val="none" w:sz="0" w:space="0" w:color="auto"/>
        <w:bottom w:val="none" w:sz="0" w:space="0" w:color="auto"/>
        <w:right w:val="none" w:sz="0" w:space="0" w:color="auto"/>
      </w:divBdr>
    </w:div>
    <w:div w:id="2061853621">
      <w:bodyDiv w:val="1"/>
      <w:marLeft w:val="0"/>
      <w:marRight w:val="0"/>
      <w:marTop w:val="0"/>
      <w:marBottom w:val="0"/>
      <w:divBdr>
        <w:top w:val="none" w:sz="0" w:space="0" w:color="auto"/>
        <w:left w:val="none" w:sz="0" w:space="0" w:color="auto"/>
        <w:bottom w:val="none" w:sz="0" w:space="0" w:color="auto"/>
        <w:right w:val="none" w:sz="0" w:space="0" w:color="auto"/>
      </w:divBdr>
    </w:div>
    <w:div w:id="2069838033">
      <w:bodyDiv w:val="1"/>
      <w:marLeft w:val="0"/>
      <w:marRight w:val="0"/>
      <w:marTop w:val="0"/>
      <w:marBottom w:val="0"/>
      <w:divBdr>
        <w:top w:val="none" w:sz="0" w:space="0" w:color="auto"/>
        <w:left w:val="none" w:sz="0" w:space="0" w:color="auto"/>
        <w:bottom w:val="none" w:sz="0" w:space="0" w:color="auto"/>
        <w:right w:val="none" w:sz="0" w:space="0" w:color="auto"/>
      </w:divBdr>
    </w:div>
    <w:div w:id="2072995678">
      <w:bodyDiv w:val="1"/>
      <w:marLeft w:val="0"/>
      <w:marRight w:val="0"/>
      <w:marTop w:val="0"/>
      <w:marBottom w:val="0"/>
      <w:divBdr>
        <w:top w:val="none" w:sz="0" w:space="0" w:color="auto"/>
        <w:left w:val="none" w:sz="0" w:space="0" w:color="auto"/>
        <w:bottom w:val="none" w:sz="0" w:space="0" w:color="auto"/>
        <w:right w:val="none" w:sz="0" w:space="0" w:color="auto"/>
      </w:divBdr>
    </w:div>
    <w:div w:id="2088502446">
      <w:bodyDiv w:val="1"/>
      <w:marLeft w:val="0"/>
      <w:marRight w:val="0"/>
      <w:marTop w:val="0"/>
      <w:marBottom w:val="0"/>
      <w:divBdr>
        <w:top w:val="none" w:sz="0" w:space="0" w:color="auto"/>
        <w:left w:val="none" w:sz="0" w:space="0" w:color="auto"/>
        <w:bottom w:val="none" w:sz="0" w:space="0" w:color="auto"/>
        <w:right w:val="none" w:sz="0" w:space="0" w:color="auto"/>
      </w:divBdr>
    </w:div>
    <w:div w:id="2095929352">
      <w:bodyDiv w:val="1"/>
      <w:marLeft w:val="0"/>
      <w:marRight w:val="0"/>
      <w:marTop w:val="0"/>
      <w:marBottom w:val="0"/>
      <w:divBdr>
        <w:top w:val="none" w:sz="0" w:space="0" w:color="auto"/>
        <w:left w:val="none" w:sz="0" w:space="0" w:color="auto"/>
        <w:bottom w:val="none" w:sz="0" w:space="0" w:color="auto"/>
        <w:right w:val="none" w:sz="0" w:space="0" w:color="auto"/>
      </w:divBdr>
    </w:div>
    <w:div w:id="2096004248">
      <w:bodyDiv w:val="1"/>
      <w:marLeft w:val="0"/>
      <w:marRight w:val="0"/>
      <w:marTop w:val="0"/>
      <w:marBottom w:val="0"/>
      <w:divBdr>
        <w:top w:val="none" w:sz="0" w:space="0" w:color="auto"/>
        <w:left w:val="none" w:sz="0" w:space="0" w:color="auto"/>
        <w:bottom w:val="none" w:sz="0" w:space="0" w:color="auto"/>
        <w:right w:val="none" w:sz="0" w:space="0" w:color="auto"/>
      </w:divBdr>
    </w:div>
    <w:div w:id="2098213311">
      <w:bodyDiv w:val="1"/>
      <w:marLeft w:val="0"/>
      <w:marRight w:val="0"/>
      <w:marTop w:val="0"/>
      <w:marBottom w:val="0"/>
      <w:divBdr>
        <w:top w:val="none" w:sz="0" w:space="0" w:color="auto"/>
        <w:left w:val="none" w:sz="0" w:space="0" w:color="auto"/>
        <w:bottom w:val="none" w:sz="0" w:space="0" w:color="auto"/>
        <w:right w:val="none" w:sz="0" w:space="0" w:color="auto"/>
      </w:divBdr>
    </w:div>
    <w:div w:id="2099985710">
      <w:bodyDiv w:val="1"/>
      <w:marLeft w:val="0"/>
      <w:marRight w:val="0"/>
      <w:marTop w:val="0"/>
      <w:marBottom w:val="0"/>
      <w:divBdr>
        <w:top w:val="none" w:sz="0" w:space="0" w:color="auto"/>
        <w:left w:val="none" w:sz="0" w:space="0" w:color="auto"/>
        <w:bottom w:val="none" w:sz="0" w:space="0" w:color="auto"/>
        <w:right w:val="none" w:sz="0" w:space="0" w:color="auto"/>
      </w:divBdr>
    </w:div>
    <w:div w:id="2103527317">
      <w:bodyDiv w:val="1"/>
      <w:marLeft w:val="0"/>
      <w:marRight w:val="0"/>
      <w:marTop w:val="0"/>
      <w:marBottom w:val="0"/>
      <w:divBdr>
        <w:top w:val="none" w:sz="0" w:space="0" w:color="auto"/>
        <w:left w:val="none" w:sz="0" w:space="0" w:color="auto"/>
        <w:bottom w:val="none" w:sz="0" w:space="0" w:color="auto"/>
        <w:right w:val="none" w:sz="0" w:space="0" w:color="auto"/>
      </w:divBdr>
    </w:div>
    <w:div w:id="2104254881">
      <w:bodyDiv w:val="1"/>
      <w:marLeft w:val="0"/>
      <w:marRight w:val="0"/>
      <w:marTop w:val="0"/>
      <w:marBottom w:val="0"/>
      <w:divBdr>
        <w:top w:val="none" w:sz="0" w:space="0" w:color="auto"/>
        <w:left w:val="none" w:sz="0" w:space="0" w:color="auto"/>
        <w:bottom w:val="none" w:sz="0" w:space="0" w:color="auto"/>
        <w:right w:val="none" w:sz="0" w:space="0" w:color="auto"/>
      </w:divBdr>
    </w:div>
    <w:div w:id="2104909315">
      <w:bodyDiv w:val="1"/>
      <w:marLeft w:val="0"/>
      <w:marRight w:val="0"/>
      <w:marTop w:val="0"/>
      <w:marBottom w:val="0"/>
      <w:divBdr>
        <w:top w:val="none" w:sz="0" w:space="0" w:color="auto"/>
        <w:left w:val="none" w:sz="0" w:space="0" w:color="auto"/>
        <w:bottom w:val="none" w:sz="0" w:space="0" w:color="auto"/>
        <w:right w:val="none" w:sz="0" w:space="0" w:color="auto"/>
      </w:divBdr>
    </w:div>
    <w:div w:id="2115830977">
      <w:bodyDiv w:val="1"/>
      <w:marLeft w:val="0"/>
      <w:marRight w:val="0"/>
      <w:marTop w:val="0"/>
      <w:marBottom w:val="0"/>
      <w:divBdr>
        <w:top w:val="none" w:sz="0" w:space="0" w:color="auto"/>
        <w:left w:val="none" w:sz="0" w:space="0" w:color="auto"/>
        <w:bottom w:val="none" w:sz="0" w:space="0" w:color="auto"/>
        <w:right w:val="none" w:sz="0" w:space="0" w:color="auto"/>
      </w:divBdr>
    </w:div>
    <w:div w:id="2119063252">
      <w:bodyDiv w:val="1"/>
      <w:marLeft w:val="0"/>
      <w:marRight w:val="0"/>
      <w:marTop w:val="0"/>
      <w:marBottom w:val="0"/>
      <w:divBdr>
        <w:top w:val="none" w:sz="0" w:space="0" w:color="auto"/>
        <w:left w:val="none" w:sz="0" w:space="0" w:color="auto"/>
        <w:bottom w:val="none" w:sz="0" w:space="0" w:color="auto"/>
        <w:right w:val="none" w:sz="0" w:space="0" w:color="auto"/>
      </w:divBdr>
    </w:div>
    <w:div w:id="2133937740">
      <w:bodyDiv w:val="1"/>
      <w:marLeft w:val="0"/>
      <w:marRight w:val="0"/>
      <w:marTop w:val="0"/>
      <w:marBottom w:val="0"/>
      <w:divBdr>
        <w:top w:val="none" w:sz="0" w:space="0" w:color="auto"/>
        <w:left w:val="none" w:sz="0" w:space="0" w:color="auto"/>
        <w:bottom w:val="none" w:sz="0" w:space="0" w:color="auto"/>
        <w:right w:val="none" w:sz="0" w:space="0" w:color="auto"/>
      </w:divBdr>
    </w:div>
    <w:div w:id="2135980057">
      <w:bodyDiv w:val="1"/>
      <w:marLeft w:val="0"/>
      <w:marRight w:val="0"/>
      <w:marTop w:val="0"/>
      <w:marBottom w:val="0"/>
      <w:divBdr>
        <w:top w:val="none" w:sz="0" w:space="0" w:color="auto"/>
        <w:left w:val="none" w:sz="0" w:space="0" w:color="auto"/>
        <w:bottom w:val="none" w:sz="0" w:space="0" w:color="auto"/>
        <w:right w:val="none" w:sz="0" w:space="0" w:color="auto"/>
      </w:divBdr>
    </w:div>
    <w:div w:id="2135981991">
      <w:bodyDiv w:val="1"/>
      <w:marLeft w:val="0"/>
      <w:marRight w:val="0"/>
      <w:marTop w:val="0"/>
      <w:marBottom w:val="0"/>
      <w:divBdr>
        <w:top w:val="none" w:sz="0" w:space="0" w:color="auto"/>
        <w:left w:val="none" w:sz="0" w:space="0" w:color="auto"/>
        <w:bottom w:val="none" w:sz="0" w:space="0" w:color="auto"/>
        <w:right w:val="none" w:sz="0" w:space="0" w:color="auto"/>
      </w:divBdr>
    </w:div>
    <w:div w:id="2140415496">
      <w:bodyDiv w:val="1"/>
      <w:marLeft w:val="0"/>
      <w:marRight w:val="0"/>
      <w:marTop w:val="0"/>
      <w:marBottom w:val="0"/>
      <w:divBdr>
        <w:top w:val="none" w:sz="0" w:space="0" w:color="auto"/>
        <w:left w:val="none" w:sz="0" w:space="0" w:color="auto"/>
        <w:bottom w:val="none" w:sz="0" w:space="0" w:color="auto"/>
        <w:right w:val="none" w:sz="0" w:space="0" w:color="auto"/>
      </w:divBdr>
    </w:div>
    <w:div w:id="2140487279">
      <w:bodyDiv w:val="1"/>
      <w:marLeft w:val="0"/>
      <w:marRight w:val="0"/>
      <w:marTop w:val="0"/>
      <w:marBottom w:val="0"/>
      <w:divBdr>
        <w:top w:val="none" w:sz="0" w:space="0" w:color="auto"/>
        <w:left w:val="none" w:sz="0" w:space="0" w:color="auto"/>
        <w:bottom w:val="none" w:sz="0" w:space="0" w:color="auto"/>
        <w:right w:val="none" w:sz="0" w:space="0" w:color="auto"/>
      </w:divBdr>
    </w:div>
    <w:div w:id="214049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A9948928-33E9-4DD8-B5C6-7254E2B9C9CF}"/>
      </w:docPartPr>
      <w:docPartBody>
        <w:p w:rsidR="008E48D6" w:rsidRDefault="004B675D">
          <w:r w:rsidRPr="007A09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5D"/>
    <w:rsid w:val="000167E7"/>
    <w:rsid w:val="000A0973"/>
    <w:rsid w:val="00273863"/>
    <w:rsid w:val="0033140F"/>
    <w:rsid w:val="004B675D"/>
    <w:rsid w:val="005833F0"/>
    <w:rsid w:val="007F1A9F"/>
    <w:rsid w:val="008E48D6"/>
    <w:rsid w:val="009333E9"/>
    <w:rsid w:val="009C1116"/>
    <w:rsid w:val="00A75B02"/>
    <w:rsid w:val="00DF1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86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DBEAD6-74A1-4B3D-8ED7-81792EE8985F}">
  <we:reference id="wa104380917" version="1.0.1.0" store="en-US" storeType="OMEX"/>
  <we:alternateReferences>
    <we:reference id="wa104380917" version="1.0.1.0" store="WA104380917" storeType="OMEX"/>
  </we:alternateReferences>
  <we:properties>
    <we:property name="22612923" value="[{&quot;id&quot;:&quot;9d8fab2e-1689-4fb0-bf56-20807cf4d291&quot;,&quot;article&quot;:{&quot;journal_abbrev&quot;:&quot;Clin Lung Cancer&quot;,&quot;pagination&quot;:&quot;280-288.e4&quot;,&quot;authors&quot;:[&quot;Wungki Park&quot;,&quot;Deukwoo Kwon&quot;,&quot;Diana Saravia&quot;,&quot;Amrita Desai&quot;,&quot;Fernando Vargas&quot;,&quot;Mohamed El Dinali&quot;,&quot;Jessica Warsch&quot;,&quot;Roy Elias&quot;,&quot;Young Kwang Chae&quot;,&quot;Dae Won Kim&quot;,&quot;Sean Warsch&quot;,&quot;Adrian Ishkanian&quot;,&quot;Chukwuemeka Ikpeazu&quot;,&quot;Raja Mudad&quot;,&quot;Gilberto Lopes&quot;,&quot;Mohammad Jahanzeb&quot;],&quot;publisher&quot;:&quot;&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year&quot;:2017,&quot;chapter&quot;:&quot;&quot;,&quot;journal&quot;:&quot;Clinical Lung Cancer&quot;,&quot;volume&quot;:&quot;19&quot;,&quot;title&quot;:&quot;Developing a Predictive Model for Clinical Outcomes of Advanced Non-Small Cell Lung Cancer Patients Treated With Nivolumab&quot;,&quot;issue&quot;:&quot;3&quot;,&quot;issn&quot;:&quot;1525-7304&quot;,&quot;isbn&quot;:&quot;&quot;,&quot;url&quot;:&quot;https://www.sciencedirect.com/science/article/pii/S1525730417303467&quot;},&quot;collection_group_id&quot;:&quot;&quot;,&quot;collection_id&quot;:&quot;4e0192db-b678-400e-ba1d-e378d3262964&quot;,&quot;item_type&quot;:&quot;article&quot;,&quot;deleted&quot;:false,&quot;files&quot;:[{&quot;name&quot;:&quot;NLR iSEND CLC 2018.pdf&quot;,&quot;size&quot;:1166377,&quot;type&quot;:&quot;article&quot;,&quot;pages&quot;:13,&quot;sha256&quot;:&quot;60b81c05aa2da3999523667e48c4e780a2f1431444f3be13260d91820be9077c&quot;,&quot;created&quot;:&quot;2020-05-15T14:32:23Z&quot;,&quot;file_type&quot;:&quot;pdf&quot;,&quot;access_method&quot;:&quot;personal_library&quot;,&quot;pdf_text_url&quot;:&quot;https://s3.amazonaws.com/objects.readcube.com/prerendered/60b81c05aa2da3999523667e48c4e780a2f1431444f3be13260d91820be9077c/pdftext.txt?X-Amz-Algorithm=AWS4-HMAC-SHA256&amp;X-Amz-Credential=AKIAJAWZ5L6BMTSOH3EA%2F20200515%2Fus-east-1%2Fs3%2Faws4_request&amp;X-Amz-Date=20200515T172358Z&amp;X-Amz-Expires=86400&amp;X-Amz-SignedHeaders=host&amp;X-Amz-Signature=0a67ca51e38a362e151f94824a1a4dcb97948ceb543dc1397ad97f6077aa5967&quot;}],&quot;ext_ids&quot;:{&quot;pmid&quot;:&quot;29336998&quot;,&quot;doi&quot;:&quot;10.1016/j.cllc.2017.12.007&quot;},&quot;user_data&quot;:{&quot;created&quot;:&quot;2020-05-15T14:32:23Z&quot;,&quot;modified&quot;:&quot;2020-05-15T17:14:45Z&quot;,&quot;createdby&quot;:&quot;webapp 4.3.1&quot;,&quot;last_read&quot;:&quot;2020-05-15T17:14:45Z&quot;,&quot;modifiedby&quot;:&quot;web_reader 13.0.3&quot;,&quot;view_count&quot;:1,&quot;has_annotations&quot;:false,&quot;unread&quot;:false},&quot;checked&quot;:false,&quot;atIndex&quot;:15,&quot;item&quot;:{&quot;type&quot;:&quot;article-journal&quot;,&quot;author&quot;:[{&quot;family&quot;:&quot;Park&quot;,&quot;given&quot;:&quot;Wungki&quot;},{&quot;family&quot;:&quot;Kwon&quot;,&quot;given&quot;:&quot;Deukwoo&quot;},{&quot;family&quot;:&quot;Saravia&quot;,&quot;given&quot;:&quot;Diana&quot;},{&quot;family&quot;:&quot;Desai&quot;,&quot;given&quot;:&quot;Amrita&quot;},{&quot;family&quot;:&quot;Vargas&quot;,&quot;given&quot;:&quot;Fernando&quot;},{&quot;family&quot;:&quot;Dinali&quot;,&quot;given&quot;:&quot;Mohamed El&quot;},{&quot;family&quot;:&quot;Warsch&quot;,&quot;given&quot;:&quot;Jessica&quot;},{&quot;family&quot;:&quot;Elias&quot;,&quot;given&quot;:&quot;Roy&quot;},{&quot;family&quot;:&quot;Chae&quot;,&quot;given&quot;:&quot;Young Kwang&quot;},{&quot;family&quot;:&quot;Kim&quot;,&quot;given&quot;:&quot;Dae Won&quot;},{&quot;family&quot;:&quot;Warsch&quot;,&quot;given&quot;:&quot;Sean&quot;},{&quot;family&quot;:&quot;Ishkanian&quot;,&quot;given&quot;:&quot;Adrian&quot;},{&quot;family&quot;:&quot;Ikpeazu&quot;,&quot;given&quot;:&quot;Chukwuemeka&quot;},{&quot;family&quot;:&quot;Mudad&quot;,&quot;given&quot;:&quot;Raja&quot;},{&quot;family&quot;:&quot;Lopes&quot;,&quot;given&quot;:&quot;Gilberto&quot;},{&quot;family&quot;:&quot;Jahanzeb&quot;,&quot;given&quot;:&quot;Mohammad&quot;}],&quot;title&quot;:&quot;Developing a Predictive Model for Clinical Outcomes of Advanced Non-Small Cell Lung Cancer Patients Treated With Nivolumab&quot;,&quot;ISSN&quot;:&quot;1525-7304&quot;,&quot;DOI&quot;:&quot;10.1016/j.cllc.2017.12.007&quot;,&quot;PMID&quot;:&quot;29336998&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issued&quot;:{&quot;year&quot;:2017},&quot;page&quot;:&quot;280-288.e4&quot;,&quot;issue&quot;:&quot;3&quot;,&quot;volume&quot;:&quot;19&quot;,&quot;journalAbbreviation&quot;:&quot;Clin Lung Cancer&quot;,&quot;container-title&quot;:&quot;Clinical Lung Cancer&quot;,&quot;id&quot;:&quot;9d8fab2e-1689-4fb0-bf56-20807cf4d291&quot;,&quot;page-first&quot;:&quot;280&quot;,&quot;container-title-short&quot;:&quot;Clin Lung Cancer&quot;}}]"/>
    <we:property name="113340365" value="[{&quot;id&quot;:&quot;dc3a946e-6a2f-4db9-a9c0-0ea7e685b1bd&quot;,&quot;article&quot;:{&quot;journal_abbrev&quot;:&quot;Plos One&quot;,&quot;pagination&quot;:&quot;e0219060&quot;,&quot;authors&quot;:[&quot;Matthieu Dusselier&quot;,&quot;Elise Deluche&quot;,&quot;Nellie Delacourt&quot;,&quot;Julia Ballouhey&quot;,&quot;Thomas Egenod&quot;,&quot;Boris Melloni&quot;,&quot;Charlotte Vergnenègre&quot;,&quot;Rémi Veillon&quot;,&quot;Alain Vergnenègre&quot;],&quot;publisher&quot;:&quot;&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year&quot;:2019,&quot;chapter&quot;:&quot;&quot;,&quot;journal&quot;:&quot;PLOS ONE&quot;,&quot;volume&quot;:&quot;14&quot;,&quot;title&quot;:&quot;Neutrophil-to-lymphocyte ratio evolution is an independent predictor of early progression of second-line nivolumab-treated patients with advanced non-small-cell lung cancers&quot;,&quot;issue&quot;:&quot;7&quot;,&quot;issn&quot;:&quot;&quot;,&quot;isbn&quot;:&quot;&quot;,&quot;url&quot;:&quot;https://dx.plos.org/10.1371/journal.pone.0219060&quot;},&quot;collection_group_id&quot;:&quot;&quot;,&quot;collection_id&quot;:&quot;4e0192db-b678-400e-ba1d-e378d3262964&quot;,&quot;item_type&quot;:&quot;article&quot;,&quot;deleted&quot;:false,&quot;files&quot;:[{&quot;name&quot;:&quot;IO_deltaNLR_Baseline_Fourth_treatment.pdf&quot;,&quot;size&quot;:774526,&quot;type&quot;:&quot;article&quot;,&quot;pages&quot;:12,&quot;sha256&quot;:&quot;6d55e35ada5dfd4a4fd7a86d6fc1f9e801c49e98e690bd1427560dea0efd3f6b&quot;,&quot;created&quot;:&quot;2020-05-18T19:52:36Z&quot;,&quot;file_type&quot;:&quot;pdf&quot;,&quot;access_method&quot;:&quot;personal_library&quot;,&quot;pdf_text_url&quot;:&quot;https://s3.amazonaws.com/objects.readcube.com/prerendered/6d55e35ada5dfd4a4fd7a86d6fc1f9e801c49e98e690bd1427560dea0efd3f6b/pdftext.txt?X-Amz-Algorithm=AWS4-HMAC-SHA256&amp;X-Amz-Credential=AKIAJAWZ5L6BMTSOH3EA%2F20200518%2Fus-east-1%2Fs3%2Faws4_request&amp;X-Amz-Date=20200518T195936Z&amp;X-Amz-Expires=86400&amp;X-Amz-SignedHeaders=host&amp;X-Amz-Signature=ea947af5cf0869c6e46ab1aa598c49ccbf00b7def862642cf1851b76c792b4ed&quot;}],&quot;ext_ids&quot;:{&quot;pmid&quot;:&quot;31314761&quot;,&quot;doi&quot;:&quot;10.1371/journal.pone.0219060&quot;},&quot;user_data&quot;:{&quot;created&quot;:&quot;2020-05-18T19:52:36Z&quot;,&quot;modified&quot;:&quot;2020-05-18T19:52:36Z&quot;,&quot;createdby&quot;:&quot;webapp 4.3.1&quot;,&quot;modifiedby&quot;:&quot;webapp 4.3.1&quot;,&quot;has_annotations&quot;:false,&quot;unread&quot;:true,&quot;last_read&quot;:null},&quot;checked&quot;:false,&quot;atIndex&quot;:33,&quot;item&quot;:{&quot;type&quot;:&quot;article-journal&quot;,&quot;author&quot;:[{&quot;family&quot;:&quot;Dusselier&quot;,&quot;given&quot;:&quot;Matthieu&quot;},{&quot;family&quot;:&quot;Deluche&quot;,&quot;given&quot;:&quot;Elise&quot;},{&quot;family&quot;:&quot;Delacourt&quot;,&quot;given&quot;:&quot;Nellie&quot;},{&quot;family&quot;:&quot;Ballouhey&quot;,&quot;given&quot;:&quot;Julia&quot;},{&quot;family&quot;:&quot;Egenod&quot;,&quot;given&quot;:&quot;Thomas&quot;},{&quot;family&quot;:&quot;Melloni&quot;,&quot;given&quot;:&quot;Boris&quot;},{&quot;family&quot;:&quot;Vergnenègre&quot;,&quot;given&quot;:&quot;Charlotte&quot;},{&quot;family&quot;:&quot;Veillon&quot;,&quot;given&quot;:&quot;Rémi&quot;},{&quot;family&quot;:&quot;Vergnenègre&quot;,&quot;given&quot;:&quot;Alain&quot;}],&quot;title&quot;:&quot;Neutrophil-to-lymphocyte ratio evolution is an independent predictor of early progression of second-line nivolumab-treated patients with advanced non-small-cell lung cancers&quot;,&quot;DOI&quot;:&quot;10.1371/journal.pone.0219060&quot;,&quot;PMID&quot;:&quot;31314761&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issued&quot;:{&quot;year&quot;:2019},&quot;page&quot;:&quot;e0219060&quot;,&quot;issue&quot;:&quot;7&quot;,&quot;volume&quot;:&quot;14&quot;,&quot;journalAbbreviation&quot;:&quot;Plos One&quot;,&quot;container-title&quot;:&quot;PLOS ONE&quot;,&quot;id&quot;:&quot;dc3a946e-6a2f-4db9-a9c0-0ea7e685b1bd&quot;,&quot;page-first&quot;:&quot;e0219060&quot;,&quot;container-title-short&quot;:&quot;Plos One&quot;}}]"/>
    <we:property name="123513041" value="[{&quot;id&quot;:&quot;e314dd3c-cbad-4229-9342-fd25807eb1e8&quot;,&quot;article&quot;:{&quot;journal_abbrev&quot;:&quot;Cancers&quot;,&quot;pagination&quot;:&quot;1954&quot;,&quot;authors&quot;:[&quot;Arsela Prelaj&quot;,&quot;Roberto Ferrara&quot;,&quot;Sara Elena Rebuzzi&quot;,&quot;Claudia Proto&quot;,&quot;Diego Signorelli&quot;,&quot;Giulia Galli&quot;,&quot;Alessandro De Toma&quot;,&quot;Giovanni Randon&quot;,&quot;Filippo Pagani&quot;,&quot;Giuseppe Viscardi&quot;,&quot;Marta Brambilla&quot;,&quot;Benedetta Trevisan&quot;,&quot;Monica Ganzinelli&quot;,&quot;Antonia Martinetti&quot;,&quot;Rosaria Gallucci&quot;,&quot;Rosa Maria Di Mauro&quot;,&quot;Giuliano Molino&quot;,&quot;Nicoletta Zilembo&quot;,&quot;Valter Torri&quot;,&quot;Filippo Maria de Braud&quot;,&quot;Marina Chiara Garassino&quot;,&quot;Giuseppe Lo Russo&quot;],&quot;publisher&quot;:&quot;&quot;,&quot;abstract&quot;:&quot;Background: Beyond programmed death ligand 1 (PD-L1), no other biomarkers for immunotherapy are used in daily practice. We previously created EPSILoN (Eastern Cooperative Oncology Group performance status (ECOG PS), smoking, liver metastases, lactate dehydrogenase (LDH), neutrophil-to-lymphocyte ratio (NLR)) score, a clinical/biochemical prognostic score, in 154 patients treated with second/further-line immunotherapy. This study’s aim was to validate EPSILoN score in a different population group. Methods: 193 patients were included at National Cancer Institute of Milan (second-line immunotherapy, 61%; further-line immunotherapy, 39%). Clinical/laboratory parameters such as neutrophil-to-lymphocyte ratio and lactate dehydrogenase levels were collected. Kaplan–Meier and Cox hazard methods were used for survival analysis. Results: Overall median progression-free survival and median overall survival were 2.3 and 7.6 months, respectively. Multivariate analyses for Progression-Free Survival (PFS) identified heavy smokers (hazard ratio (HR) 0.71, p = 0.036) and baseline LDH &lt; 400 mg/dL (HR 0.66, p = 0.026) as independent positive factors and liver metastases (HR 1.48, p = 0.04) and NLR ≥ 4 (HR 1.49, p = 0.029) as negative prognostic factors. These five factors were included in the EPSILoN score which was able to stratify patients in three different prognostic groups, high, intermediate and low, with PFS of 6.0, 3.8 and 1.9 months, respectively (HR 1.94, p &lt; 0.001); high, intermediate and low prognostic groups had overall survival (OS) of 24.5, 8.9 and 3.4 months, respectively (HR 2.40, p &lt; 0.001). Conclusions: EPSILoN, combining five baseline clinical/blood parameters (ECOG PS, smoking, liver metastases, LDH, NLR), may help to identify advanced non-small-cell lung cancer (aNSCLC) patients who most likely benefit from immune checkpoint inhibitors (ICIs).&quot;,&quot;year&quot;:2019,&quot;chapter&quot;:&quot;&quot;,&quot;journal&quot;:&quot;Cancers&quot;,&quot;volume&quot;:&quot;11&quot;,&quot;title&quot;:&quot;EPSILoN: A Prognostic Score for Immunotherapy in Advanced Non-Small-Cell Lung Cancer: A Validation Cohort&quot;,&quot;issue&quot;:&quot;12&quot;,&quot;issn&quot;:&quot;&quot;,&quot;isbn&quot;:&quot;&quot;,&quot;url&quot;:&quot;https://www.mdpi.com/2072-6694/11/12/1954&quot;},&quot;collection_group_id&quot;:&quot;&quot;,&quot;collection_id&quot;:&quot;4e0192db-b678-400e-ba1d-e378d3262964&quot;,&quot;item_type&quot;:&quot;article&quot;,&quot;deleted&quot;:false,&quot;files&quot;:[{&quot;name&quot;:&quot;EPSILoN_validation.pdf&quot;,&quot;size&quot;:336262,&quot;type&quot;:&quot;article&quot;,&quot;pages&quot;:13,&quot;sha256&quot;:&quot;debf35dd521f310b621a8a67e9fb89d38162d8e14c8c759d909a267067073208&quot;,&quot;created&quot;:&quot;2020-05-15T21:25:42Z&quot;,&quot;file_type&quot;:&quot;pdf&quot;,&quot;access_method&quot;:&quot;personal_library&quot;,&quot;pdf_text_url&quot;:&quot;https://s3.amazonaws.com/objects.readcube.com/prerendered/debf35dd521f310b621a8a67e9fb89d38162d8e14c8c759d909a267067073208/pdftext.txt?X-Amz-Algorithm=AWS4-HMAC-SHA256&amp;X-Amz-Credential=AKIAJAWZ5L6BMTSOH3EA%2F20200518%2Fus-east-1%2Fs3%2Faws4_request&amp;X-Amz-Date=20200518T180012Z&amp;X-Amz-Expires=86400&amp;X-Amz-SignedHeaders=host&amp;X-Amz-Signature=4d13577ea5449e2677f30ab60917da98a91f574987704a947c39136c6432f119&quot;}],&quot;ext_ids&quot;:{&quot;pmid&quot;:&quot;31817541&quot;,&quot;doi&quot;:&quot;10.3390/cancers11121954&quot;},&quot;user_data&quot;:{&quot;created&quot;:&quot;2020-05-15T21:25:42Z&quot;,&quot;modified&quot;:&quot;2020-05-18T17:59:46Z&quot;,&quot;createdby&quot;:&quot;webapp 4.3.1&quot;,&quot;last_read&quot;:&quot;2020-05-18T17:59:46Z&quot;,&quot;modifiedby&quot;:&quot;web_reader 13.0.4&quot;,&quot;view_count&quot;:1,&quot;has_annotations&quot;:false,&quot;unread&quot;:false},&quot;checked&quot;:false,&quot;atIndex&quot;:29,&quot;item&quot;:{&quot;type&quot;:&quot;article-journal&quot;,&quot;author&quot;:[{&quot;family&quot;:&quot;Prelaj&quot;,&quot;given&quot;:&quot;Arsela&quot;},{&quot;family&quot;:&quot;Ferrara&quot;,&quot;given&quot;:&quot;Roberto&quot;},{&quot;family&quot;:&quot;Rebuzzi&quot;,&quot;given&quot;:&quot;Sara Elena&quot;},{&quot;family&quot;:&quot;Proto&quot;,&quot;given&quot;:&quot;Claudia&quot;},{&quot;family&quot;:&quot;Signorelli&quot;,&quot;given&quot;:&quot;Diego&quot;},{&quot;family&quot;:&quot;Galli&quot;,&quot;given&quot;:&quot;Giulia&quot;},{&quot;family&quot;:&quot;Toma&quot;,&quot;given&quot;:&quot;Alessandro De&quot;},{&quot;family&quot;:&quot;Randon&quot;,&quot;given&quot;:&quot;Giovanni&quot;},{&quot;family&quot;:&quot;Pagani&quot;,&quot;given&quot;:&quot;Filippo&quot;},{&quot;family&quot;:&quot;Viscardi&quot;,&quot;given&quot;:&quot;Giuseppe&quot;},{&quot;family&quot;:&quot;Brambilla&quot;,&quot;given&quot;:&quot;Marta&quot;},{&quot;family&quot;:&quot;Trevisan&quot;,&quot;given&quot;:&quot;Benedetta&quot;},{&quot;family&quot;:&quot;Ganzinelli&quot;,&quot;given&quot;:&quot;Monica&quot;},{&quot;family&quot;:&quot;Martinetti&quot;,&quot;given&quot;:&quot;Antonia&quot;},{&quot;family&quot;:&quot;Gallucci&quot;,&quot;given&quot;:&quot;Rosaria&quot;},{&quot;family&quot;:&quot;Mauro&quot;,&quot;given&quot;:&quot;Rosa Maria Di&quot;},{&quot;family&quot;:&quot;Molino&quot;,&quot;given&quot;:&quot;Giuliano&quot;},{&quot;family&quot;:&quot;Zilembo&quot;,&quot;given&quot;:&quot;Nicoletta&quot;},{&quot;family&quot;:&quot;Torri&quot;,&quot;given&quot;:&quot;Valter&quot;},{&quot;family&quot;:&quot;Braud&quot;,&quot;given&quot;:&quot;Filippo Maria de&quot;},{&quot;family&quot;:&quot;Garassino&quot;,&quot;given&quot;:&quot;Marina Chiara&quot;},{&quot;family&quot;:&quot;Russo&quot;,&quot;given&quot;:&quot;Giuseppe Lo&quot;}],&quot;title&quot;:&quot;EPSILoN: A Prognostic Score for Immunotherapy in Advanced Non-Small-Cell Lung Cancer: A Validation Cohort&quot;,&quot;DOI&quot;:&quot;10.3390/cancers11121954&quot;,&quot;PMID&quot;:&quot;31817541&quot;,&quot;abstract&quot;:&quot;Background: Beyond programmed death ligand 1 (PD-L1), no other biomarkers for immunotherapy are used in daily practice. We previously created EPSILoN (Eastern Cooperative Oncology Group performance status (ECOG PS), smoking, liver metastases, lactate dehydrogenase (LDH), neutrophil-to-lymphocyte ratio (NLR)) score, a clinical/biochemical prognostic score, in 154 patients treated with second/further-line immunotherapy. This study’s aim was to validate EPSILoN score in a different population group. Methods: 193 patients were included at National Cancer Institute of Milan (second-line immunotherapy, 61%; further-line immunotherapy, 39%). Clinical/laboratory parameters such as neutrophil-to-lymphocyte ratio and lactate dehydrogenase levels were collected. Kaplan–Meier and Cox hazard methods were used for survival analysis. Results: Overall median progression-free survival and median overall survival were 2.3 and 7.6 months, respectively. Multivariate analyses for Progression-Free Survival (PFS) identified heavy smokers (hazard ratio (HR) 0.71, p = 0.036) and baseline LDH &lt; 400 mg/dL (HR 0.66, p = 0.026) as independent positive factors and liver metastases (HR 1.48, p = 0.04) and NLR ≥ 4 (HR 1.49, p = 0.029) as negative prognostic factors. These five factors were included in the EPSILoN score which was able to stratify patients in three different prognostic groups, high, intermediate and low, with PFS of 6.0, 3.8 and 1.9 months, respectively (HR 1.94, p &lt; 0.001); high, intermediate and low prognostic groups had overall survival (OS) of 24.5, 8.9 and 3.4 months, respectively (HR 2.40, p &lt; 0.001). Conclusions: EPSILoN, combining five baseline clinical/blood parameters (ECOG PS, smoking, liver metastases, LDH, NLR), may help to identify advanced non-small-cell lung cancer (aNSCLC) patients who most likely benefit from immune checkpoint inhibitors (ICIs).&quot;,&quot;issued&quot;:{&quot;year&quot;:2019},&quot;page&quot;:&quot;1954&quot;,&quot;issue&quot;:&quot;12&quot;,&quot;volume&quot;:&quot;11&quot;,&quot;journalAbbreviation&quot;:&quot;Cancers&quot;,&quot;container-title&quot;:&quot;Cancers&quot;,&quot;id&quot;:&quot;e314dd3c-cbad-4229-9342-fd25807eb1e8&quot;,&quot;page-first&quot;:&quot;1954&quot;,&quot;container-title-short&quot;:&quot;Cancers&quot;}}]"/>
    <we:property name="139001718" value="[{&quot;id&quot;:&quot;1776ab4e-9167-4d24-a331-b472d63b2ebb&quot;,&quot;article&quot;:{&quot;journal_abbrev&quot;:&quot;Thorac Cancer&quot;,&quot;pagination&quot;:&quot;1291-1299&quot;,&quot;authors&quot;:[&quot;Takayuki Takeda&quot;,&quot;Mayumi Takeuchi&quot;,&quot;Masahiko Saitoh&quot;,&quot;Sorou Takeda&quot;],&quot;publisher&quot;:&quot;&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year&quot;:2018,&quot;chapter&quot;:&quot;&quot;,&quot;journal&quot;:&quot;Thoracic Cancer&quot;,&quot;volume&quot;:&quot;9&quot;,&quot;title&quot;:&quot;Neutrophil-to-lymphocyte ratio after four weeks of nivolumab administration as a predictive marker in patients with pretreated non-small-cell lung cancer&quot;,&quot;issue&quot;:&quot;10&quot;,&quot;issn&quot;:&quot;1759-7706&quot;,&quot;isbn&quot;:&quot;&quot;,&quot;url&quot;:&quot;http://doi.wiley.com/10.1111/1759-7714.12838&quot;},&quot;collection_group_id&quot;:&quot;&quot;,&quot;collection_id&quot;:&quot;4e0192db-b678-400e-ba1d-e378d3262964&quot;,&quot;item_type&quot;:&quot;article&quot;,&quot;deleted&quot;:false,&quot;files&quot;:[{&quot;name&quot;:&quot;Neutrophil‐to‐lymphocyte ratio after four weeks of nivolumab administration as a predictive marker in patients with pretreated non‐small‐cell lung cancer.pdf&quot;,&quot;size&quot;:244419,&quot;type&quot;:&quot;article&quot;,&quot;pages&quot;:9,&quot;sha256&quot;:&quot;8e33e0c23535c849e1478a0600bbca7cb4ede9ea97c6d3c444ea1ac26437b9db&quot;,&quot;created&quot;:&quot;2020-05-15T16:21:54Z&quot;,&quot;file_type&quot;:&quot;pdf&quot;,&quot;access_method&quot;:&quot;open_access&quot;,&quot;pdf_text_url&quot;:&quot;https://s3.amazonaws.com/objects.readcube.com/prerendered/8e33e0c23535c849e1478a0600bbca7cb4ede9ea97c6d3c444ea1ac26437b9db/pdftext.txt?X-Amz-Algorithm=AWS4-HMAC-SHA256&amp;X-Amz-Credential=AKIAJAWZ5L6BMTSOH3EA%2F20200515%2Fus-east-1%2Fs3%2Faws4_request&amp;X-Amz-Date=20200515T162154Z&amp;X-Amz-Expires=86400&amp;X-Amz-SignedHeaders=host&amp;X-Amz-Signature=7beb8049600e1222d9c9251d4514d75e060843fc1ef7753ef3876659d9ae4b0b&quot;}],&quot;ext_ids&quot;:{&quot;pmid&quot;:&quot;30126063&quot;,&quot;doi&quot;:&quot;10.1111/1759-7714.12838&quot;},&quot;user_data&quot;:{&quot;created&quot;:&quot;2020-05-15T14:59:05Z&quot;,&quot;modified&quot;:&quot;2020-05-15T16:21:54Z&quot;,&quot;createdby&quot;:&quot;webapp 4.3.1&quot;,&quot;modifiedby&quot;:&quot;smartcite_word 1.11.0&quot;,&quot;annotations&quot;:[],&quot;unread&quot;:true,&quot;last_read&quot;:null},&quot;atIndex&quot;:5,&quot;item&quot;:{&quot;type&quot;:&quot;article-journal&quot;,&quot;author&quot;:[{&quot;family&quot;:&quot;Takeda&quot;,&quot;given&quot;:&quot;Takayuki&quot;},{&quot;family&quot;:&quot;Takeuchi&quot;,&quot;given&quot;:&quot;Mayumi&quot;},{&quot;family&quot;:&quot;Saitoh&quot;,&quot;given&quot;:&quot;Masahiko&quot;},{&quot;family&quot;:&quot;Takeda&quot;,&quot;given&quot;:&quot;Sorou&quot;}],&quot;title&quot;:&quot;Neutrophil-to-lymphocyte ratio after four weeks of nivolumab administration as a predictive marker in patients with pretreated non-small-cell lung cancer&quot;,&quot;ISSN&quot;:&quot;1759-7706&quot;,&quot;DOI&quot;:&quot;10.1111/1759-7714.12838&quot;,&quot;PMID&quot;:&quot;30126063&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issued&quot;:{&quot;year&quot;:2018},&quot;page&quot;:&quot;1291-1299&quot;,&quot;issue&quot;:&quot;10&quot;,&quot;volume&quot;:&quot;9&quot;,&quot;journalAbbreviation&quot;:&quot;Thorac Cancer&quot;,&quot;container-title&quot;:&quot;Thoracic Cancer&quot;,&quot;id&quot;:&quot;1776ab4e-9167-4d24-a331-b472d63b2ebb&quot;,&quot;page-first&quot;:&quot;1291&quot;,&quot;container-title-short&quot;:&quot;Thorac Cancer&quot;}}]"/>
    <we:property name="193656043" value="[{&quot;id&quot;:&quot;96ae61b3-a51f-4f39-b744-7324cd599aee&quot;,&quot;article&quot;:{&quot;journal_abbrev&quot;:&quot;&quot;,&quot;pagination&quot;:&quot;&quot;,&quot;authors&quot;:[&quot;Diem S&quot;,&quot;Schmid S&quot;,&quot;Krapf M&quot;,&quot;Flatz L&quot;,&quot;Born D&quot;,&quot;Jochum W&quot;,&quot;Templeton AJ&quot;,&quot;Früh M&quot;],&quot;publisher&quot;:&quot;&quot;,&quot;abstract&quot;:&quot;OBJECTIVES:\nImmunotherapy with the programmed death receptor-1 (PD-1) antibody nivolumab has changed the field of metastatic non-small cell lung cancer (NSCLC) treatment. Nivolumab shows better outcome compared to standard second line chemotherapy, but reliable prognostic markers are lacking. High neutrophil-to-lymphocyte ratio (NLR) and platelet-to-lymphocyte ratio (PLR) are markers of host inflammation and associated with worse overall survival (OS) in several tumor types, but have not been analysed extensively in lung cancer in the era of immunotherapy.\n\nMETHODS:\nPatients with metastatic NSCLC treated with nivolumab were enrolled. Pre-treatment NLR and PLR were calculated by division of neutrophils and platelets by lymphocytes measured in peripheral blood. Cox regression analyses were conducted to study the prognostic role of NLR and PLR on OS and progression free survival (PFS). Logistic regression was used to study the association of NLR and PLR. The combined impact of NLR and other known prognostic factors was explored with multivariable regression.\n\nRESULTS:\nFifty-two patients were included. Elevated NLR was associated with worse OS (HR for log(NLR)=3.64, 95% CI 1.78-7.46, p&lt;0.001) and lower response rates (OR for log(NLR)=0.17, 95% CI 0.04-0.68, p=0.013). There was no significant association with PFS (HR for log(NLR)=1.46, 95% CI=0.91-2.34, p=0.114). The AUC for the prediction of 10-month survival using log(NLR) was 0.738, the AUC for the prediction of response to nivolumab was 0.776. Relationships with PLR were similar. NLR and PLR didn't correlate with other known prognostic factors (i.e histology, tobacco use, ECOG performance status,) in our cohort. Inclusion of NLR in multivariable models with these other factors significantly improved the prediction of OS.\n\nCONCLUSION:\nElevated pre-treatment NLR and PLR are associated with shorter OS and PFS and with lower response rates in patients with metastatic NSCLC treated with nivolumab independently of other prognostic factors.&quot;,&quot;year&quot;:2017,&quot;chapter&quot;:&quot;&quot;,&quot;journal&quot;:&quot;Lung Cancer&quot;,&quot;volume&quot;:&quot;&quot;,&quot;title&quot;:&quot;Neutrophil-to-Lymphocyte ratio (NLR) and Platelet-to-Lymphocyte ratio (PLR) as prognostic markers in patients with non-small cell lung cancer (NSCLC) treated with nivolumab&quot;,&quot;issue&quot;:&quot;&quot;,&quot;issn&quot;:&quot;&quot;,&quot;isbn&quot;:&quot;&quot;,&quot;url&quot;:&quot;&quot;},&quot;collection_group_id&quot;:&quot;&quot;,&quot;collection_id&quot;:&quot;4e0192db-b678-400e-ba1d-e378d3262964&quot;,&quot;item_type&quot;:&quot;article&quot;,&quot;deleted&quot;:false,&quot;files&quot;:[],&quot;ext_ids&quot;:{&quot;pmid&quot;:&quot;28838390&quot;,&quot;doi&quot;:&quot;10.1016/j.lungcan.2017.07.024&quot;},&quot;user_data&quot;:{&quot;created&quot;:&quot;2020-05-18T18:43:37Z&quot;,&quot;modified&quot;:&quot;2020-05-18T18:47:15Z&quot;,&quot;createdby&quot;:&quot;webapp 4.3.1&quot;,&quot;modifiedby&quot;:&quot;webapp 4.3.1&quot;,&quot;has_annotations&quot;:false,&quot;unread&quot;:true,&quot;last_read&quot;:null},&quot;checked&quot;:false,&quot;atIndex&quot;:31,&quot;item&quot;:{&quot;type&quot;:&quot;article-journal&quot;,&quot;author&quot;:[{&quot;family&quot;:&quot;S&quot;,&quot;given&quot;:&quot;Diem&quot;},{&quot;family&quot;:&quot;S&quot;,&quot;given&quot;:&quot;Schmid&quot;},{&quot;family&quot;:&quot;M&quot;,&quot;given&quot;:&quot;Krapf&quot;},{&quot;family&quot;:&quot;L&quot;,&quot;given&quot;:&quot;Flatz&quot;},{&quot;family&quot;:&quot;D&quot;,&quot;given&quot;:&quot;Born&quot;},{&quot;family&quot;:&quot;W&quot;,&quot;given&quot;:&quot;Jochum&quot;},{&quot;family&quot;:&quot;AJ&quot;,&quot;given&quot;:&quot;Templeton&quot;},{&quot;family&quot;:&quot;M&quot;,&quot;given&quot;:&quot;Früh&quot;}],&quot;title&quot;:&quot;Neutrophil-to-Lymphocyte ratio (NLR) and Platelet-to-Lymphocyte ratio (PLR) as prognostic markers in patients with non-small cell lung cancer (NSCLC) treated with nivolumab&quot;,&quot;DOI&quot;:&quot;10.1016/j.lungcan.2017.07.024&quot;,&quot;PMID&quot;:&quot;28838390&quot;,&quot;abstract&quot;:&quot;OBJECTIVES:\nImmunotherapy with the programmed death receptor-1 (PD-1) antibody nivolumab has changed the field of metastatic non-small cell lung cancer (NSCLC) treatment. Nivolumab shows better outcome compared to standard second line chemotherapy, but reliable prognostic markers are lacking. High neutrophil-to-lymphocyte ratio (NLR) and platelet-to-lymphocyte ratio (PLR) are markers of host inflammation and associated with worse overall survival (OS) in several tumor types, but have not been analysed extensively in lung cancer in the era of immunotherapy.\n\nMETHODS:\nPatients with metastatic NSCLC treated with nivolumab were enrolled. Pre-treatment NLR and PLR were calculated by division of neutrophils and platelets by lymphocytes measured in peripheral blood. Cox regression analyses were conducted to study the prognostic role of NLR and PLR on OS and progression free survival (PFS). Logistic regression was used to study the association of NLR and PLR. The combined impact of NLR and other known prognostic factors was explored with multivariable regression.\n\nRESULTS:\nFifty-two patients were included. Elevated NLR was associated with worse OS (HR for log(NLR)=3.64, 95% CI 1.78-7.46, p&lt;0.001) and lower response rates (OR for log(NLR)=0.17, 95% CI 0.04-0.68, p=0.013). There was no significant association with PFS (HR for log(NLR)=1.46, 95% CI=0.91-2.34, p=0.114). The AUC for the prediction of 10-month survival using log(NLR) was 0.738, the AUC for the prediction of response to nivolumab was 0.776. Relationships with PLR were similar. NLR and PLR didn't correlate with other known prognostic factors (i.e histology, tobacco use, ECOG performance status,) in our cohort. Inclusion of NLR in multivariable models with these other factors significantly improved the prediction of OS.\n\nCONCLUSION:\nElevated pre-treatment NLR and PLR are associated with shorter OS and PFS and with lower response rates in patients with metastatic NSCLC treated with nivolumab independently of other prognostic factors.&quot;,&quot;issued&quot;:{&quot;year&quot;:2017},&quot;container-title&quot;:&quot;Lung Cancer&quot;,&quot;id&quot;:&quot;96ae61b3-a51f-4f39-b744-7324cd599aee&quot;}}]"/>
    <we:property name="214251540" value="[{&quot;id&quot;:&quot;a2d39997-c0f3-4420-8217-094fbe48dc34&quot;,&quot;article&quot;:{&quot;journal_abbrev&quot;:&quot;Clin Lung Cancer&quot;,&quot;pagination&quot;:&quot;208-214.e2&quot;,&quot;authors&quot;:[&quot;Tomoya Fukui&quot;,&quot;Yuriko Okuma&quot;,&quot;Yoshiro Nakahara&quot;,&quot;Sakiko Otani&quot;,&quot;Satoshi Igawa&quot;,&quot;Masato Katagiri&quot;,&quot;Hisashi Mitsufuji&quot;,&quot;Masaru Kubota&quot;,&quot;Yasuhiro Hiyoshi&quot;,&quot;Mikiko Ishihara&quot;,&quot;Masashi Kasajima&quot;,&quot;Jiichiro Sasaki&quot;,&quot;Katsuhiko Naoki&quot;],&quot;publisher&quot;:&quot;&quot;,&quot;abstract&quot;:&quot; Background The immune checkpoint inhibitor nivolumab is entering routine oncological practice. We investigated the safety and efficacy of nivolumab in the real world and alternative predictive factors for survival in patients with advanced non-small cell lung cancer (NSCLC). Patients and methods We performed a prospective observational study to evaluate the activity of nivolumab treatment for chemotherapy-refractory NSCLC. Patients were treated with nivolumab once every 2 weeks, and the efficacy was assessed every 8 ± 2 weeks. Results 52 patients were enrolled after nivolumab approval in Japan. These patients received a median of four (range, 1–43) cycles of nivolumab. Overall objective response was observed in 12 (23%) patients. Median progression-free survival was 2.1 [95% confidence interval (CI), 1.0–3.2] months, and 1-year overall survival rate was 59%. A total of 23 immune-related adverse events occurred; seven cases of pneumonitis, six of oral mucositis, five of hypothyroidism, two of colitis, two of liver dysfunction, and one of arthritis in the 20 patients. All patients invariably recovered after appropriate management. A pretreatment neutrophil-to-lymphocyte ratio (NLR) ≥ 5 was associated significantly with poor prognosis compared with an NLR &lt; 5 (hazard ratio, 4.52; 95% CI, 1.84–11.14; P = 0.013), independently. Conclusions Nivolumab showed promising activity with a manageable safety profile in clinical practice, consistent with effects of previous clinical trials. This drug could affect a specific population of patients with advanced NSCLC, and pretreatment NLR was a candidate of surrogate markers for survival benefit of patients with NSCLC treated with nivolumab.&quot;,&quot;year&quot;:2018,&quot;chapter&quot;:&quot;&quot;,&quot;journal&quot;:&quot;Clinical Lung Cancer&quot;,&quot;volume&quot;:&quot;20&quot;,&quot;title&quot;:&quot;Activity of Nivolumab and Utility of Neutrophil-to-Lymphocyte Ratio as A Predictive Biomarker for Advanced Non-Small Cell Lung Cancer: A Prospective Observational Study&quot;,&quot;issue&quot;:&quot;3&quot;,&quot;issn&quot;:&quot;1525-7304&quot;,&quot;isbn&quot;:&quot;&quot;,&quot;url&quot;:&quot;https://www.sciencedirect.com/science/article/pii/S1525730418301037?v=s5&quot;},&quot;collection_group_id&quot;:&quot;&quot;,&quot;collection_id&quot;:&quot;4e0192db-b678-400e-ba1d-e378d3262964&quot;,&quot;item_type&quot;:&quot;article&quot;,&quot;deleted&quot;:false,&quot;files&quot;:[{&quot;name&quot;:&quot;NLR IO nsclc nivo CLC 2018.pdf&quot;,&quot;size&quot;:602610,&quot;type&quot;:&quot;article&quot;,&quot;pages&quot;:9,&quot;sha256&quot;:&quot;58a9626306b3824060f090ed73d64eaf1bf730cecd2ea6ba3b996f5911af214d&quot;,&quot;created&quot;:&quot;2020-05-15T14:32:35Z&quot;,&quot;file_type&quot;:&quot;pdf&quot;,&quot;access_method&quot;:&quot;personal_library&quot;,&quot;pdf_text_url&quot;:&quot;https://s3.amazonaws.com/objects.readcube.com/prerendered/58a9626306b3824060f090ed73d64eaf1bf730cecd2ea6ba3b996f5911af214d/pdftext.txt?X-Amz-Algorithm=AWS4-HMAC-SHA256&amp;X-Amz-Credential=AKIAJAWZ5L6BMTSOH3EA%2F20200515%2Fus-east-1%2Fs3%2Faws4_request&amp;X-Amz-Date=20200515T170245Z&amp;X-Amz-Expires=86400&amp;X-Amz-SignedHeaders=host&amp;X-Amz-Signature=1b5d4c5c9182aa94d261e036989832f7b07b6ef2a7d1dbea7244eed1a42084a4&quot;}],&quot;ext_ids&quot;:{&quot;pmid&quot;:&quot;29803573&quot;,&quot;doi&quot;:&quot;10.1016/j.cllc.2018.04.021&quot;},&quot;user_data&quot;:{&quot;created&quot;:&quot;2020-05-15T14:32:35Z&quot;,&quot;modified&quot;:&quot;2020-05-15T14:38:22Z&quot;,&quot;createdby&quot;:&quot;webapp 4.3.1&quot;,&quot;last_read&quot;:&quot;2020-05-15T14:38:22Z&quot;,&quot;modifiedby&quot;:&quot;web_reader 13.0.3&quot;,&quot;view_count&quot;:1,&quot;has_annotations&quot;:false,&quot;unread&quot;:false},&quot;checked&quot;:false,&quot;atIndex&quot;:11,&quot;item&quot;:{&quot;type&quot;:&quot;article-journal&quot;,&quot;author&quot;:[{&quot;family&quot;:&quot;Fukui&quot;,&quot;given&quot;:&quot;Tomoya&quot;},{&quot;family&quot;:&quot;Okuma&quot;,&quot;given&quot;:&quot;Yuriko&quot;},{&quot;family&quot;:&quot;Nakahara&quot;,&quot;given&quot;:&quot;Yoshiro&quot;},{&quot;family&quot;:&quot;Otani&quot;,&quot;given&quot;:&quot;Sakiko&quot;},{&quot;family&quot;:&quot;Igawa&quot;,&quot;given&quot;:&quot;Satoshi&quot;},{&quot;family&quot;:&quot;Katagiri&quot;,&quot;given&quot;:&quot;Masato&quot;},{&quot;family&quot;:&quot;Mitsufuji&quot;,&quot;given&quot;:&quot;Hisashi&quot;},{&quot;family&quot;:&quot;Kubota&quot;,&quot;given&quot;:&quot;Masaru&quot;},{&quot;family&quot;:&quot;Hiyoshi&quot;,&quot;given&quot;:&quot;Yasuhiro&quot;},{&quot;family&quot;:&quot;Ishihara&quot;,&quot;given&quot;:&quot;Mikiko&quot;},{&quot;family&quot;:&quot;Kasajima&quot;,&quot;given&quot;:&quot;Masashi&quot;},{&quot;family&quot;:&quot;Sasaki&quot;,&quot;given&quot;:&quot;Jiichiro&quot;},{&quot;family&quot;:&quot;Naoki&quot;,&quot;given&quot;:&quot;Katsuhiko&quot;}],&quot;title&quot;:&quot;Activity of Nivolumab and Utility of Neutrophil-to-Lymphocyte Ratio as A Predictive Biomarker for Advanced Non-Small Cell Lung Cancer: A Prospective Observational Study&quot;,&quot;ISSN&quot;:&quot;1525-7304&quot;,&quot;DOI&quot;:&quot;10.1016/j.cllc.2018.04.021&quot;,&quot;PMID&quot;:&quot;29803573&quot;,&quot;abstract&quot;:&quot; Background The immune checkpoint inhibitor nivolumab is entering routine oncological practice. We investigated the safety and efficacy of nivolumab in the real world and alternative predictive factors for survival in patients with advanced non-small cell lung cancer (NSCLC). Patients and methods We performed a prospective observational study to evaluate the activity of nivolumab treatment for chemotherapy-refractory NSCLC. Patients were treated with nivolumab once every 2 weeks, and the efficacy was assessed every 8 ± 2 weeks. Results 52 patients were enrolled after nivolumab approval in Japan. These patients received a median of four (range, 1–43) cycles of nivolumab. Overall objective response was observed in 12 (23%) patients. Median progression-free survival was 2.1 [95% confidence interval (CI), 1.0–3.2] months, and 1-year overall survival rate was 59%. A total of 23 immune-related adverse events occurred; seven cases of pneumonitis, six of oral mucositis, five of hypothyroidism, two of colitis, two of liver dysfunction, and one of arthritis in the 20 patients. All patients invariably recovered after appropriate management. A pretreatment neutrophil-to-lymphocyte ratio (NLR) ≥ 5 was associated significantly with poor prognosis compared with an NLR &lt; 5 (hazard ratio, 4.52; 95% CI, 1.84–11.14; P = 0.013), independently. Conclusions Nivolumab showed promising activity with a manageable safety profile in clinical practice, consistent with effects of previous clinical trials. This drug could affect a specific population of patients with advanced NSCLC, and pretreatment NLR was a candidate of surrogate markers for survival benefit of patients with NSCLC treated with nivolumab.&quot;,&quot;issued&quot;:{&quot;year&quot;:2018},&quot;page&quot;:&quot;208-214.e2&quot;,&quot;issue&quot;:&quot;3&quot;,&quot;volume&quot;:&quot;20&quot;,&quot;journalAbbreviation&quot;:&quot;Clin Lung Cancer&quot;,&quot;container-title&quot;:&quot;Clinical Lung Cancer&quot;,&quot;id&quot;:&quot;a2d39997-c0f3-4420-8217-094fbe48dc34&quot;,&quot;page-first&quot;:&quot;208&quot;,&quot;container-title-short&quot;:&quot;Clin Lung Cancer&quot;}}]"/>
    <we:property name="220873773" value="[{&quot;id&quot;:&quot;dc3a946e-6a2f-4db9-a9c0-0ea7e685b1bd&quot;,&quot;article&quot;:{&quot;journal_abbrev&quot;:&quot;Plos One&quot;,&quot;pagination&quot;:&quot;e0219060&quot;,&quot;authors&quot;:[&quot;Matthieu Dusselier&quot;,&quot;Elise Deluche&quot;,&quot;Nellie Delacourt&quot;,&quot;Julia Ballouhey&quot;,&quot;Thomas Egenod&quot;,&quot;Boris Melloni&quot;,&quot;Charlotte Vergnenègre&quot;,&quot;Rémi Veillon&quot;,&quot;Alain Vergnenègre&quot;],&quot;publisher&quot;:&quot;&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year&quot;:2019,&quot;chapter&quot;:&quot;&quot;,&quot;journal&quot;:&quot;PLOS ONE&quot;,&quot;volume&quot;:&quot;14&quot;,&quot;title&quot;:&quot;Neutrophil-to-lymphocyte ratio evolution is an independent predictor of early progression of second-line nivolumab-treated patients with advanced non-small-cell lung cancers&quot;,&quot;issue&quot;:&quot;7&quot;,&quot;issn&quot;:&quot;&quot;,&quot;isbn&quot;:&quot;&quot;,&quot;url&quot;:&quot;https://dx.plos.org/10.1371/journal.pone.0219060&quot;},&quot;collection_group_id&quot;:&quot;&quot;,&quot;collection_id&quot;:&quot;4e0192db-b678-400e-ba1d-e378d3262964&quot;,&quot;item_type&quot;:&quot;article&quot;,&quot;deleted&quot;:false,&quot;files&quot;:[{&quot;name&quot;:&quot;IO_deltaNLR_Baseline_Fourth_treatment.pdf&quot;,&quot;size&quot;:774526,&quot;type&quot;:&quot;article&quot;,&quot;pages&quot;:12,&quot;sha256&quot;:&quot;6d55e35ada5dfd4a4fd7a86d6fc1f9e801c49e98e690bd1427560dea0efd3f6b&quot;,&quot;created&quot;:&quot;2020-05-18T19:52:36Z&quot;,&quot;file_type&quot;:&quot;pdf&quot;,&quot;access_method&quot;:&quot;personal_library&quot;,&quot;pdf_text_url&quot;:&quot;https://s3.amazonaws.com/objects.readcube.com/prerendered/6d55e35ada5dfd4a4fd7a86d6fc1f9e801c49e98e690bd1427560dea0efd3f6b/pdftext.txt?X-Amz-Algorithm=AWS4-HMAC-SHA256&amp;X-Amz-Credential=AKIAJAWZ5L6BMTSOH3EA%2F20200518%2Fus-east-1%2Fs3%2Faws4_request&amp;X-Amz-Date=20200518T195936Z&amp;X-Amz-Expires=86400&amp;X-Amz-SignedHeaders=host&amp;X-Amz-Signature=ea947af5cf0869c6e46ab1aa598c49ccbf00b7def862642cf1851b76c792b4ed&quot;}],&quot;ext_ids&quot;:{&quot;pmid&quot;:&quot;31314761&quot;,&quot;doi&quot;:&quot;10.1371/journal.pone.0219060&quot;},&quot;user_data&quot;:{&quot;created&quot;:&quot;2020-05-18T19:52:36Z&quot;,&quot;modified&quot;:&quot;2020-05-18T19:52:36Z&quot;,&quot;createdby&quot;:&quot;webapp 4.3.1&quot;,&quot;modifiedby&quot;:&quot;webapp 4.3.1&quot;,&quot;has_annotations&quot;:false,&quot;unread&quot;:true,&quot;last_read&quot;:null},&quot;checked&quot;:false,&quot;atIndex&quot;:33,&quot;item&quot;:{&quot;type&quot;:&quot;article-journal&quot;,&quot;author&quot;:[{&quot;family&quot;:&quot;Dusselier&quot;,&quot;given&quot;:&quot;Matthieu&quot;},{&quot;family&quot;:&quot;Deluche&quot;,&quot;given&quot;:&quot;Elise&quot;},{&quot;family&quot;:&quot;Delacourt&quot;,&quot;given&quot;:&quot;Nellie&quot;},{&quot;family&quot;:&quot;Ballouhey&quot;,&quot;given&quot;:&quot;Julia&quot;},{&quot;family&quot;:&quot;Egenod&quot;,&quot;given&quot;:&quot;Thomas&quot;},{&quot;family&quot;:&quot;Melloni&quot;,&quot;given&quot;:&quot;Boris&quot;},{&quot;family&quot;:&quot;Vergnenègre&quot;,&quot;given&quot;:&quot;Charlotte&quot;},{&quot;family&quot;:&quot;Veillon&quot;,&quot;given&quot;:&quot;Rémi&quot;},{&quot;family&quot;:&quot;Vergnenègre&quot;,&quot;given&quot;:&quot;Alain&quot;}],&quot;title&quot;:&quot;Neutrophil-to-lymphocyte ratio evolution is an independent predictor of early progression of second-line nivolumab-treated patients with advanced non-small-cell lung cancers&quot;,&quot;DOI&quot;:&quot;10.1371/journal.pone.0219060&quot;,&quot;PMID&quot;:&quot;31314761&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issued&quot;:{&quot;year&quot;:2019},&quot;page&quot;:&quot;e0219060&quot;,&quot;issue&quot;:&quot;7&quot;,&quot;volume&quot;:&quot;14&quot;,&quot;journalAbbreviation&quot;:&quot;Plos One&quot;,&quot;container-title&quot;:&quot;PLOS ONE&quot;,&quot;id&quot;:&quot;dc3a946e-6a2f-4db9-a9c0-0ea7e685b1bd&quot;,&quot;page-first&quot;:&quot;e0219060&quot;,&quot;container-title-short&quot;:&quot;Plos One&quot;}}]"/>
    <we:property name="331882632" value="[{&quot;id&quot;:&quot;fe8ee94b-2752-4b66-a302-8d9937c2fec5&quot;,&quot;article&quot;:{&quot;journal_abbrev&quot;:&quot;Lung Cancer&quot;,&quot;pagination&quot;:&quot;1-7&quot;,&quot;authors&quot;:[&quot;Stephen J Bagley&quot;,&quot;Shawn Kothari&quot;,&quot;Charu Aggarwal&quot;,&quot;Joshua M Bauml&quot;,&quot;Evan W Alley&quot;,&quot;Tracey L Evans&quot;,&quot;John A Kosteva&quot;,&quot;Christine A Ciunci&quot;,&quot;Peter E Gabriel&quot;,&quot;Jeffrey C Thompson&quot;,&quot;Susan Stonehouse-Lee&quot;,&quot;Victoria E Sherry&quot;,&quot;Elizabeth Gilbert&quot;,&quot;Beth Eaby-Sandy&quot;,&quot;Faith Mutale&quot;,&quot;Gloria DiLullo&quot;,&quot;Roger B Cohen&quot;,&quot;Anil Vachani&quot;,&quot;Corey J Langer&quot;],&quot;publisher&quot;:&quot;&quot;,&quot;abstract&quot;:&quot;ObjectivesEfficient use of nivolumab in non-small-cell lung cancer (NSCLC) has been limited by the lack of a definitive predictive biomarker. In patients with metastatic melanoma treated with ipilimumab, a pretreatment neutrophil-to-lymphocyte ratio (NLR)&lt;5 has been associated with improved survival. This retrospective cohort study aimed to determine whether the pretreatment NLR was associated with outcomes in NSCLC patients treated with nivolumab.MethodsWe reviewed the medical records of all patients with previously treated advanced NSCLC who received nivolumab between March 2015 and March 2016 outside of a clinical trial at the University of Pennsylvania. Patients were dichotomized according to pretreatment NLR&lt;5 vs. ≥5. Multivariable logistic regression and Cox proportional hazards models were used to assess the impact of pretreatment NLR on overall survival (OS), progression-free survival (PFS), and overall response rate (ORR).Results175 patients were treated. Median age was 68 (range, 33–88); 54% were female. Twenty-five percent of patients had an Eastern Cooperative Oncology Group Performance Status (ECOG PS) ≥2; 46% had received ≥2 prior systemic therapies. In multivariate analyses, pretreatment neutrophil-to-lymphocyte ratio (NLR) ≥5 was independently associated with inferior OS (median 5.5 vs. 8.4 months; HR 2.07, 95% CI 1.3–3.3; p=0.002) and inferior PFS (median 1.9 vs. 2.8 months; HR 1.43, 95% CI 1.02–2.0; p=0.04).ConclusionsIn a cohort of patients with NSCLC treated with nivolumab in routine practice, pretreatment NLR≥5 was associated with inferior outcomes. It is unclear whether this marker is predictive or prognostic. Prospective studies are warranted to determine the utility of NLR in the context of other biomarkers of programmed death-1 (PD-1) therapy.&quot;,&quot;year&quot;:2017,&quot;chapter&quot;:&quot;&quot;,&quot;journal&quot;:&quot;Lung Cancer&quot;,&quot;volume&quot;:&quot;106&quot;,&quot;title&quot;:&quot;Pretreatment neutrophil-to-lymphocyte ratio as a marker of outcomes in nivolumab-treated patients with advanced non-small-cell lung cancer&quot;,&quot;issue&quot;:&quot;&quot;,&quot;issn&quot;:&quot;0169-5002&quot;,&quot;isbn&quot;:&quot;&quot;,&quot;url&quot;:&quot;https://linkinghub.elsevier.com/retrieve/pii/S0169500217300247&quot;},&quot;collection_group_id&quot;:&quot;&quot;,&quot;collection_id&quot;:&quot;4e0192db-b678-400e-ba1d-e378d3262964&quot;,&quot;item_type&quot;:&quot;article&quot;,&quot;deleted&quot;:false,&quot;files&quot;:[],&quot;ext_ids&quot;:{&quot;pmid&quot;:&quot;28285682&quot;,&quot;doi&quot;:&quot;10.1016/j.lungcan.2017.01.013&quot;},&quot;user_data&quot;:{&quot;created&quot;:&quot;2020-05-15T21:00:10Z&quot;,&quot;modified&quot;:&quot;2020-05-15T21:00:34Z&quot;,&quot;createdby&quot;:&quot;web_reader 13.0.3&quot;,&quot;modifiedby&quot;:&quot;web_reader 13.0.3&quot;,&quot;has_annotations&quot;:false,&quot;unread&quot;:true,&quot;last_read&quot;:null},&quot;checked&quot;:false,&quot;atIndex&quot;:17,&quot;item&quot;:{&quot;type&quot;:&quot;article-journal&quot;,&quot;author&quot;:[{&quot;family&quot;:&quot;Bagley&quot;,&quot;given&quot;:&quot;Stephen J&quot;},{&quot;family&quot;:&quot;Kothari&quot;,&quot;given&quot;:&quot;Shawn&quot;},{&quot;family&quot;:&quot;Aggarwal&quot;,&quot;given&quot;:&quot;Charu&quot;},{&quot;family&quot;:&quot;Bauml&quot;,&quot;given&quot;:&quot;Joshua M&quot;},{&quot;family&quot;:&quot;Alley&quot;,&quot;given&quot;:&quot;Evan W&quot;},{&quot;family&quot;:&quot;Evans&quot;,&quot;given&quot;:&quot;Tracey L&quot;},{&quot;family&quot;:&quot;Kosteva&quot;,&quot;given&quot;:&quot;John A&quot;},{&quot;family&quot;:&quot;Ciunci&quot;,&quot;given&quot;:&quot;Christine A&quot;},{&quot;family&quot;:&quot;Gabriel&quot;,&quot;given&quot;:&quot;Peter E&quot;},{&quot;family&quot;:&quot;Thompson&quot;,&quot;given&quot;:&quot;Jeffrey C&quot;},{&quot;family&quot;:&quot;Stonehouse-Lee&quot;,&quot;given&quot;:&quot;Susan&quot;},{&quot;family&quot;:&quot;Sherry&quot;,&quot;given&quot;:&quot;Victoria E&quot;},{&quot;family&quot;:&quot;Gilbert&quot;,&quot;given&quot;:&quot;Elizabeth&quot;},{&quot;family&quot;:&quot;Eaby-Sandy&quot;,&quot;given&quot;:&quot;Beth&quot;},{&quot;family&quot;:&quot;Mutale&quot;,&quot;given&quot;:&quot;Faith&quot;},{&quot;family&quot;:&quot;DiLullo&quot;,&quot;given&quot;:&quot;Gloria&quot;},{&quot;family&quot;:&quot;Cohen&quot;,&quot;given&quot;:&quot;Roger B&quot;},{&quot;family&quot;:&quot;Vachani&quot;,&quot;given&quot;:&quot;Anil&quot;},{&quot;family&quot;:&quot;Langer&quot;,&quot;given&quot;:&quot;Corey J&quot;}],&quot;title&quot;:&quot;Pretreatment neutrophil-to-lymphocyte ratio as a marker of outcomes in nivolumab-treated patients with advanced non-small-cell lung cancer&quot;,&quot;ISSN&quot;:&quot;0169-5002&quot;,&quot;DOI&quot;:&quot;10.1016/j.lungcan.2017.01.013&quot;,&quot;PMID&quot;:&quot;28285682&quot;,&quot;abstract&quot;:&quot;ObjectivesEfficient use of nivolumab in non-small-cell lung cancer (NSCLC) has been limited by the lack of a definitive predictive biomarker. In patients with metastatic melanoma treated with ipilimumab, a pretreatment neutrophil-to-lymphocyte ratio (NLR)&lt;5 has been associated with improved survival. This retrospective cohort study aimed to determine whether the pretreatment NLR was associated with outcomes in NSCLC patients treated with nivolumab.MethodsWe reviewed the medical records of all patients with previously treated advanced NSCLC who received nivolumab between March 2015 and March 2016 outside of a clinical trial at the University of Pennsylvania. Patients were dichotomized according to pretreatment NLR&lt;5 vs. ≥5. Multivariable logistic regression and Cox proportional hazards models were used to assess the impact of pretreatment NLR on overall survival (OS), progression-free survival (PFS), and overall response rate (ORR).Results175 patients were treated. Median age was 68 (range, 33–88); 54% were female. Twenty-five percent of patients had an Eastern Cooperative Oncology Group Performance Status (ECOG PS) ≥2; 46% had received ≥2 prior systemic therapies. In multivariate analyses, pretreatment neutrophil-to-lymphocyte ratio (NLR) ≥5 was independently associated with inferior OS (median 5.5 vs. 8.4 months; HR 2.07, 95% CI 1.3–3.3; p=0.002) and inferior PFS (median 1.9 vs. 2.8 months; HR 1.43, 95% CI 1.02–2.0; p=0.04).ConclusionsIn a cohort of patients with NSCLC treated with nivolumab in routine practice, pretreatment NLR≥5 was associated with inferior outcomes. It is unclear whether this marker is predictive or prognostic. Prospective studies are warranted to determine the utility of NLR in the context of other biomarkers of programmed death-1 (PD-1) therapy.&quot;,&quot;issued&quot;:{&quot;year&quot;:2017},&quot;page&quot;:&quot;1-7&quot;,&quot;volume&quot;:&quot;106&quot;,&quot;journalAbbreviation&quot;:&quot;Lung Cancer&quot;,&quot;container-title&quot;:&quot;Lung Cancer&quot;,&quot;id&quot;:&quot;fe8ee94b-2752-4b66-a302-8d9937c2fec5&quot;,&quot;page-first&quot;:&quot;1&quot;,&quot;container-title-short&quot;:&quot;Lung Cancer&quot;}}]"/>
    <we:property name="354236688"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JAWZ5L6BMTSOH3EA%2F20200515%2Fus-east-1%2Fs3%2Faws4_request&amp;X-Amz-Date=20200515T153125Z&amp;X-Amz-Expires=86400&amp;X-Amz-SignedHeaders=host&amp;X-Amz-Signature=b5b0a14e051148c388120d947077191b1f8e5f1915ed3ee8636ba5b18630c628&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JAWZ5L6BMTSOH3EA%2F20200515%2Fus-east-1%2Fs3%2Faws4_request&amp;X-Amz-Date=20200515T153125Z&amp;X-Amz-Expires=86400&amp;X-Amz-SignedHeaders=host&amp;X-Amz-Signature=d4a7d0edb1fe6fc67c314ea272e600e5844000fa3ee6fdbb8acf28236d754c94&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0,&quot;item&quot;:{&quot;type&quot;:&quot;article-journal&quot;,&quot;author&quot;:[{&quot;family&quot;:&quot;Suh&quot;,&quot;given&quot;:&quot;Koung Jin&quot;},{&quot;family&quot;:&quot;Kim&quot;,&quot;given&quot;:&quot;Se Hyun&quot;},{&quot;family&quot;:&quot;Kim&quot;,&quot;given&quot;:&quot;Yu Jung&quot;},{&quot;family&quot;:&quot;Kim&quot;,&quot;given&quot;:&quot;Miso&quot;},{&quot;family&quot;:&quot;Keam&quot;,&quot;given&quot;:&quot;Bhumsuk&quot;},{&quot;family&quot;:&quot;Kim&quot;,&quot;given&quot;:&quot;Tae Min&quot;},{&quot;family&quot;:&quot;Kim&quot;,&quot;given&quot;:&quot;Dong-Wan&quot;},{&quot;family&quot;:&quot;Heo&quot;,&quot;given&quot;:&quot;Dae Seog&quot;},{&quot;family&quot;:&quot;Lee&quot;,&quot;given&quot;:&quot;Jong Seok&quot;}],&quot;title&quot;:&quot;Post-treatment neutrophil-to-lymphocyte ratio at week 6 is prognostic in patients with advanced non-small cell lung cancers treated with anti-PD-1 antibody&quot;,&quot;ISSN&quot;:&quot;0340-7004&quot;,&quot;DOI&quot;:&quot;10.1007/s00262-017-2092-x&quot;,&quot;PMID&quot;:&quot;29204702&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issued&quot;:{&quot;year&quot;:2018},&quot;page&quot;:&quot;459-470&quot;,&quot;issue&quot;:&quot;3&quot;,&quot;volume&quot;:&quot;67&quot;,&quot;journalAbbreviation&quot;:&quot;Cancer Immunol Immunother&quot;,&quot;container-title&quot;:&quot;Cancer Immunology, Immunotherapy&quot;,&quot;id&quot;:&quot;5a9c62ed-44a8-4331-83ec-3f632496e141&quot;,&quot;page-first&quot;:&quot;459&quot;,&quot;container-title-short&quot;:&quot;Cancer Immunol Immunother&quot;}}]"/>
    <we:property name="364185220" value="[{&quot;id&quot;:&quot;dc3a946e-6a2f-4db9-a9c0-0ea7e685b1bd&quot;,&quot;article&quot;:{&quot;journal_abbrev&quot;:&quot;Plos One&quot;,&quot;pagination&quot;:&quot;e0219060&quot;,&quot;authors&quot;:[&quot;Matthieu Dusselier&quot;,&quot;Elise Deluche&quot;,&quot;Nellie Delacourt&quot;,&quot;Julia Ballouhey&quot;,&quot;Thomas Egenod&quot;,&quot;Boris Melloni&quot;,&quot;Charlotte Vergnenègre&quot;,&quot;Rémi Veillon&quot;,&quot;Alain Vergnenègre&quot;],&quot;publisher&quot;:&quot;&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year&quot;:2019,&quot;chapter&quot;:&quot;&quot;,&quot;journal&quot;:&quot;PLOS ONE&quot;,&quot;volume&quot;:&quot;14&quot;,&quot;title&quot;:&quot;Neutrophil-to-lymphocyte ratio evolution is an independent predictor of early progression of second-line nivolumab-treated patients with advanced non-small-cell lung cancers&quot;,&quot;issue&quot;:&quot;7&quot;,&quot;issn&quot;:&quot;&quot;,&quot;isbn&quot;:&quot;&quot;,&quot;url&quot;:&quot;https://dx.plos.org/10.1371/journal.pone.0219060&quot;},&quot;collection_group_id&quot;:&quot;&quot;,&quot;collection_id&quot;:&quot;4e0192db-b678-400e-ba1d-e378d3262964&quot;,&quot;item_type&quot;:&quot;article&quot;,&quot;deleted&quot;:false,&quot;files&quot;:[{&quot;name&quot;:&quot;IO_deltaNLR_Baseline_Fourth_treatment.pdf&quot;,&quot;size&quot;:774526,&quot;type&quot;:&quot;article&quot;,&quot;pages&quot;:12,&quot;sha256&quot;:&quot;6d55e35ada5dfd4a4fd7a86d6fc1f9e801c49e98e690bd1427560dea0efd3f6b&quot;,&quot;created&quot;:&quot;2020-05-18T19:52:36Z&quot;,&quot;file_type&quot;:&quot;pdf&quot;,&quot;access_method&quot;:&quot;personal_library&quot;,&quot;pdf_text_url&quot;:&quot;https://s3.amazonaws.com/objects.readcube.com/prerendered/6d55e35ada5dfd4a4fd7a86d6fc1f9e801c49e98e690bd1427560dea0efd3f6b/pdftext.txt?X-Amz-Algorithm=AWS4-HMAC-SHA256&amp;X-Amz-Credential=AKIAJAWZ5L6BMTSOH3EA%2F20200518%2Fus-east-1%2Fs3%2Faws4_request&amp;X-Amz-Date=20200518T195936Z&amp;X-Amz-Expires=86400&amp;X-Amz-SignedHeaders=host&amp;X-Amz-Signature=ea947af5cf0869c6e46ab1aa598c49ccbf00b7def862642cf1851b76c792b4ed&quot;}],&quot;ext_ids&quot;:{&quot;pmid&quot;:&quot;31314761&quot;,&quot;doi&quot;:&quot;10.1371/journal.pone.0219060&quot;},&quot;user_data&quot;:{&quot;created&quot;:&quot;2020-05-18T19:52:36Z&quot;,&quot;modified&quot;:&quot;2020-05-18T19:52:36Z&quot;,&quot;createdby&quot;:&quot;webapp 4.3.1&quot;,&quot;modifiedby&quot;:&quot;webapp 4.3.1&quot;,&quot;has_annotations&quot;:false,&quot;unread&quot;:true,&quot;last_read&quot;:null},&quot;checked&quot;:false,&quot;atIndex&quot;:33,&quot;item&quot;:{&quot;type&quot;:&quot;article-journal&quot;,&quot;author&quot;:[{&quot;family&quot;:&quot;Dusselier&quot;,&quot;given&quot;:&quot;Matthieu&quot;},{&quot;family&quot;:&quot;Deluche&quot;,&quot;given&quot;:&quot;Elise&quot;},{&quot;family&quot;:&quot;Delacourt&quot;,&quot;given&quot;:&quot;Nellie&quot;},{&quot;family&quot;:&quot;Ballouhey&quot;,&quot;given&quot;:&quot;Julia&quot;},{&quot;family&quot;:&quot;Egenod&quot;,&quot;given&quot;:&quot;Thomas&quot;},{&quot;family&quot;:&quot;Melloni&quot;,&quot;given&quot;:&quot;Boris&quot;},{&quot;family&quot;:&quot;Vergnenègre&quot;,&quot;given&quot;:&quot;Charlotte&quot;},{&quot;family&quot;:&quot;Veillon&quot;,&quot;given&quot;:&quot;Rémi&quot;},{&quot;family&quot;:&quot;Vergnenègre&quot;,&quot;given&quot;:&quot;Alain&quot;}],&quot;title&quot;:&quot;Neutrophil-to-lymphocyte ratio evolution is an independent predictor of early progression of second-line nivolumab-treated patients with advanced non-small-cell lung cancers&quot;,&quot;DOI&quot;:&quot;10.1371/journal.pone.0219060&quot;,&quot;PMID&quot;:&quot;31314761&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issued&quot;:{&quot;year&quot;:2019},&quot;page&quot;:&quot;e0219060&quot;,&quot;issue&quot;:&quot;7&quot;,&quot;volume&quot;:&quot;14&quot;,&quot;journalAbbreviation&quot;:&quot;Plos One&quot;,&quot;container-title&quot;:&quot;PLOS ONE&quot;,&quot;id&quot;:&quot;dc3a946e-6a2f-4db9-a9c0-0ea7e685b1bd&quot;,&quot;page-first&quot;:&quot;e0219060&quot;,&quot;container-title-short&quot;:&quot;Plos One&quot;}}]"/>
    <we:property name="365111004" value="[{&quot;id&quot;:&quot;e314dd3c-cbad-4229-9342-fd25807eb1e8&quot;,&quot;article&quot;:{&quot;journal_abbrev&quot;:&quot;Cancers&quot;,&quot;pagination&quot;:&quot;1954&quot;,&quot;authors&quot;:[&quot;Arsela Prelaj&quot;,&quot;Roberto Ferrara&quot;,&quot;Sara Elena Rebuzzi&quot;,&quot;Claudia Proto&quot;,&quot;Diego Signorelli&quot;,&quot;Giulia Galli&quot;,&quot;Alessandro De Toma&quot;,&quot;Giovanni Randon&quot;,&quot;Filippo Pagani&quot;,&quot;Giuseppe Viscardi&quot;,&quot;Marta Brambilla&quot;,&quot;Benedetta Trevisan&quot;,&quot;Monica Ganzinelli&quot;,&quot;Antonia Martinetti&quot;,&quot;Rosaria Gallucci&quot;,&quot;Rosa Maria Di Mauro&quot;,&quot;Giuliano Molino&quot;,&quot;Nicoletta Zilembo&quot;,&quot;Valter Torri&quot;,&quot;Filippo Maria de Braud&quot;,&quot;Marina Chiara Garassino&quot;,&quot;Giuseppe Lo Russo&quot;],&quot;publisher&quot;:&quot;&quot;,&quot;abstract&quot;:&quot;Background: Beyond programmed death ligand 1 (PD-L1), no other biomarkers for immunotherapy are used in daily practice. We previously created EPSILoN (Eastern Cooperative Oncology Group performance status (ECOG PS), smoking, liver metastases, lactate dehydrogenase (LDH), neutrophil-to-lymphocyte ratio (NLR)) score, a clinical/biochemical prognostic score, in 154 patients treated with second/further-line immunotherapy. This study’s aim was to validate EPSILoN score in a different population group. Methods: 193 patients were included at National Cancer Institute of Milan (second-line immunotherapy, 61%; further-line immunotherapy, 39%). Clinical/laboratory parameters such as neutrophil-to-lymphocyte ratio and lactate dehydrogenase levels were collected. Kaplan–Meier and Cox hazard methods were used for survival analysis. Results: Overall median progression-free survival and median overall survival were 2.3 and 7.6 months, respectively. Multivariate analyses for Progression-Free Survival (PFS) identified heavy smokers (hazard ratio (HR) 0.71, p = 0.036) and baseline LDH &lt; 400 mg/dL (HR 0.66, p = 0.026) as independent positive factors and liver metastases (HR 1.48, p = 0.04) and NLR ≥ 4 (HR 1.49, p = 0.029) as negative prognostic factors. These five factors were included in the EPSILoN score which was able to stratify patients in three different prognostic groups, high, intermediate and low, with PFS of 6.0, 3.8 and 1.9 months, respectively (HR 1.94, p &lt; 0.001); high, intermediate and low prognostic groups had overall survival (OS) of 24.5, 8.9 and 3.4 months, respectively (HR 2.40, p &lt; 0.001). Conclusions: EPSILoN, combining five baseline clinical/blood parameters (ECOG PS, smoking, liver metastases, LDH, NLR), may help to identify advanced non-small-cell lung cancer (aNSCLC) patients who most likely benefit from immune checkpoint inhibitors (ICIs).&quot;,&quot;year&quot;:2019,&quot;chapter&quot;:&quot;&quot;,&quot;journal&quot;:&quot;Cancers&quot;,&quot;volume&quot;:&quot;11&quot;,&quot;title&quot;:&quot;EPSILoN: A Prognostic Score for Immunotherapy in Advanced Non-Small-Cell Lung Cancer: A Validation Cohort&quot;,&quot;issue&quot;:&quot;12&quot;,&quot;issn&quot;:&quot;&quot;,&quot;isbn&quot;:&quot;&quot;,&quot;url&quot;:&quot;https://www.mdpi.com/2072-6694/11/12/1954&quot;},&quot;collection_group_id&quot;:&quot;&quot;,&quot;collection_id&quot;:&quot;4e0192db-b678-400e-ba1d-e378d3262964&quot;,&quot;item_type&quot;:&quot;article&quot;,&quot;deleted&quot;:false,&quot;files&quot;:[{&quot;name&quot;:&quot;EPSILoN_validation.pdf&quot;,&quot;size&quot;:336262,&quot;type&quot;:&quot;article&quot;,&quot;pages&quot;:13,&quot;sha256&quot;:&quot;debf35dd521f310b621a8a67e9fb89d38162d8e14c8c759d909a267067073208&quot;,&quot;created&quot;:&quot;2020-05-15T21:25:42Z&quot;,&quot;file_type&quot;:&quot;pdf&quot;,&quot;access_method&quot;:&quot;personal_library&quot;,&quot;pdf_text_url&quot;:&quot;https://s3.amazonaws.com/objects.readcube.com/prerendered/debf35dd521f310b621a8a67e9fb89d38162d8e14c8c759d909a267067073208/pdftext.txt?X-Amz-Algorithm=AWS4-HMAC-SHA256&amp;X-Amz-Credential=AKIAJAWZ5L6BMTSOH3EA%2F20200518%2Fus-east-1%2Fs3%2Faws4_request&amp;X-Amz-Date=20200518T180012Z&amp;X-Amz-Expires=86400&amp;X-Amz-SignedHeaders=host&amp;X-Amz-Signature=4d13577ea5449e2677f30ab60917da98a91f574987704a947c39136c6432f119&quot;}],&quot;ext_ids&quot;:{&quot;pmid&quot;:&quot;31817541&quot;,&quot;doi&quot;:&quot;10.3390/cancers11121954&quot;},&quot;user_data&quot;:{&quot;created&quot;:&quot;2020-05-15T21:25:42Z&quot;,&quot;modified&quot;:&quot;2020-05-18T17:59:46Z&quot;,&quot;createdby&quot;:&quot;webapp 4.3.1&quot;,&quot;last_read&quot;:&quot;2020-05-18T17:59:46Z&quot;,&quot;modifiedby&quot;:&quot;web_reader 13.0.4&quot;,&quot;view_count&quot;:1,&quot;has_annotations&quot;:false,&quot;unread&quot;:false},&quot;checked&quot;:false,&quot;atIndex&quot;:29,&quot;item&quot;:{&quot;type&quot;:&quot;article-journal&quot;,&quot;author&quot;:[{&quot;family&quot;:&quot;Prelaj&quot;,&quot;given&quot;:&quot;Arsela&quot;},{&quot;family&quot;:&quot;Ferrara&quot;,&quot;given&quot;:&quot;Roberto&quot;},{&quot;family&quot;:&quot;Rebuzzi&quot;,&quot;given&quot;:&quot;Sara Elena&quot;},{&quot;family&quot;:&quot;Proto&quot;,&quot;given&quot;:&quot;Claudia&quot;},{&quot;family&quot;:&quot;Signorelli&quot;,&quot;given&quot;:&quot;Diego&quot;},{&quot;family&quot;:&quot;Galli&quot;,&quot;given&quot;:&quot;Giulia&quot;},{&quot;family&quot;:&quot;Toma&quot;,&quot;given&quot;:&quot;Alessandro De&quot;},{&quot;family&quot;:&quot;Randon&quot;,&quot;given&quot;:&quot;Giovanni&quot;},{&quot;family&quot;:&quot;Pagani&quot;,&quot;given&quot;:&quot;Filippo&quot;},{&quot;family&quot;:&quot;Viscardi&quot;,&quot;given&quot;:&quot;Giuseppe&quot;},{&quot;family&quot;:&quot;Brambilla&quot;,&quot;given&quot;:&quot;Marta&quot;},{&quot;family&quot;:&quot;Trevisan&quot;,&quot;given&quot;:&quot;Benedetta&quot;},{&quot;family&quot;:&quot;Ganzinelli&quot;,&quot;given&quot;:&quot;Monica&quot;},{&quot;family&quot;:&quot;Martinetti&quot;,&quot;given&quot;:&quot;Antonia&quot;},{&quot;family&quot;:&quot;Gallucci&quot;,&quot;given&quot;:&quot;Rosaria&quot;},{&quot;family&quot;:&quot;Mauro&quot;,&quot;given&quot;:&quot;Rosa Maria Di&quot;},{&quot;family&quot;:&quot;Molino&quot;,&quot;given&quot;:&quot;Giuliano&quot;},{&quot;family&quot;:&quot;Zilembo&quot;,&quot;given&quot;:&quot;Nicoletta&quot;},{&quot;family&quot;:&quot;Torri&quot;,&quot;given&quot;:&quot;Valter&quot;},{&quot;family&quot;:&quot;Braud&quot;,&quot;given&quot;:&quot;Filippo Maria de&quot;},{&quot;family&quot;:&quot;Garassino&quot;,&quot;given&quot;:&quot;Marina Chiara&quot;},{&quot;family&quot;:&quot;Russo&quot;,&quot;given&quot;:&quot;Giuseppe Lo&quot;}],&quot;title&quot;:&quot;EPSILoN: A Prognostic Score for Immunotherapy in Advanced Non-Small-Cell Lung Cancer: A Validation Cohort&quot;,&quot;DOI&quot;:&quot;10.3390/cancers11121954&quot;,&quot;PMID&quot;:&quot;31817541&quot;,&quot;abstract&quot;:&quot;Background: Beyond programmed death ligand 1 (PD-L1), no other biomarkers for immunotherapy are used in daily practice. We previously created EPSILoN (Eastern Cooperative Oncology Group performance status (ECOG PS), smoking, liver metastases, lactate dehydrogenase (LDH), neutrophil-to-lymphocyte ratio (NLR)) score, a clinical/biochemical prognostic score, in 154 patients treated with second/further-line immunotherapy. This study’s aim was to validate EPSILoN score in a different population group. Methods: 193 patients were included at National Cancer Institute of Milan (second-line immunotherapy, 61%; further-line immunotherapy, 39%). Clinical/laboratory parameters such as neutrophil-to-lymphocyte ratio and lactate dehydrogenase levels were collected. Kaplan–Meier and Cox hazard methods were used for survival analysis. Results: Overall median progression-free survival and median overall survival were 2.3 and 7.6 months, respectively. Multivariate analyses for Progression-Free Survival (PFS) identified heavy smokers (hazard ratio (HR) 0.71, p = 0.036) and baseline LDH &lt; 400 mg/dL (HR 0.66, p = 0.026) as independent positive factors and liver metastases (HR 1.48, p = 0.04) and NLR ≥ 4 (HR 1.49, p = 0.029) as negative prognostic factors. These five factors were included in the EPSILoN score which was able to stratify patients in three different prognostic groups, high, intermediate and low, with PFS of 6.0, 3.8 and 1.9 months, respectively (HR 1.94, p &lt; 0.001); high, intermediate and low prognostic groups had overall survival (OS) of 24.5, 8.9 and 3.4 months, respectively (HR 2.40, p &lt; 0.001). Conclusions: EPSILoN, combining five baseline clinical/blood parameters (ECOG PS, smoking, liver metastases, LDH, NLR), may help to identify advanced non-small-cell lung cancer (aNSCLC) patients who most likely benefit from immune checkpoint inhibitors (ICIs).&quot;,&quot;issued&quot;:{&quot;year&quot;:2019},&quot;page&quot;:&quot;1954&quot;,&quot;issue&quot;:&quot;12&quot;,&quot;volume&quot;:&quot;11&quot;,&quot;journalAbbreviation&quot;:&quot;Cancers&quot;,&quot;container-title&quot;:&quot;Cancers&quot;,&quot;id&quot;:&quot;e314dd3c-cbad-4229-9342-fd25807eb1e8&quot;,&quot;page-first&quot;:&quot;1954&quot;,&quot;container-title-short&quot;:&quot;Cancers&quot;}}]"/>
    <we:property name="555352036" value="[{&quot;id&quot;:&quot;9e289965-a50f-4772-ad7a-30de951313ed&quot;,&quot;article&quot;:{&quot;journal_abbrev&quot;:&quot;JAMA Oncol&quot;,&quot;pagination&quot;:&quot;&quot;,&quot;authors&quot;:[&quot;Laura Mezquita&quot;,&quot;Edouard Auclin&quot;,&quot;Roberto Ferrara&quot;,&quot;Melinda Charrier&quot;,&quot;Jordi Remon&quot;,&quot;David Planchard&quot;,&quot;Santiago Ponce&quot;,&quot;Luis Paz Ares&quot;,&quot;Laura Leroy&quot;,&quot;Clarisse Audigier-Valette&quot;,&quot;Enriqueta Felip&quot;,&quot;Jorge Zerón-Medina&quot;,&quot;Pilar Garrido&quot;,&quot;Solenn Brosseau&quot;,&quot;Gérard Zalcman&quot;,&quot;Julien Mazieres&quot;,&quot;Caroline Caramela&quot;,&quot;Jihene Lahmar&quot;,&quot;Julien Adam&quot;,&quot;Nathalie Chaput&quot;,&quot;Jean Charles Soria&quot;,&quot;Benjamin Besse&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name&quot;:&quot;Association of the Lung Immune Prognostic Index With Immune Checkpoint Inhibitor Outcomes in Patients With Advanced Non–Small Cell Lung Cancer.pdf&quot;,&quot;size&quot;:312269,&quot;type&quot;:&quot;article&quot;,&quot;pages&quot;:21,&quot;sha256&quot;:&quot;7be9f86a8729eeb35eebf5491fe55ab28d7f578aeeb2fc660846a4146e78ffe9&quot;,&quot;created&quot;:&quot;2020-05-15T16:49:16Z&quot;,&quot;file_type&quot;:&quot;pdf&quot;,&quot;access_method&quot;:&quot;personal_library&quot;,&quot;pdf_text_url&quot;:&quot;https://s3.amazonaws.com/objects.readcube.com/prerendered/7be9f86a8729eeb35eebf5491fe55ab28d7f578aeeb2fc660846a4146e78ffe9/pdftext.txt?X-Amz-Algorithm=AWS4-HMAC-SHA256&amp;X-Amz-Credential=AKIAJAWZ5L6BMTSOH3EA%2F20200518%2Fus-east-1%2Fs3%2Faws4_request&amp;X-Amz-Date=20200518T213036Z&amp;X-Amz-Expires=86400&amp;X-Amz-SignedHeaders=host&amp;X-Amz-Signature=990eb945f141e37f1bbf4a1bffd92f5df6dabd13c9b4e60b4c0b6c6799982f08&quot;}],&quot;ext_ids&quot;:{&quot;pmid&quot;:&quot;29327044&quot;,&quot;doi&quot;:&quot;10.1001/jamaoncol.2017.4771&quot;},&quot;user_data&quot;:{&quot;created&quot;:&quot;2020-05-15T16:42:17Z&quot;,&quot;modified&quot;:&quot;2020-05-15T17:01:40Z&quot;,&quot;createdby&quot;:&quot;webapp 4.3.1&quot;,&quot;last_read&quot;:&quot;2020-05-15T16:52:09Z&quot;,&quot;modifiedby&quot;:&quot;webapp 4.3.1&quot;,&quot;view_count&quot;:3,&quot;has_annotations&quot;:false,&quot;unread&quot;:false},&quot;checked&quot;:false,&quot;atIndex&quot;:45,&quot;item&quot;:{&quot;type&quot;:&quot;article-journal&quot;,&quot;author&quot;:[{&quot;family&quot;:&quot;Mezquita&quot;,&quot;given&quot;:&quot;Laura&quot;},{&quot;family&quot;:&quot;Auclin&quot;,&quot;given&quot;:&quot;Edouard&quot;},{&quot;family&quot;:&quot;Ferrara&quot;,&quot;given&quot;:&quot;Roberto&quot;},{&quot;family&quot;:&quot;Charrier&quot;,&quot;given&quot;:&quot;Melinda&quot;},{&quot;family&quot;:&quot;Remon&quot;,&quot;given&quot;:&quot;Jordi&quot;},{&quot;family&quot;:&quot;Planchard&quot;,&quot;given&quot;:&quot;David&quot;},{&quot;family&quot;:&quot;Ponce&quot;,&quot;given&quot;:&quot;Santiago&quot;},{&quot;family&quot;:&quot;Ares&quot;,&quot;given&quot;:&quot;Luis Paz&quot;},{&quot;family&quot;:&quot;Leroy&quot;,&quot;given&quot;:&quot;Laura&quot;},{&quot;family&quot;:&quot;Audigier-Valette&quot;,&quot;given&quot;:&quot;Clarisse&quot;},{&quot;family&quot;:&quot;Felip&quot;,&quot;given&quot;:&quot;Enriqueta&quot;},{&quot;family&quot;:&quot;Zerón-Medina&quot;,&quot;given&quot;:&quot;Jorge&quot;},{&quot;family&quot;:&quot;Garrido&quot;,&quot;given&quot;:&quot;Pilar&quot;},{&quot;family&quot;:&quot;Brosseau&quot;,&quot;given&quot;:&quot;Solenn&quot;},{&quot;family&quot;:&quot;Zalcman&quot;,&quot;given&quot;:&quot;Gérard&quot;},{&quot;family&quot;:&quot;Mazieres&quot;,&quot;given&quot;:&quot;Julien&quot;},{&quot;family&quot;:&quot;Caramela&quot;,&quot;given&quot;:&quot;Caroline&quot;},{&quot;family&quot;:&quot;Lahmar&quot;,&quot;given&quot;:&quot;Jihene&quot;},{&quot;family&quot;:&quot;Adam&quot;,&quot;given&quot;:&quot;Julien&quot;},{&quot;family&quot;:&quot;Chaput&quot;,&quot;given&quot;:&quot;Nathalie&quot;},{&quot;family&quot;:&quot;Soria&quot;,&quot;given&quot;:&quot;Jean Charles&quot;},{&quot;family&quot;:&quot;Besse&quot;,&quot;given&quot;:&quot;Benjamin&quot;}],&quot;title&quot;:&quot;Association of the Lung Immune Prognostic Index With Immune Checkpoint Inhibitor Outcomes in Patients With Advanced Non-Small Cell Lung Cancer&quot;,&quot;DOI&quot;:&quot;10.1001/jamaoncol.2017.4771&quot;,&quot;PMID&quot;:&quot;29327044&quot;,&quot;journalAbbreviation&quot;:&quot;JAMA Oncol&quot;,&quot;id&quot;:&quot;9e289965-a50f-4772-ad7a-30de951313ed&quot;,&quot;issued&quot;:{&quot;literal&quot;:&quot;n.d.&quot;},&quot;container-title-short&quot;:&quot;JAMA Oncol&quot;}}]"/>
    <we:property name="570241675" value="[{&quot;id&quot;:&quot;a2d39997-c0f3-4420-8217-094fbe48dc34&quot;,&quot;article&quot;:{&quot;journal_abbrev&quot;:&quot;Clin Lung Cancer&quot;,&quot;pagination&quot;:&quot;208-214.e2&quot;,&quot;authors&quot;:[&quot;Tomoya Fukui&quot;,&quot;Yuriko Okuma&quot;,&quot;Yoshiro Nakahara&quot;,&quot;Sakiko Otani&quot;,&quot;Satoshi Igawa&quot;,&quot;Masato Katagiri&quot;,&quot;Hisashi Mitsufuji&quot;,&quot;Masaru Kubota&quot;,&quot;Yasuhiro Hiyoshi&quot;,&quot;Mikiko Ishihara&quot;,&quot;Masashi Kasajima&quot;,&quot;Jiichiro Sasaki&quot;,&quot;Katsuhiko Naoki&quot;],&quot;publisher&quot;:&quot;&quot;,&quot;abstract&quot;:&quot; Background The immune checkpoint inhibitor nivolumab is entering routine oncological practice. We investigated the safety and efficacy of nivolumab in the real world and alternative predictive factors for survival in patients with advanced non-small cell lung cancer (NSCLC). Patients and methods We performed a prospective observational study to evaluate the activity of nivolumab treatment for chemotherapy-refractory NSCLC. Patients were treated with nivolumab once every 2 weeks, and the efficacy was assessed every 8 ± 2 weeks. Results 52 patients were enrolled after nivolumab approval in Japan. These patients received a median of four (range, 1–43) cycles of nivolumab. Overall objective response was observed in 12 (23%) patients. Median progression-free survival was 2.1 [95% confidence interval (CI), 1.0–3.2] months, and 1-year overall survival rate was 59%. A total of 23 immune-related adverse events occurred; seven cases of pneumonitis, six of oral mucositis, five of hypothyroidism, two of colitis, two of liver dysfunction, and one of arthritis in the 20 patients. All patients invariably recovered after appropriate management. A pretreatment neutrophil-to-lymphocyte ratio (NLR) ≥ 5 was associated significantly with poor prognosis compared with an NLR &lt; 5 (hazard ratio, 4.52; 95% CI, 1.84–11.14; P = 0.013), independently. Conclusions Nivolumab showed promising activity with a manageable safety profile in clinical practice, consistent with effects of previous clinical trials. This drug could affect a specific population of patients with advanced NSCLC, and pretreatment NLR was a candidate of surrogate markers for survival benefit of patients with NSCLC treated with nivolumab.&quot;,&quot;year&quot;:2018,&quot;chapter&quot;:&quot;&quot;,&quot;journal&quot;:&quot;Clinical Lung Cancer&quot;,&quot;volume&quot;:&quot;20&quot;,&quot;title&quot;:&quot;Activity of Nivolumab and Utility of Neutrophil-to-Lymphocyte Ratio as A Predictive Biomarker for Advanced Non-Small Cell Lung Cancer: A Prospective Observational Study&quot;,&quot;issue&quot;:&quot;3&quot;,&quot;issn&quot;:&quot;1525-7304&quot;,&quot;isbn&quot;:&quot;&quot;,&quot;url&quot;:&quot;https://www.sciencedirect.com/science/article/pii/S1525730418301037?v=s5&quot;},&quot;collection_group_id&quot;:&quot;&quot;,&quot;collection_id&quot;:&quot;4e0192db-b678-400e-ba1d-e378d3262964&quot;,&quot;item_type&quot;:&quot;article&quot;,&quot;deleted&quot;:false,&quot;files&quot;:[{&quot;name&quot;:&quot;NLR IO nsclc nivo CLC 2018.pdf&quot;,&quot;size&quot;:602610,&quot;type&quot;:&quot;article&quot;,&quot;pages&quot;:9,&quot;sha256&quot;:&quot;58a9626306b3824060f090ed73d64eaf1bf730cecd2ea6ba3b996f5911af214d&quot;,&quot;created&quot;:&quot;2020-05-15T14:32:35Z&quot;,&quot;file_type&quot;:&quot;pdf&quot;,&quot;access_method&quot;:&quot;personal_library&quot;,&quot;pdf_text_url&quot;:&quot;https://s3.amazonaws.com/objects.readcube.com/prerendered/58a9626306b3824060f090ed73d64eaf1bf730cecd2ea6ba3b996f5911af214d/pdftext.txt?X-Amz-Algorithm=AWS4-HMAC-SHA256&amp;X-Amz-Credential=AKIAJAWZ5L6BMTSOH3EA%2F20200515%2Fus-east-1%2Fs3%2Faws4_request&amp;X-Amz-Date=20200515T170245Z&amp;X-Amz-Expires=86400&amp;X-Amz-SignedHeaders=host&amp;X-Amz-Signature=1b5d4c5c9182aa94d261e036989832f7b07b6ef2a7d1dbea7244eed1a42084a4&quot;}],&quot;ext_ids&quot;:{&quot;pmid&quot;:&quot;29803573&quot;,&quot;doi&quot;:&quot;10.1016/j.cllc.2018.04.021&quot;},&quot;user_data&quot;:{&quot;created&quot;:&quot;2020-05-15T14:32:35Z&quot;,&quot;modified&quot;:&quot;2020-05-15T14:38:22Z&quot;,&quot;createdby&quot;:&quot;webapp 4.3.1&quot;,&quot;last_read&quot;:&quot;2020-05-15T14:38:22Z&quot;,&quot;modifiedby&quot;:&quot;web_reader 13.0.3&quot;,&quot;view_count&quot;:1,&quot;has_annotations&quot;:false,&quot;unread&quot;:false},&quot;checked&quot;:false,&quot;atIndex&quot;:11,&quot;item&quot;:{&quot;type&quot;:&quot;article-journal&quot;,&quot;author&quot;:[{&quot;family&quot;:&quot;Fukui&quot;,&quot;given&quot;:&quot;Tomoya&quot;},{&quot;family&quot;:&quot;Okuma&quot;,&quot;given&quot;:&quot;Yuriko&quot;},{&quot;family&quot;:&quot;Nakahara&quot;,&quot;given&quot;:&quot;Yoshiro&quot;},{&quot;family&quot;:&quot;Otani&quot;,&quot;given&quot;:&quot;Sakiko&quot;},{&quot;family&quot;:&quot;Igawa&quot;,&quot;given&quot;:&quot;Satoshi&quot;},{&quot;family&quot;:&quot;Katagiri&quot;,&quot;given&quot;:&quot;Masato&quot;},{&quot;family&quot;:&quot;Mitsufuji&quot;,&quot;given&quot;:&quot;Hisashi&quot;},{&quot;family&quot;:&quot;Kubota&quot;,&quot;given&quot;:&quot;Masaru&quot;},{&quot;family&quot;:&quot;Hiyoshi&quot;,&quot;given&quot;:&quot;Yasuhiro&quot;},{&quot;family&quot;:&quot;Ishihara&quot;,&quot;given&quot;:&quot;Mikiko&quot;},{&quot;family&quot;:&quot;Kasajima&quot;,&quot;given&quot;:&quot;Masashi&quot;},{&quot;family&quot;:&quot;Sasaki&quot;,&quot;given&quot;:&quot;Jiichiro&quot;},{&quot;family&quot;:&quot;Naoki&quot;,&quot;given&quot;:&quot;Katsuhiko&quot;}],&quot;title&quot;:&quot;Activity of Nivolumab and Utility of Neutrophil-to-Lymphocyte Ratio as A Predictive Biomarker for Advanced Non-Small Cell Lung Cancer: A Prospective Observational Study&quot;,&quot;ISSN&quot;:&quot;1525-7304&quot;,&quot;DOI&quot;:&quot;10.1016/j.cllc.2018.04.021&quot;,&quot;PMID&quot;:&quot;29803573&quot;,&quot;abstract&quot;:&quot; Background The immune checkpoint inhibitor nivolumab is entering routine oncological practice. We investigated the safety and efficacy of nivolumab in the real world and alternative predictive factors for survival in patients with advanced non-small cell lung cancer (NSCLC). Patients and methods We performed a prospective observational study to evaluate the activity of nivolumab treatment for chemotherapy-refractory NSCLC. Patients were treated with nivolumab once every 2 weeks, and the efficacy was assessed every 8 ± 2 weeks. Results 52 patients were enrolled after nivolumab approval in Japan. These patients received a median of four (range, 1–43) cycles of nivolumab. Overall objective response was observed in 12 (23%) patients. Median progression-free survival was 2.1 [95% confidence interval (CI), 1.0–3.2] months, and 1-year overall survival rate was 59%. A total of 23 immune-related adverse events occurred; seven cases of pneumonitis, six of oral mucositis, five of hypothyroidism, two of colitis, two of liver dysfunction, and one of arthritis in the 20 patients. All patients invariably recovered after appropriate management. A pretreatment neutrophil-to-lymphocyte ratio (NLR) ≥ 5 was associated significantly with poor prognosis compared with an NLR &lt; 5 (hazard ratio, 4.52; 95% CI, 1.84–11.14; P = 0.013), independently. Conclusions Nivolumab showed promising activity with a manageable safety profile in clinical practice, consistent with effects of previous clinical trials. This drug could affect a specific population of patients with advanced NSCLC, and pretreatment NLR was a candidate of surrogate markers for survival benefit of patients with NSCLC treated with nivolumab.&quot;,&quot;issued&quot;:{&quot;year&quot;:2018},&quot;page&quot;:&quot;208-214.e2&quot;,&quot;issue&quot;:&quot;3&quot;,&quot;volume&quot;:&quot;20&quot;,&quot;journalAbbreviation&quot;:&quot;Clin Lung Cancer&quot;,&quot;container-title&quot;:&quot;Clinical Lung Cancer&quot;,&quot;id&quot;:&quot;a2d39997-c0f3-4420-8217-094fbe48dc34&quot;,&quot;page-first&quot;:&quot;208&quot;,&quot;container-title-short&quot;:&quot;Clin Lung Cancer&quot;}}]"/>
    <we:property name="668994806" value="[{&quot;id&quot;:&quot;36cc3f9e-67c7-4950-9d5d-005d11bc3d65&quot;,&quot;article&quot;:{&quot;journal_abbrev&quot;:&quot;J Cancer Metastasis Treat&quot;,&quot;pagination&quot;:&quot;&quot;,&quot;authors&quot;:[&quot;Rossana Berardi&quot;,&quot;Mariangela Torniai&quot;,&quot;Edoardo Lenci&quot;,&quot;Federica Pecci&quot;,&quot;Francesca Morgese&quot;,&quot;Silvia Rinaldi&quot;],&quot;publisher&quot;:&quot;&quot;,&quot;abstract&quot;:&quot;Journal of Cancer Metastasis and Treatment is an open access journal, focusing on basic and clinical studies related to cancer cell, cell biology, oncology, radiation therapy and radiology, obstetrics and gynecology, pediatrics, surgery, hematology, neuro-oncology, etc.&quot;,&quot;year&quot;:2019,&quot;chapter&quot;:&quot;&quot;,&quot;journal&quot;:&quot;Journal of Cancer Metastasis and Treatment&quot;,&quot;volume&quot;:&quot;2019&quot;,&quot;title&quot;:&quot;Electrolyte disorders in cancer patients: a systematic review&quot;,&quot;issue&quot;:&quot;&quot;,&quot;issn&quot;:&quot;2394-4722&quot;,&quot;isbn&quot;:&quot;&quot;,&quot;url&quot;:&quot;https://jcmtjournal.com/article/view/3279&quot;},&quot;collection_group_id&quot;:&quot;&quot;,&quot;collection_id&quot;:&quot;4e0192db-b678-400e-ba1d-e378d3262964&quot;,&quot;item_type&quot;:&quot;article&quot;,&quot;deleted&quot;:false,&quot;files&quot;:[{&quot;name&quot;:&quot;Electolyte_Disorders_In_Cancer.pdf&quot;,&quot;size&quot;:2152564,&quot;type&quot;:&quot;article&quot;,&quot;pages&quot;:33,&quot;sha256&quot;:&quot;f6ffcbc51b6e8e0fcaa2d3b943585a7665d7b0c22ded0710582e423d66b4700e&quot;,&quot;created&quot;:&quot;2020-06-05T20:15:49Z&quot;,&quot;user_id&quot;:&quot;4e0192db-b678-400e-ba1d-e378d3262964&quot;,&quot;file_type&quot;:&quot;pdf&quot;,&quot;access_method&quot;:&quot;personal_library&quot;,&quot;pdf_text_url&quot;:&quot;https://s3.amazonaws.com/objects.readcube.com/prerendered/f6ffcbc51b6e8e0fcaa2d3b943585a7665d7b0c22ded0710582e423d66b4700e/pdftext.txt?X-Amz-Algorithm=AWS4-HMAC-SHA256&amp;X-Amz-Credential=AKIAJAWZ5L6BMTSOH3EA%2F20200605%2Fus-east-1%2Fs3%2Faws4_request&amp;X-Amz-Date=20200605T201649Z&amp;X-Amz-Expires=86400&amp;X-Amz-SignedHeaders=host&amp;X-Amz-Signature=2e74e58901c2a1a349c09637f2369bde972e9fce7d928ca23edf419734dd4a3e&quot;}],&quot;ext_ids&quot;:{&quot;doi&quot;:&quot;10.20517/2394-4722.2019.008&quot;},&quot;user_data&quot;:{&quot;created&quot;:&quot;2020-06-05T20:15:49Z&quot;,&quot;modified&quot;:&quot;2020-06-05T20:15:49Z&quot;,&quot;createdby&quot;:&quot;webapp 4.3.1&quot;,&quot;modifiedby&quot;:&quot;webapp 4.3.1&quot;,&quot;has_annotations&quot;:false,&quot;unread&quot;:true,&quot;last_read&quot;:null},&quot;checked&quot;:false,&quot;atIndex&quot;:77,&quot;item&quot;:{&quot;type&quot;:&quot;article-journal&quot;,&quot;author&quot;:[{&quot;family&quot;:&quot;Berardi&quot;,&quot;given&quot;:&quot;Rossana&quot;},{&quot;family&quot;:&quot;Torniai&quot;,&quot;given&quot;:&quot;Mariangela&quot;},{&quot;family&quot;:&quot;Lenci&quot;,&quot;given&quot;:&quot;Edoardo&quot;},{&quot;family&quot;:&quot;Pecci&quot;,&quot;given&quot;:&quot;Federica&quot;},{&quot;family&quot;:&quot;Morgese&quot;,&quot;given&quot;:&quot;Francesca&quot;},{&quot;family&quot;:&quot;Rinaldi&quot;,&quot;given&quot;:&quot;Silvia&quot;}],&quot;title&quot;:&quot;Electrolyte disorders in cancer patients: a systematic review&quot;,&quot;ISSN&quot;:&quot;2394-4722&quot;,&quot;DOI&quot;:&quot;10.20517/2394-4722.2019.008&quot;,&quot;abstract&quot;:&quot;Journal of Cancer Metastasis and Treatment is an open access journal, focusing on basic and clinical studies related to cancer cell, cell biology, oncology, radiation therapy and radiology, obstetrics and gynecology, pediatrics, surgery, hematology, neuro-oncology, etc.&quot;,&quot;issued&quot;:{&quot;year&quot;:2019},&quot;volume&quot;:&quot;2019&quot;,&quot;journalAbbreviation&quot;:&quot;J Cancer Metastasis Treat&quot;,&quot;container-title&quot;:&quot;Journal of Cancer Metastasis and Treatment&quot;,&quot;id&quot;:&quot;36cc3f9e-67c7-4950-9d5d-005d11bc3d65&quot;,&quot;container-title-short&quot;:&quot;J Cancer Metastasis Treat&quot;}}]"/>
    <we:property name="679096557" value="[{&quot;id&quot;:&quot;21b7e1f1-04f2-4f0c-9b1b-ea0f0417b60c&quot;,&quot;article&quot;:{&quot;journal_abbrev&quot;:&quot;Oncotargets Ther&quot;,&quot;pagination&quot;:&quot;10559-10568&quot;,&quot;authors&quot;:[&quot;Tatsunori Kiriu&quot;,&quot;Masatsugu Yamamoto&quot;,&quot;Tatsuya Nagano&quot;,&quot;Daisuke Hazama&quot;,&quot;Reina Sekiya&quot;,&quot;Masahiro Katsurada&quot;,&quot;Naoko Katsurada&quot;,&quot;Motoko Tachihara&quot;,&quot;Kazuyuki Kobayashi&quot;,&quot;Yoshihiro Nishimura&quot;],&quot;publisher&quot;:&quot;&quot;,&quot;abstract&quot;:&quot;&quot;,&quot;year&quot;:2019,&quot;chapter&quot;:&quot;&quot;,&quot;journal&quot;:&quot;OncoTargets and Therapy&quot;,&quot;volume&quot;:&quot;12&quot;,&quot;title&quot;:&quot;Pseudo-Progression and the Neutrophil-to-Lymphocyte Ratio in Non-Small Cell Lung Cancer Treated with Immune Checkpoint Inhibitors: A Case–Control Study&quot;,&quot;issue&quot;:&quot;&quot;,&quot;issn&quot;:&quot;1178-6930&quot;,&quot;isbn&quot;:&quot;&quot;,&quot;url&quot;:&quot;https://www.dovepress.com/pseudo-progression-and-the-neutrophil-to-lymphocyte-ratio-in-non-small-peer-reviewed-article-OTT&quot;},&quot;collection_group_id&quot;:&quot;&quot;,&quot;collection_id&quot;:&quot;4e0192db-b678-400e-ba1d-e378d3262964&quot;,&quot;item_type&quot;:&quot;article&quot;,&quot;deleted&quot;:false,&quot;files&quot;:[{&quot;name&quot;:&quot;IO_NLR_in_PSPD_vs_PD.pdf&quot;,&quot;size&quot;:1876915,&quot;type&quot;:&quot;article&quot;,&quot;pages&quot;:10,&quot;sha256&quot;:&quot;12cf3c0bf26b558004e590ba07c1b8e01b86e66fe59ab8aa46a59fc82d7162d0&quot;,&quot;created&quot;:&quot;2020-05-18T20:06:52Z&quot;,&quot;file_type&quot;:&quot;pdf&quot;,&quot;access_method&quot;:&quot;personal_library&quot;,&quot;pdf_text_url&quot;:&quot;https://s3.amazonaws.com/objects.readcube.com/prerendered/12cf3c0bf26b558004e590ba07c1b8e01b86e66fe59ab8aa46a59fc82d7162d0/pdftext.txt?X-Amz-Algorithm=AWS4-HMAC-SHA256&amp;X-Amz-Credential=AKIAJAWZ5L6BMTSOH3EA%2F20200518%2Fus-east-1%2Fs3%2Faws4_request&amp;X-Amz-Date=20200518T200801Z&amp;X-Amz-Expires=86400&amp;X-Amz-SignedHeaders=host&amp;X-Amz-Signature=c31997014a279d0d86fe5107dad31d6c70ed2e5b9e9d5106e816754d8e7d8ce0&quot;}],&quot;ext_ids&quot;:{&quot;pmid&quot;:&quot;31819535&quot;,&quot;doi&quot;:&quot;10.2147/ott.s228138&quot;},&quot;user_data&quot;:{&quot;created&quot;:&quot;2020-05-18T20:06:52Z&quot;,&quot;modified&quot;:&quot;2020-05-18T20:06:52Z&quot;,&quot;createdby&quot;:&quot;webapp 4.3.1&quot;,&quot;modifiedby&quot;:&quot;webapp 4.3.1&quot;,&quot;has_annotations&quot;:false,&quot;unread&quot;:true,&quot;last_read&quot;:null},&quot;checked&quot;:false,&quot;atIndex&quot;:35,&quot;item&quot;:{&quot;type&quot;:&quot;article-journal&quot;,&quot;author&quot;:[{&quot;family&quot;:&quot;Kiriu&quot;,&quot;given&quot;:&quot;Tatsunori&quot;},{&quot;family&quot;:&quot;Yamamoto&quot;,&quot;given&quot;:&quot;Masatsugu&quot;},{&quot;family&quot;:&quot;Nagano&quot;,&quot;given&quot;:&quot;Tatsuya&quot;},{&quot;family&quot;:&quot;Hazama&quot;,&quot;given&quot;:&quot;Daisuke&quot;},{&quot;family&quot;:&quot;Sekiya&quot;,&quot;given&quot;:&quot;Reina&quot;},{&quot;family&quot;:&quot;Katsurada&quot;,&quot;given&quot;:&quot;Masahiro&quot;},{&quot;family&quot;:&quot;Katsurada&quot;,&quot;given&quot;:&quot;Naoko&quot;},{&quot;family&quot;:&quot;Tachihara&quot;,&quot;given&quot;:&quot;Motoko&quot;},{&quot;family&quot;:&quot;Kobayashi&quot;,&quot;given&quot;:&quot;Kazuyuki&quot;},{&quot;family&quot;:&quot;Nishimura&quot;,&quot;given&quot;:&quot;Yoshihiro&quot;}],&quot;title&quot;:&quot;Pseudo-Progression and the Neutrophil-to-Lymphocyte Ratio in Non-Small Cell Lung Cancer Treated with Immune Checkpoint Inhibitors: A Case–Control Study&quot;,&quot;ISSN&quot;:&quot;1178-6930&quot;,&quot;DOI&quot;:&quot;10.2147/ott.s228138&quot;,&quot;PMID&quot;:&quot;31819535&quot;,&quot;issued&quot;:{&quot;year&quot;:2019},&quot;page&quot;:&quot;10559-10568&quot;,&quot;volume&quot;:&quot;12&quot;,&quot;journalAbbreviation&quot;:&quot;Oncotargets Ther&quot;,&quot;container-title&quot;:&quot;OncoTargets and Therapy&quot;,&quot;id&quot;:&quot;21b7e1f1-04f2-4f0c-9b1b-ea0f0417b60c&quot;,&quot;page-first&quot;:&quot;10559&quot;,&quot;container-title-short&quot;:&quot;Oncotargets Ther&quot;}}]"/>
    <we:property name="729267439" value="[{&quot;id&quot;:&quot;1776ab4e-9167-4d24-a331-b472d63b2ebb&quot;,&quot;article&quot;:{&quot;journal_abbrev&quot;:&quot;Thorac Cancer&quot;,&quot;pagination&quot;:&quot;1291-1299&quot;,&quot;authors&quot;:[&quot;Takayuki Takeda&quot;,&quot;Mayumi Takeuchi&quot;,&quot;Masahiko Saitoh&quot;,&quot;Sorou Takeda&quot;],&quot;publisher&quot;:&quot;&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year&quot;:2018,&quot;chapter&quot;:&quot;&quot;,&quot;journal&quot;:&quot;Thoracic Cancer&quot;,&quot;volume&quot;:&quot;9&quot;,&quot;title&quot;:&quot;Neutrophil-to-lymphocyte ratio after four weeks of nivolumab administration as a predictive marker in patients with pretreated non-small-cell lung cancer&quot;,&quot;issue&quot;:&quot;10&quot;,&quot;issn&quot;:&quot;1759-7706&quot;,&quot;isbn&quot;:&quot;&quot;,&quot;url&quot;:&quot;http://doi.wiley.com/10.1111/1759-7714.12838&quot;},&quot;collection_group_id&quot;:&quot;&quot;,&quot;collection_id&quot;:&quot;4e0192db-b678-400e-ba1d-e378d3262964&quot;,&quot;item_type&quot;:&quot;article&quot;,&quot;deleted&quot;:false,&quot;files&quot;:[{&quot;name&quot;:&quot;Neutrophil‐to‐lymphocyte ratio after four weeks of nivolumab administration as a predictive marker in patients with pretreated non‐small‐cell lung cancer.pdf&quot;,&quot;size&quot;:244419,&quot;type&quot;:&quot;article&quot;,&quot;pages&quot;:9,&quot;sha256&quot;:&quot;8e33e0c23535c849e1478a0600bbca7cb4ede9ea97c6d3c444ea1ac26437b9db&quot;,&quot;created&quot;:&quot;2020-05-15T16:21:54Z&quot;,&quot;file_type&quot;:&quot;pdf&quot;,&quot;access_method&quot;:&quot;open_access&quot;,&quot;pdf_text_url&quot;:&quot;https://s3.amazonaws.com/objects.readcube.com/prerendered/8e33e0c23535c849e1478a0600bbca7cb4ede9ea97c6d3c444ea1ac26437b9db/pdftext.txt?X-Amz-Algorithm=AWS4-HMAC-SHA256&amp;X-Amz-Credential=AKIA2A2FUGL6NVUZZOGC%2F20200626%2Fus-east-1%2Fs3%2Faws4_request&amp;X-Amz-Date=20200626T153534Z&amp;X-Amz-Expires=86400&amp;X-Amz-SignedHeaders=host&amp;X-Amz-Signature=c77cd91a141c542edffc1e16ef51d5d49dee85a5ccd2cfff0e31ba1a8f060e2f&quot;}],&quot;ext_ids&quot;:{&quot;pmid&quot;:&quot;30126063&quot;,&quot;doi&quot;:&quot;10.1111/1759-7714.12838&quot;},&quot;user_data&quot;:{&quot;created&quot;:&quot;2020-05-15T14:59:05Z&quot;,&quot;modified&quot;:&quot;2020-05-15T16:21:54Z&quot;,&quot;createdby&quot;:&quot;webapp 4.3.1&quot;,&quot;modifiedby&quot;:&quot;smartcite_word 1.11.0&quot;,&quot;has_annotations&quot;:false,&quot;unread&quot;:true,&quot;last_read&quot;:null},&quot;checked&quot;:false,&quot;atIndex&quot;:69}]"/>
    <we:property name="763268350" value="[{&quot;id&quot;:&quot;9e289965-a50f-4772-ad7a-30de951313ed&quot;,&quot;article&quot;:{&quot;journal_abbrev&quot;:&quot;JAMA Oncol&quot;,&quot;pagination&quot;:&quot;&quot;,&quot;authors&quot;:[&quot;Laura Mezquita&quot;,&quot;Edouard Auclin&quot;,&quot;Roberto Ferrara&quot;,&quot;Melinda Charrier&quot;,&quot;Jordi Remon&quot;,&quot;David Planchard&quot;,&quot;Santiago Ponce&quot;,&quot;Luis Paz Ares&quot;,&quot;Laura Leroy&quot;,&quot;Clarisse Audigier-Valette&quot;,&quot;Enriqueta Felip&quot;,&quot;Jorge Zerón-Medina&quot;,&quot;Pilar Garrido&quot;,&quot;Solenn Brosseau&quot;,&quot;Gérard Zalcman&quot;,&quot;Julien Mazieres&quot;,&quot;Caroline Caramela&quot;,&quot;Jihene Lahmar&quot;,&quot;Julien Adam&quot;,&quot;Nathalie Chaput&quot;,&quot;Jean Charles Soria&quot;,&quot;Benjamin Besse&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name&quot;:&quot;Association of the Lung Immune Prognostic Index With Immune Checkpoint Inhibitor Outcomes in Patients With Advanced Non–Small Cell Lung Cancer.pdf&quot;,&quot;size&quot;:312269,&quot;type&quot;:&quot;article&quot;,&quot;pages&quot;:21,&quot;sha256&quot;:&quot;7be9f86a8729eeb35eebf5491fe55ab28d7f578aeeb2fc660846a4146e78ffe9&quot;,&quot;created&quot;:&quot;2020-05-15T16:49:16Z&quot;,&quot;file_type&quot;:&quot;pdf&quot;,&quot;access_method&quot;:&quot;personal_library&quot;,&quot;pdf_text_url&quot;:&quot;https://s3.amazonaws.com/objects.readcube.com/prerendered/7be9f86a8729eeb35eebf5491fe55ab28d7f578aeeb2fc660846a4146e78ffe9/pdftext.txt?X-Amz-Algorithm=AWS4-HMAC-SHA256&amp;X-Amz-Credential=AKIAJAWZ5L6BMTSOH3EA%2F20200518%2Fus-east-1%2Fs3%2Faws4_request&amp;X-Amz-Date=20200518T213036Z&amp;X-Amz-Expires=86400&amp;X-Amz-SignedHeaders=host&amp;X-Amz-Signature=990eb945f141e37f1bbf4a1bffd92f5df6dabd13c9b4e60b4c0b6c6799982f08&quot;}],&quot;ext_ids&quot;:{&quot;pmid&quot;:&quot;29327044&quot;,&quot;doi&quot;:&quot;10.1001/jamaoncol.2017.4771&quot;},&quot;user_data&quot;:{&quot;created&quot;:&quot;2020-05-15T16:42:17Z&quot;,&quot;modified&quot;:&quot;2020-05-15T17:01:40Z&quot;,&quot;createdby&quot;:&quot;webapp 4.3.1&quot;,&quot;last_read&quot;:&quot;2020-05-15T16:52:09Z&quot;,&quot;modifiedby&quot;:&quot;webapp 4.3.1&quot;,&quot;view_count&quot;:3,&quot;has_annotations&quot;:false,&quot;unread&quot;:false},&quot;checked&quot;:false,&quot;atIndex&quot;:45,&quot;item&quot;:{&quot;type&quot;:&quot;article-journal&quot;,&quot;author&quot;:[{&quot;family&quot;:&quot;Mezquita&quot;,&quot;given&quot;:&quot;Laura&quot;},{&quot;family&quot;:&quot;Auclin&quot;,&quot;given&quot;:&quot;Edouard&quot;},{&quot;family&quot;:&quot;Ferrara&quot;,&quot;given&quot;:&quot;Roberto&quot;},{&quot;family&quot;:&quot;Charrier&quot;,&quot;given&quot;:&quot;Melinda&quot;},{&quot;family&quot;:&quot;Remon&quot;,&quot;given&quot;:&quot;Jordi&quot;},{&quot;family&quot;:&quot;Planchard&quot;,&quot;given&quot;:&quot;David&quot;},{&quot;family&quot;:&quot;Ponce&quot;,&quot;given&quot;:&quot;Santiago&quot;},{&quot;family&quot;:&quot;Ares&quot;,&quot;given&quot;:&quot;Luis Paz&quot;},{&quot;family&quot;:&quot;Leroy&quot;,&quot;given&quot;:&quot;Laura&quot;},{&quot;family&quot;:&quot;Audigier-Valette&quot;,&quot;given&quot;:&quot;Clarisse&quot;},{&quot;family&quot;:&quot;Felip&quot;,&quot;given&quot;:&quot;Enriqueta&quot;},{&quot;family&quot;:&quot;Zerón-Medina&quot;,&quot;given&quot;:&quot;Jorge&quot;},{&quot;family&quot;:&quot;Garrido&quot;,&quot;given&quot;:&quot;Pilar&quot;},{&quot;family&quot;:&quot;Brosseau&quot;,&quot;given&quot;:&quot;Solenn&quot;},{&quot;family&quot;:&quot;Zalcman&quot;,&quot;given&quot;:&quot;Gérard&quot;},{&quot;family&quot;:&quot;Mazieres&quot;,&quot;given&quot;:&quot;Julien&quot;},{&quot;family&quot;:&quot;Caramela&quot;,&quot;given&quot;:&quot;Caroline&quot;},{&quot;family&quot;:&quot;Lahmar&quot;,&quot;given&quot;:&quot;Jihene&quot;},{&quot;family&quot;:&quot;Adam&quot;,&quot;given&quot;:&quot;Julien&quot;},{&quot;family&quot;:&quot;Chaput&quot;,&quot;given&quot;:&quot;Nathalie&quot;},{&quot;family&quot;:&quot;Soria&quot;,&quot;given&quot;:&quot;Jean Charles&quot;},{&quot;family&quot;:&quot;Besse&quot;,&quot;given&quot;:&quot;Benjamin&quot;}],&quot;title&quot;:&quot;Association of the Lung Immune Prognostic Index With Immune Checkpoint Inhibitor Outcomes in Patients With Advanced Non-Small Cell Lung Cancer&quot;,&quot;DOI&quot;:&quot;10.1001/jamaoncol.2017.4771&quot;,&quot;PMID&quot;:&quot;29327044&quot;,&quot;journalAbbreviation&quot;:&quot;JAMA Oncol&quot;,&quot;id&quot;:&quot;9e289965-a50f-4772-ad7a-30de951313ed&quot;,&quot;issued&quot;:{&quot;literal&quot;:&quot;n.d.&quot;},&quot;container-title-short&quot;:&quot;JAMA Oncol&quot;}}]"/>
    <we:property name="962917514" value="[{&quot;id&quot;:&quot;05ed7889-78f6-4d59-9208-1674e09562ee&quot;,&quot;article&quot;:{&quot;journal_abbrev&quot;:&quot;Transl Lung Cancer Res&quot;,&quot;pagination&quot;:&quot;1078-1085&quot;,&quot;authors&quot;:[&quot;Juan Ruiz-Bañobre&quot;,&quot;María C Areses-Manrique&quot;,&quot;Joaquín Mosquera-Martínez&quot;,&quot;Alexandra Cortegoso&quot;,&quot;Francisco J Afonso-Afonso&quot;,&quot;Noemí de Dios-Álvarez&quot;,&quot;Natalia Fernández-Núñez&quot;,&quot;Cristina Azpitarte-Raposeiras&quot;,&quot;Margarita Amenedo&quot;,&quot;Lucía Santomé&quot;,&quot;José Luis Fírvida-Pérez&quot;,&quot;Rosario García-Campelo&quot;,&quot;Jorge García-González&quot;,&quot;Joaquín Casal-Rubio&quot;,&quot;Sergio Vázquez&quot;],&quot;publisher&quot;:&quot;&quot;,&quot;abstract&quot;:&quot;The lung immune prognostic index (LIPI) has been proposed as a new categorical blood-based biomarker to select advanced non-small cell lung cancer (NSCLC) patients for anti-programmed cell death-1 (PD-1) or programmed death ligand 1 (PD-L1) therapy. In this study, we investigate for the first time to the best of our knowledge the prognostic and predictive utility of the LIPI in a multicenter nivolumab monotherapy-based cohort. We retrospectively analyzed the influence of the baseline LIPI on overall survival (OS), progression-free survival (PFS), disease control rate (DCR), and overall response rate (ORR) among 153 patients of a cohort of 188 advanced NSCLC patients treated with nivolumab in the second line of therapy or beyond. Worse LIPI was significantly associated with shorter OS in univariate [hazard ratio (HR) =3.12, 95% confidence interval (CI), 2.12–4.60; P&lt;0.0001] and multivariate (HR =3.67, 95% CI, 1.96–6.86; P&lt;0.0001) analyses. Worse LIPI was associated with shorter PFS (HR =1.45, 95% CI, 1.05–2.03; P=0.03), but this correlation did not reach statistical significance in multivariate analysis (HR =1.49, 95% CI, 0.94– 2.38; P=0.09). Worse LIPI was associated with lower DCR in univariate [odds ratio (OR) =0.41, 95% CI, 0.24–0.70; P=0.001] and multivariate (OR =0.44, 95% CI, 0.25–0.78; P=0.005) analyses. This study confirms the utility of the LIPI in prognostication and disease control prediction in advanced NSCLC patients treated with nivolumab in the second line of therapy or beyond.&quot;,&quot;year&quot;:2019,&quot;chapter&quot;:&quot;&quot;,&quot;journal&quot;:&quot;Translational Lung Cancer Research&quot;,&quot;volume&quot;:&quot;8&quot;,&quot;title&quot;:&quot;Evaluation of the lung immune prognostic index in advanced non-small cell lung cancer patients under nivolumab monotherapy&quot;,&quot;issue&quot;:&quot;6&quot;,&quot;issn&quot;:&quot;2226-4477&quot;,&quot;isbn&quot;:&quot;&quot;,&quot;url&quot;:&quot;http://tlcr.amegroups.com/article/view/34128&quot;},&quot;collection_group_id&quot;:&quot;&quot;,&quot;collection_id&quot;:&quot;4e0192db-b678-400e-ba1d-e378d3262964&quot;,&quot;item_type&quot;:&quot;article&quot;,&quot;deleted&quot;:false,&quot;files&quot;:[{&quot;name&quot;:&quot;IO_LIPI_Score_NSCLC.pdf&quot;,&quot;size&quot;:472761,&quot;type&quot;:&quot;article&quot;,&quot;pages&quot;:9,&quot;sha256&quot;:&quot;008de14df1ddd71430ab81bd29ccc9d511c0e691625982f074498ec585487e1e&quot;,&quot;created&quot;:&quot;2020-05-18T15:45:32Z&quot;,&quot;file_type&quot;:&quot;pdf&quot;,&quot;access_method&quot;:&quot;personal_library&quot;,&quot;pdf_text_url&quot;:&quot;https://s3.amazonaws.com/objects.readcube.com/prerendered/008de14df1ddd71430ab81bd29ccc9d511c0e691625982f074498ec585487e1e/pdftext.txt?X-Amz-Algorithm=AWS4-HMAC-SHA256&amp;X-Amz-Credential=AKIAJAWZ5L6BMTSOH3EA%2F20200519%2Fus-east-1%2Fs3%2Faws4_request&amp;X-Amz-Date=20200519T173720Z&amp;X-Amz-Expires=86400&amp;X-Amz-SignedHeaders=host&amp;X-Amz-Signature=3b0918a5050425b85e50df9aace45e074ed0b22cf020a8235d3b8a0f40a0254e&quot;}],&quot;ext_ids&quot;:{&quot;pmid&quot;:&quot;32010585&quot;,&quot;doi&quot;:&quot;10.21037/tlcr.2019.11.07&quot;},&quot;user_data&quot;:{&quot;created&quot;:&quot;2020-05-18T15:45:32Z&quot;,&quot;modified&quot;:&quot;2020-05-18T15:45:32Z&quot;,&quot;createdby&quot;:&quot;webapp 4.3.1&quot;,&quot;modifiedby&quot;:&quot;webapp 4.3.1&quot;,&quot;has_annotations&quot;:false,&quot;unread&quot;:true,&quot;last_read&quot;:null},&quot;checked&quot;:false,&quot;item&quot;:{&quot;type&quot;:&quot;article-journal&quot;,&quot;author&quot;:[{&quot;family&quot;:&quot;Ruiz-Bañobre&quot;,&quot;given&quot;:&quot;Juan&quot;},{&quot;family&quot;:&quot;Areses-Manrique&quot;,&quot;given&quot;:&quot;María C&quot;},{&quot;family&quot;:&quot;Mosquera-Martínez&quot;,&quot;given&quot;:&quot;Joaquín&quot;},{&quot;family&quot;:&quot;Cortegoso&quot;,&quot;given&quot;:&quot;Alexandra&quot;},{&quot;family&quot;:&quot;Afonso-Afonso&quot;,&quot;given&quot;:&quot;Francisco J&quot;},{&quot;family&quot;:&quot;Dios-Álvarez&quot;,&quot;given&quot;:&quot;Noemí de&quot;},{&quot;family&quot;:&quot;Fernández-Núñez&quot;,&quot;given&quot;:&quot;Natalia&quot;},{&quot;family&quot;:&quot;Azpitarte-Raposeiras&quot;,&quot;given&quot;:&quot;Cristina&quot;},{&quot;family&quot;:&quot;Amenedo&quot;,&quot;given&quot;:&quot;Margarita&quot;},{&quot;family&quot;:&quot;Santomé&quot;,&quot;given&quot;:&quot;Lucía&quot;},{&quot;family&quot;:&quot;Fírvida-Pérez&quot;,&quot;given&quot;:&quot;José Luis&quot;},{&quot;family&quot;:&quot;García-Campelo&quot;,&quot;given&quot;:&quot;Rosario&quot;},{&quot;family&quot;:&quot;García-González&quot;,&quot;given&quot;:&quot;Jorge&quot;},{&quot;family&quot;:&quot;Casal-Rubio&quot;,&quot;given&quot;:&quot;Joaquín&quot;},{&quot;family&quot;:&quot;Vázquez&quot;,&quot;given&quot;:&quot;Sergio&quot;}],&quot;title&quot;:&quot;Evaluation of the lung immune prognostic index in advanced non-small cell lung cancer patients under nivolumab monotherapy&quot;,&quot;ISSN&quot;:&quot;2226-4477&quot;,&quot;DOI&quot;:&quot;10.21037/tlcr.2019.11.07&quot;,&quot;PMID&quot;:&quot;32010585&quot;,&quot;abstract&quot;:&quot;The lung immune prognostic index (LIPI) has been proposed as a new categorical blood-based biomarker to select advanced non-small cell lung cancer (NSCLC) patients for anti-programmed cell death-1 (PD-1) or programmed death ligand 1 (PD-L1) therapy. In this study, we investigate for the first time to the best of our knowledge the prognostic and predictive utility of the LIPI in a multicenter nivolumab monotherapy-based cohort. We retrospectively analyzed the influence of the baseline LIPI on overall survival (OS), progression-free survival (PFS), disease control rate (DCR), and overall response rate (ORR) among 153 patients of a cohort of 188 advanced NSCLC patients treated with nivolumab in the second line of therapy or beyond. Worse LIPI was significantly associated with shorter OS in univariate [hazard ratio (HR) =3.12, 95% confidence interval (CI), 2.12–4.60; P&lt;0.0001] and multivariate (HR =3.67, 95% CI, 1.96–6.86; P&lt;0.0001) analyses. Worse LIPI was associated with shorter PFS (HR =1.45, 95% CI, 1.05–2.03; P=0.03), but this correlation did not reach statistical significance in multivariate analysis (HR =1.49, 95% CI, 0.94– 2.38; P=0.09). Worse LIPI was associated with lower DCR in univariate [odds ratio (OR) =0.41, 95% CI, 0.24–0.70; P=0.001] and multivariate (OR =0.44, 95% CI, 0.25–0.78; P=0.005) analyses. This study confirms the utility of the LIPI in prognostication and disease control prediction in advanced NSCLC patients treated with nivolumab in the second line of therapy or beyond.&quot;,&quot;issued&quot;:{&quot;year&quot;:2019},&quot;page&quot;:&quot;1078-1085&quot;,&quot;issue&quot;:&quot;6&quot;,&quot;volume&quot;:&quot;8&quot;,&quot;journalAbbreviation&quot;:&quot;Transl Lung Cancer Res&quot;,&quot;container-title&quot;:&quot;Translational Lung Cancer Research&quot;,&quot;id&quot;:&quot;05ed7889-78f6-4d59-9208-1674e09562ee&quot;,&quot;page-first&quot;:&quot;1078&quot;,&quot;container-title-short&quot;:&quot;Transl Lung Cancer Res&quot;}}]"/>
    <we:property name="1005560614" value="[{&quot;id&quot;:&quot;9d8fab2e-1689-4fb0-bf56-20807cf4d291&quot;,&quot;article&quot;:{&quot;journal_abbrev&quot;:&quot;Clin Lung Cancer&quot;,&quot;pagination&quot;:&quot;280-288.e4&quot;,&quot;authors&quot;:[&quot;Wungki Park&quot;,&quot;Deukwoo Kwon&quot;,&quot;Diana Saravia&quot;,&quot;Amrita Desai&quot;,&quot;Fernando Vargas&quot;,&quot;Mohamed El Dinali&quot;,&quot;Jessica Warsch&quot;,&quot;Roy Elias&quot;,&quot;Young Kwang Chae&quot;,&quot;Dae Won Kim&quot;,&quot;Sean Warsch&quot;,&quot;Adrian Ishkanian&quot;,&quot;Chukwuemeka Ikpeazu&quot;,&quot;Raja Mudad&quot;,&quot;Gilberto Lopes&quot;,&quot;Mohammad Jahanzeb&quot;],&quot;publisher&quot;:&quot;&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year&quot;:2017,&quot;chapter&quot;:&quot;&quot;,&quot;journal&quot;:&quot;Clinical Lung Cancer&quot;,&quot;volume&quot;:&quot;19&quot;,&quot;title&quot;:&quot;Developing a Predictive Model for Clinical Outcomes of Advanced Non-Small Cell Lung Cancer Patients Treated With Nivolumab&quot;,&quot;issue&quot;:&quot;3&quot;,&quot;issn&quot;:&quot;1525-7304&quot;,&quot;isbn&quot;:&quot;&quot;,&quot;url&quot;:&quot;https://www.sciencedirect.com/science/article/pii/S1525730417303467&quot;},&quot;collection_group_id&quot;:&quot;&quot;,&quot;collection_id&quot;:&quot;4e0192db-b678-400e-ba1d-e378d3262964&quot;,&quot;item_type&quot;:&quot;article&quot;,&quot;deleted&quot;:false,&quot;files&quot;:[{&quot;name&quot;:&quot;NLR iSEND CLC 2018.pdf&quot;,&quot;size&quot;:1166377,&quot;type&quot;:&quot;article&quot;,&quot;pages&quot;:13,&quot;sha256&quot;:&quot;60b81c05aa2da3999523667e48c4e780a2f1431444f3be13260d91820be9077c&quot;,&quot;created&quot;:&quot;2020-05-15T14:32:23Z&quot;,&quot;file_type&quot;:&quot;pdf&quot;,&quot;access_method&quot;:&quot;personal_library&quot;,&quot;pdf_text_url&quot;:&quot;https://s3.amazonaws.com/objects.readcube.com/prerendered/60b81c05aa2da3999523667e48c4e780a2f1431444f3be13260d91820be9077c/pdftext.txt?X-Amz-Algorithm=AWS4-HMAC-SHA256&amp;X-Amz-Credential=AKIA2A2FUGL6NVUZZOGC%2F20200626%2Fus-east-1%2Fs3%2Faws4_request&amp;X-Amz-Date=20200626T154224Z&amp;X-Amz-Expires=86400&amp;X-Amz-SignedHeaders=host&amp;X-Amz-Signature=4da525ea78401eb38bd797228090a3f4003bd9e15a1fff22b4dc5b0b76d83850&quot;}],&quot;ext_ids&quot;:{&quot;pmid&quot;:&quot;29336998&quot;,&quot;doi&quot;:&quot;10.1016/j.cllc.2017.12.007&quot;},&quot;user_data&quot;:{&quot;created&quot;:&quot;2020-05-15T14:32:23Z&quot;,&quot;modified&quot;:&quot;2020-05-18T18:34:11Z&quot;,&quot;createdby&quot;:&quot;webapp 4.3.1&quot;,&quot;last_read&quot;:&quot;2020-05-18T18:34:11Z&quot;,&quot;modifiedby&quot;:&quot;web_reader 13.0.4&quot;,&quot;view_count&quot;:2,&quot;has_annotations&quot;:false,&quot;unread&quot;:false},&quot;checked&quot;:false,&quot;atIndex&quot;:77}]"/>
    <we:property name="1044723411" value="[{&quot;id&quot;:&quot;9e289965-a50f-4772-ad7a-30de951313ed&quot;,&quot;article&quot;:{&quot;journal_abbrev&quot;:&quot;JAMA Oncol&quot;,&quot;pagination&quot;:&quot;&quot;,&quot;authors&quot;:[&quot;Laura Mezquita&quot;,&quot;Edouard Auclin&quot;,&quot;Roberto Ferrara&quot;,&quot;Melinda Charrier&quot;,&quot;Jordi Remon&quot;,&quot;David Planchard&quot;,&quot;Santiago Ponce&quot;,&quot;Luis Paz Ares&quot;,&quot;Laura Leroy&quot;,&quot;Clarisse Audigier-Valette&quot;,&quot;Enriqueta Felip&quot;,&quot;Jorge Zerón-Medina&quot;,&quot;Pilar Garrido&quot;,&quot;Solenn Brosseau&quot;,&quot;Gérard Zalcman&quot;,&quot;Julien Mazieres&quot;,&quot;Caroline Caramela&quot;,&quot;Jihene Lahmar&quot;,&quot;Julien Adam&quot;,&quot;Nathalie Chaput&quot;,&quot;Jean Charles Soria&quot;,&quot;Benjamin Besse&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name&quot;:&quot;Association of the Lung Immune Prognostic Index With Immune Checkpoint Inhibitor Outcomes in Patients With Advanced Non–Small Cell Lung Cancer.pdf&quot;,&quot;size&quot;:312269,&quot;type&quot;:&quot;article&quot;,&quot;pages&quot;:21,&quot;sha256&quot;:&quot;7be9f86a8729eeb35eebf5491fe55ab28d7f578aeeb2fc660846a4146e78ffe9&quot;,&quot;created&quot;:&quot;2020-05-15T16:49:16Z&quot;,&quot;file_type&quot;:&quot;pdf&quot;,&quot;access_method&quot;:&quot;personal_library&quot;,&quot;pdf_text_url&quot;:&quot;https://s3.amazonaws.com/objects.readcube.com/prerendered/7be9f86a8729eeb35eebf5491fe55ab28d7f578aeeb2fc660846a4146e78ffe9/pdftext.txt?X-Amz-Algorithm=AWS4-HMAC-SHA256&amp;X-Amz-Credential=AKIAJAWZ5L6BMTSOH3EA%2F20200518%2Fus-east-1%2Fs3%2Faws4_request&amp;X-Amz-Date=20200518T213036Z&amp;X-Amz-Expires=86400&amp;X-Amz-SignedHeaders=host&amp;X-Amz-Signature=990eb945f141e37f1bbf4a1bffd92f5df6dabd13c9b4e60b4c0b6c6799982f08&quot;}],&quot;ext_ids&quot;:{&quot;pmid&quot;:&quot;29327044&quot;,&quot;doi&quot;:&quot;10.1001/jamaoncol.2017.4771&quot;},&quot;user_data&quot;:{&quot;created&quot;:&quot;2020-05-15T16:42:17Z&quot;,&quot;modified&quot;:&quot;2020-05-15T17:01:40Z&quot;,&quot;createdby&quot;:&quot;webapp 4.3.1&quot;,&quot;last_read&quot;:&quot;2020-05-15T16:52:09Z&quot;,&quot;modifiedby&quot;:&quot;webapp 4.3.1&quot;,&quot;view_count&quot;:3,&quot;has_annotations&quot;:false,&quot;unread&quot;:false},&quot;checked&quot;:false,&quot;atIndex&quot;:45,&quot;item&quot;:{&quot;type&quot;:&quot;article-journal&quot;,&quot;author&quot;:[{&quot;family&quot;:&quot;Mezquita&quot;,&quot;given&quot;:&quot;Laura&quot;},{&quot;family&quot;:&quot;Auclin&quot;,&quot;given&quot;:&quot;Edouard&quot;},{&quot;family&quot;:&quot;Ferrara&quot;,&quot;given&quot;:&quot;Roberto&quot;},{&quot;family&quot;:&quot;Charrier&quot;,&quot;given&quot;:&quot;Melinda&quot;},{&quot;family&quot;:&quot;Remon&quot;,&quot;given&quot;:&quot;Jordi&quot;},{&quot;family&quot;:&quot;Planchard&quot;,&quot;given&quot;:&quot;David&quot;},{&quot;family&quot;:&quot;Ponce&quot;,&quot;given&quot;:&quot;Santiago&quot;},{&quot;family&quot;:&quot;Ares&quot;,&quot;given&quot;:&quot;Luis Paz&quot;},{&quot;family&quot;:&quot;Leroy&quot;,&quot;given&quot;:&quot;Laura&quot;},{&quot;family&quot;:&quot;Audigier-Valette&quot;,&quot;given&quot;:&quot;Clarisse&quot;},{&quot;family&quot;:&quot;Felip&quot;,&quot;given&quot;:&quot;Enriqueta&quot;},{&quot;family&quot;:&quot;Zerón-Medina&quot;,&quot;given&quot;:&quot;Jorge&quot;},{&quot;family&quot;:&quot;Garrido&quot;,&quot;given&quot;:&quot;Pilar&quot;},{&quot;family&quot;:&quot;Brosseau&quot;,&quot;given&quot;:&quot;Solenn&quot;},{&quot;family&quot;:&quot;Zalcman&quot;,&quot;given&quot;:&quot;Gérard&quot;},{&quot;family&quot;:&quot;Mazieres&quot;,&quot;given&quot;:&quot;Julien&quot;},{&quot;family&quot;:&quot;Caramela&quot;,&quot;given&quot;:&quot;Caroline&quot;},{&quot;family&quot;:&quot;Lahmar&quot;,&quot;given&quot;:&quot;Jihene&quot;},{&quot;family&quot;:&quot;Adam&quot;,&quot;given&quot;:&quot;Julien&quot;},{&quot;family&quot;:&quot;Chaput&quot;,&quot;given&quot;:&quot;Nathalie&quot;},{&quot;family&quot;:&quot;Soria&quot;,&quot;given&quot;:&quot;Jean Charles&quot;},{&quot;family&quot;:&quot;Besse&quot;,&quot;given&quot;:&quot;Benjamin&quot;}],&quot;title&quot;:&quot;Association of the Lung Immune Prognostic Index With Immune Checkpoint Inhibitor Outcomes in Patients With Advanced Non-Small Cell Lung Cancer&quot;,&quot;DOI&quot;:&quot;10.1001/jamaoncol.2017.4771&quot;,&quot;PMID&quot;:&quot;29327044&quot;,&quot;journalAbbreviation&quot;:&quot;JAMA Oncol&quot;,&quot;id&quot;:&quot;9e289965-a50f-4772-ad7a-30de951313ed&quot;,&quot;issued&quot;:{&quot;literal&quot;:&quot;n.d.&quot;},&quot;container-title-short&quot;:&quot;JAMA Oncol&quot;}}]"/>
    <we:property name="1088419991" value="[{&quot;id&quot;:&quot;d8dff32e-c50e-40a5-8d2a-bcdec97af5df&quot;,&quot;article&quot;:{&quot;journal_abbrev&quot;:&quot;Target Oncol&quot;,&quot;pagination&quot;:&quot;795-800&quot;,&quot;authors&quot;:[&quot;Giovanni Fucà&quot;,&quot;Giulia Galli&quot;,&quot;Marta Poggi&quot;,&quot;Giuseppe Lo Russo&quot;,&quot;Claudia Proto&quot;,&quot;Martina Imbimbo&quot;,&quot;Milena Vitali&quot;,&quot;Monica Ganzinelli&quot;,&quot;Claudia Lanti&quot;,&quot;Giuliano Molino&quot;,&quot;Fabiano Stangoni&quot;,&quot;Nicoletta Zilembo&quot;,&quot;Filippo de Braud&quot;,&quot;Marina Chiara Garassino&quot;,&quot;Diego Signorelli&quot;],&quot;publisher&quot;:&quot;&quot;,&quot;abstract&quot;:&quot;BACKGROUND:\nA consistent percentage of patients with metastatic non-small cell lung cancer (NSCLC) derives no or only marginal benefit from immunotherapy (IO).\n\nOBJECTIVE:\nSince serum sodium has been linked to both prognosis in NSCLC and modulation of immune cells activity, we aimed to assess the association between low baseline serum sodium concentration (≤ 135 mEq/L) and clinical outcomes of patients with metastatic NSCLC treated with IO.\n\nPATIENTS AND METHODS:\nWe included metastatic NSCLC patients treated with checkpoint inhibitors in our department from April 2013 to April 2018 with available baseline serum sodium concentration. Demographics, clinical and pathological characteristics were collected. Survival analyses were performed using the Kaplan-Meier method and the Cox proportional-hazards model.\n\nRESULTS:\nOf 197 patients included, 26 (13%) presented low baseline serum sodium concentration. Patients in the low sodium cohort experienced a poorer disease control rate (OR 0.36; 95% CI, 0.15-0.86; Wald test P = .02), median overall survival (OS) (2.8 vs. 11.6 months; HR 3.00; 95% CI, 1.80-4.80; P &lt; .001) and progression-free survival (PFS) (1.8 vs. 3.3 months; HR 2.60; 95% CI, 1.70-3.90; P &lt; .001) compared to patients in the control cohort. At multivariate analyses, low baseline serum sodium concentration was independently associated with disease control and OS, but not with PFS.\n\nCONCLUSIONS:\nOur study showed for the first time that low baseline serum sodium concentration is associated with impaired clinical outcomes in patients with metastatic NSCLC treated with IO. The role of serum sodium concentration in this setting warrants further pre-clinical and clinical investigation.&quot;,&quot;year&quot;:2018,&quot;chapter&quot;:&quot;&quot;,&quot;journal&quot;:&quot;&quot;,&quot;volume&quot;:&quot;&quot;,&quot;title&quot;:&quot;Low Baseline Serum Sodium Concentration Is Associated with Poor Clinical Outcomes in Metastatic Non-Small Cell Lung Cancer Patients Treated with Immunotherapy&quot;,&quot;issue&quot;:&quot;&quot;,&quot;issn&quot;:&quot;&quot;,&quot;isbn&quot;:&quot;&quot;,&quot;url&quot;:&quot;&quot;},&quot;collection_group_id&quot;:&quot;&quot;,&quot;collection_id&quot;:&quot;4e0192db-b678-400e-ba1d-e378d3262964&quot;,&quot;item_type&quot;:&quot;article&quot;,&quot;deleted&quot;:false,&quot;files&quot;:[],&quot;ext_ids&quot;:{&quot;pmid&quot;:&quot;30306460&quot;,&quot;doi&quot;:&quot;10.1007/s11523-018-0599-5&quot;},&quot;user_data&quot;:{&quot;created&quot;:&quot;2020-05-18T21:09:55Z&quot;,&quot;modified&quot;:&quot;2020-05-18T21:16:59Z&quot;,&quot;createdby&quot;:&quot;webapp 4.3.1&quot;,&quot;modifiedby&quot;:&quot;webapp 4.3.1&quot;,&quot;has_annotations&quot;:false,&quot;unread&quot;:true,&quot;last_read&quot;:null},&quot;checked&quot;:false,&quot;atIndex&quot;:75,&quot;item&quot;:{&quot;type&quot;:&quot;article-journal&quot;,&quot;author&quot;:[{&quot;family&quot;:&quot;Fucà&quot;,&quot;given&quot;:&quot;Giovanni&quot;},{&quot;family&quot;:&quot;Galli&quot;,&quot;given&quot;:&quot;Giulia&quot;},{&quot;family&quot;:&quot;Poggi&quot;,&quot;given&quot;:&quot;Marta&quot;},{&quot;family&quot;:&quot;Russo&quot;,&quot;given&quot;:&quot;Giuseppe Lo&quot;},{&quot;family&quot;:&quot;Proto&quot;,&quot;given&quot;:&quot;Claudia&quot;},{&quot;family&quot;:&quot;Imbimbo&quot;,&quot;given&quot;:&quot;Martina&quot;},{&quot;family&quot;:&quot;Vitali&quot;,&quot;given&quot;:&quot;Milena&quot;},{&quot;family&quot;:&quot;Ganzinelli&quot;,&quot;given&quot;:&quot;Monica&quot;},{&quot;family&quot;:&quot;Lanti&quot;,&quot;given&quot;:&quot;Claudia&quot;},{&quot;family&quot;:&quot;Molino&quot;,&quot;given&quot;:&quot;Giuliano&quot;},{&quot;family&quot;:&quot;Stangoni&quot;,&quot;given&quot;:&quot;Fabiano&quot;},{&quot;family&quot;:&quot;Zilembo&quot;,&quot;given&quot;:&quot;Nicoletta&quot;},{&quot;family&quot;:&quot;Braud&quot;,&quot;given&quot;:&quot;Filippo de&quot;},{&quot;family&quot;:&quot;Garassino&quot;,&quot;given&quot;:&quot;Marina Chiara&quot;},{&quot;family&quot;:&quot;Signorelli&quot;,&quot;given&quot;:&quot;Diego&quot;}],&quot;title&quot;:&quot;Low Baseline Serum Sodium Concentration Is Associated with Poor Clinical Outcomes in Metastatic Non-Small Cell Lung Cancer Patients Treated with Immunotherapy&quot;,&quot;DOI&quot;:&quot;10.1007/s11523-018-0599-5&quot;,&quot;PMID&quot;:&quot;30306460&quot;,&quot;abstract&quot;:&quot;BACKGROUND:\nA consistent percentage of patients with metastatic non-small cell lung cancer (NSCLC) derives no or only marginal benefit from immunotherapy (IO).\n\nOBJECTIVE:\nSince serum sodium has been linked to both prognosis in NSCLC and modulation of immune cells activity, we aimed to assess the association between low baseline serum sodium concentration (≤ 135 mEq/L) and clinical outcomes of patients with metastatic NSCLC treated with IO.\n\nPATIENTS AND METHODS:\nWe included metastatic NSCLC patients treated with checkpoint inhibitors in our department from April 2013 to April 2018 with available baseline serum sodium concentration. Demographics, clinical and pathological characteristics were collected. Survival analyses were performed using the Kaplan-Meier method and the Cox proportional-hazards model.\n\nRESULTS:\nOf 197 patients included, 26 (13%) presented low baseline serum sodium concentration. Patients in the low sodium cohort experienced a poorer disease control rate (OR 0.36; 95% CI, 0.15-0.86; Wald test P = .02), median overall survival (OS) (2.8 vs. 11.6 months; HR 3.00; 95% CI, 1.80-4.80; P &lt; .001) and progression-free survival (PFS) (1.8 vs. 3.3 months; HR 2.60; 95% CI, 1.70-3.90; P &lt; .001) compared to patients in the control cohort. At multivariate analyses, low baseline serum sodium concentration was independently associated with disease control and OS, but not with PFS.\n\nCONCLUSIONS:\nOur study showed for the first time that low baseline serum sodium concentration is associated with impaired clinical outcomes in patients with metastatic NSCLC treated with IO. The role of serum sodium concentration in this setting warrants further pre-clinical and clinical investigation.&quot;,&quot;issued&quot;:{&quot;year&quot;:2018},&quot;page&quot;:&quot;795-800&quot;,&quot;journalAbbreviation&quot;:&quot;Target Oncol&quot;,&quot;id&quot;:&quot;d8dff32e-c50e-40a5-8d2a-bcdec97af5df&quot;,&quot;page-first&quot;:&quot;795&quot;,&quot;container-title-short&quot;:&quot;Target Oncol&quot;}}]"/>
    <we:property name="1132529631" value="[{&quot;id&quot;:&quot;1ad1efbe-0791-4c3e-a712-5cc7503db85c&quot;,&quot;article&quot;:{&quot;journal_abbrev&quot;:&quot;Cancer Med-us&quot;,&quot;pagination&quot;:&quot;13-20&quot;,&quot;authors&quot;:[&quot;Takayuki Shiroyama&quot;,&quot;Hidekazu Suzuki&quot;,&quot;Motohiro Tamiya&quot;,&quot;Akihiro Tamiya&quot;,&quot;Ayako Tanaka&quot;,&quot;Norio Okamoto&quot;,&quot;Kenji Nakahama&quot;,&quot;Yoshihiko Taniguchi&quot;,&quot;Shun‐ichi Isa&quot;,&quot;Takako Inoue&quot;,&quot;Fumio Imamura&quot;,&quot;Shinji Atagi&quot;,&quot;Tomonori Hirashima&quot;],&quot;publisher&quot;:&quot;&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year&quot;:2018,&quot;chapter&quot;:&quot;&quot;,&quot;journal&quot;:&quot;Cancer Medicine&quot;,&quot;volume&quot;:&quot;7&quot;,&quot;title&quot;:&quot;Pretreatment advanced lung cancer inflammation index (ALI) for predicting early progression in nivolumab‐treated patients with advanced non–small cell lung cancer&quot;,&quot;issue&quot;:&quot;1&quot;,&quot;issn&quot;:&quot;2045-7634&quot;,&quot;isbn&quot;:&quot;&quot;,&quot;url&quot;:&quot;http://onlinelibrary.wiley.com/doi/10.1002/cam4.1234/abstract&quot;},&quot;collection_group_id&quot;:&quot;&quot;,&quot;collection_id&quot;:&quot;4e0192db-b678-400e-ba1d-e378d3262964&quot;,&quot;item_type&quot;:&quot;article&quot;,&quot;deleted&quot;:false,&quot;files&quot;:[{&quot;name&quot;:&quot;IO_NLR_Baseline_Albumin_ALIndex.pdf&quot;,&quot;size&quot;:193543,&quot;type&quot;:&quot;article&quot;,&quot;pages&quot;:8,&quot;sha256&quot;:&quot;4d5b2a9091e803d49dae88cac4069e9fad07348416586f7c95496c6c49dccc76&quot;,&quot;created&quot;:&quot;2020-05-18T20:10:18Z&quot;,&quot;file_type&quot;:&quot;pdf&quot;,&quot;access_method&quot;:&quot;personal_library&quot;,&quot;pdf_text_url&quot;:&quot;https://s3.amazonaws.com/objects.readcube.com/prerendered/4d5b2a9091e803d49dae88cac4069e9fad07348416586f7c95496c6c49dccc76/pdftext.txt?X-Amz-Algorithm=AWS4-HMAC-SHA256&amp;X-Amz-Credential=AKIAJAWZ5L6BMTSOH3EA%2F20200518%2Fus-east-1%2Fs3%2Faws4_request&amp;X-Amz-Date=20200518T212212Z&amp;X-Amz-Expires=86400&amp;X-Amz-SignedHeaders=host&amp;X-Amz-Signature=0c4090ef1dfd5aee25a2793b13a403d9de02c8a8e675de0f3f247aa6dd75c00f&quot;}],&quot;ext_ids&quot;:{&quot;pmid&quot;:&quot;29150906&quot;,&quot;doi&quot;:&quot;10.1002/cam4.1234&quot;},&quot;user_data&quot;:{&quot;created&quot;:&quot;2020-05-18T20:10:18Z&quot;,&quot;modified&quot;:&quot;2020-05-18T20:10:18Z&quot;,&quot;createdby&quot;:&quot;webapp 4.3.1&quot;,&quot;modifiedby&quot;:&quot;webapp 4.3.1&quot;,&quot;has_annotations&quot;:false,&quot;unread&quot;:true,&quot;last_read&quot;:null},&quot;checked&quot;:false,&quot;atIndex&quot;:41,&quot;item&quot;:{&quot;type&quot;:&quot;article-journal&quot;,&quot;author&quot;:[{&quot;family&quot;:&quot;Shiroyama&quot;,&quot;given&quot;:&quot;Takayuki&quot;},{&quot;family&quot;:&quot;Suzuki&quot;,&quot;given&quot;:&quot;Hidekazu&quot;},{&quot;family&quot;:&quot;Tamiya&quot;,&quot;given&quot;:&quot;Motohiro&quot;},{&quot;family&quot;:&quot;Tamiya&quot;,&quot;given&quot;:&quot;Akihiro&quot;},{&quot;family&quot;:&quot;Tanaka&quot;,&quot;given&quot;:&quot;Ayako&quot;},{&quot;family&quot;:&quot;Okamoto&quot;,&quot;given&quot;:&quot;Norio&quot;},{&quot;family&quot;:&quot;Nakahama&quot;,&quot;given&quot;:&quot;Kenji&quot;},{&quot;family&quot;:&quot;Taniguchi&quot;,&quot;given&quot;:&quot;Yoshihiko&quot;},{&quot;family&quot;:&quot;Isa&quot;,&quot;given&quot;:&quot;Shun‐ichi&quot;},{&quot;family&quot;:&quot;Inoue&quot;,&quot;given&quot;:&quot;Takako&quot;},{&quot;family&quot;:&quot;Imamura&quot;,&quot;given&quot;:&quot;Fumio&quot;},{&quot;family&quot;:&quot;Atagi&quot;,&quot;given&quot;:&quot;Shinji&quot;},{&quot;family&quot;:&quot;Hirashima&quot;,&quot;given&quot;:&quot;Tomonori&quot;}],&quot;title&quot;:&quot;Pretreatment advanced lung cancer inflammation index (ALI) for predicting early progression in nivolumab‐treated patients with advanced non–small cell lung cancer&quot;,&quot;ISSN&quot;:&quot;2045-7634&quot;,&quot;DOI&quot;:&quot;10.1002/cam4.1234&quot;,&quot;PMID&quot;:&quot;29150906&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issued&quot;:{&quot;year&quot;:2018},&quot;page&quot;:&quot;13-20&quot;,&quot;issue&quot;:&quot;1&quot;,&quot;volume&quot;:&quot;7&quot;,&quot;journalAbbreviation&quot;:&quot;Cancer Med-us&quot;,&quot;container-title&quot;:&quot;Cancer Medicine&quot;,&quot;id&quot;:&quot;1ad1efbe-0791-4c3e-a712-5cc7503db85c&quot;,&quot;page-first&quot;:&quot;13&quot;,&quot;container-title-short&quot;:&quot;Cancer Med-us&quot;}}]"/>
    <we:property name="1245690264" value="[{&quot;id&quot;:&quot;e3c68e03-0f5f-4c06-8bef-768ff58bc46f&quot;,&quot;article&quot;:{&quot;journal_abbrev&quot;:&quot;Clin Lung Cancer&quot;,&quot;pagination&quot;:&quot;&quot;,&quot;authors&quot;:[&quot;Arsela Prelaj&quot;,&quot;Sara Elena Rebuzzi&quot;,&quot;Pamela Pizzutilo&quot;,&quot;Massimo Bilancia&quot;,&quot;Michele Montrone&quot;,&quot;Francesco Pesola&quot;,&quot;Vito Longo&quot;,&quot;Gabriella Del Bene&quot;,&quot;Vittoria Lapadula&quot;,&quot;Flavio Cassano&quot;,&quot;Patrizia Petrillo&quot;,&quot;Daniela Bafunno&quot;,&quot;Niccolò Varesano&quot;,&quot;Vito Lamorgese&quot;,&quot;Angelica Mastrandrea&quot;,&quot;Donatella Ricci&quot;,&quot;Annamaria Catino&quot;,&quot;Domenico Galetta&quot;],&quot;publisher&quot;:&quot;&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year&quot;:2020,&quot;chapter&quot;:&quot;&quot;,&quot;journal&quot;:&quot;Clinical lung cancer&quot;,&quot;volume&quot;:&quot;&quot;,&quot;title&quot;:&quot;EPSILoN: A Prognostic Score Using Clinical and Blood Biomarkers in Advanced Non-Small-cell Lung Cancer Treated With Immunotherapy.&quot;,&quot;issue&quot;:&quot;&quot;,&quot;issn&quot;:&quot;1525-7304&quot;,&quot;isbn&quot;:&quot;&quot;,&quot;url&quot;:&quot;https://linkinghub.elsevier.com/retrieve/pii/S1525730419303341&quot;},&quot;collection_group_id&quot;:&quot;&quot;,&quot;collection_id&quot;:&quot;4e0192db-b678-400e-ba1d-e378d3262964&quot;,&quot;item_type&quot;:&quot;article&quot;,&quot;deleted&quot;:false,&quot;files&quot;:[{&quot;name&quot;:&quot;EPSILoN.pdf&quot;,&quot;size&quot;:1537520,&quot;type&quot;:&quot;article&quot;,&quot;pages&quot;:30,&quot;sha256&quot;:&quot;ee0b598980c6610faecdf1109e4845e2a180068ada9b8295a31d88f1c15b1b86&quot;,&quot;created&quot;:&quot;2020-05-15T21:24:25Z&quot;,&quot;file_type&quot;:&quot;pdf&quot;,&quot;access_method&quot;:&quot;personal_library&quot;,&quot;pdf_text_url&quot;:&quot;https://s3.amazonaws.com/objects.readcube.com/prerendered/ee0b598980c6610faecdf1109e4845e2a180068ada9b8295a31d88f1c15b1b86/pdftext.txt?X-Amz-Algorithm=AWS4-HMAC-SHA256&amp;X-Amz-Credential=AKIAJAWZ5L6BMTSOH3EA%2F20200515%2Fus-east-1%2Fs3%2Faws4_request&amp;X-Amz-Date=20200515T214303Z&amp;X-Amz-Expires=86400&amp;X-Amz-SignedHeaders=host&amp;X-Amz-Signature=8ebefd6ec1e490b6b6b35f9a2dcde8555382b2af9f6bef8b1e4214d4e03009c0&quot;}],&quot;ext_ids&quot;:{&quot;pmid&quot;:&quot;32245624&quot;,&quot;doi&quot;:&quot;10.1016/j.cllc.2019.11.017&quot;},&quot;user_data&quot;:{&quot;created&quot;:&quot;2020-05-15T14:45:10Z&quot;,&quot;modified&quot;:&quot;2020-05-15T21:42:06Z&quot;,&quot;createdby&quot;:&quot;webapp 4.3.1&quot;,&quot;last_read&quot;:&quot;2020-05-15T21:42:06Z&quot;,&quot;modifiedby&quot;:&quot;web_reader 13.0.3&quot;,&quot;view_count&quot;:1,&quot;has_annotations&quot;:false,&quot;unread&quot;:false},&quot;checked&quot;:false,&quot;atIndex&quot;:19,&quot;item&quot;:{&quot;type&quot;:&quot;article-journal&quot;,&quot;author&quot;:[{&quot;family&quot;:&quot;Prelaj&quot;,&quot;given&quot;:&quot;Arsela&quot;},{&quot;family&quot;:&quot;Rebuzzi&quot;,&quot;given&quot;:&quot;Sara Elena&quot;},{&quot;family&quot;:&quot;Pizzutilo&quot;,&quot;given&quot;:&quot;Pamela&quot;},{&quot;family&quot;:&quot;Bilancia&quot;,&quot;given&quot;:&quot;Massimo&quot;},{&quot;family&quot;:&quot;Montrone&quot;,&quot;given&quot;:&quot;Michele&quot;},{&quot;family&quot;:&quot;Pesola&quot;,&quot;given&quot;:&quot;Francesco&quot;},{&quot;family&quot;:&quot;Longo&quot;,&quot;given&quot;:&quot;Vito&quot;},{&quot;family&quot;:&quot;Bene&quot;,&quot;given&quot;:&quot;Gabriella Del&quot;},{&quot;family&quot;:&quot;Lapadula&quot;,&quot;given&quot;:&quot;Vittoria&quot;},{&quot;family&quot;:&quot;Cassano&quot;,&quot;given&quot;:&quot;Flavio&quot;},{&quot;family&quot;:&quot;Petrillo&quot;,&quot;given&quot;:&quot;Patrizia&quot;},{&quot;family&quot;:&quot;Bafunno&quot;,&quot;given&quot;:&quot;Daniela&quot;},{&quot;family&quot;:&quot;Varesano&quot;,&quot;given&quot;:&quot;Niccolò&quot;},{&quot;family&quot;:&quot;Lamorgese&quot;,&quot;given&quot;:&quot;Vito&quot;},{&quot;family&quot;:&quot;Mastrandrea&quot;,&quot;given&quot;:&quot;Angelica&quot;},{&quot;family&quot;:&quot;Ricci&quot;,&quot;given&quot;:&quot;Donatella&quot;},{&quot;family&quot;:&quot;Catino&quot;,&quot;given&quot;:&quot;Annamaria&quot;},{&quot;family&quot;:&quot;Galetta&quot;,&quot;given&quot;:&quot;Domenico&quot;}],&quot;title&quot;:&quot;EPSILoN: A Prognostic Score Using Clinical and Blood Biomarkers in Advanced Non-Small-cell Lung Cancer Treated With Immunotherapy.&quot;,&quot;ISSN&quot;:&quot;1525-7304&quot;,&quot;DOI&quot;:&quot;10.1016/j.cllc.2019.11.017&quot;,&quot;PMID&quot;:&quot;32245624&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issued&quot;:{&quot;year&quot;:2020},&quot;journalAbbreviation&quot;:&quot;Clin Lung Cancer&quot;,&quot;container-title&quot;:&quot;Clinical lung cancer&quot;,&quot;id&quot;:&quot;e3c68e03-0f5f-4c06-8bef-768ff58bc46f&quot;,&quot;container-title-short&quot;:&quot;Clin Lung Cancer&quot;}}]"/>
    <we:property name="1267427814" value="[{&quot;id&quot;:&quot;9e289965-a50f-4772-ad7a-30de951313ed&quot;,&quot;article&quot;:{&quot;journal_abbrev&quot;:&quot;JAMA Oncol&quot;,&quot;pagination&quot;:&quot;&quot;,&quot;authors&quot;:[&quot;Laura Mezquita&quot;,&quot;Edouard Auclin&quot;,&quot;Roberto Ferrara&quot;,&quot;Melinda Charrier&quot;,&quot;Jordi Remon&quot;,&quot;David Planchard&quot;,&quot;Santiago Ponce&quot;,&quot;Luis Paz Ares&quot;,&quot;Laura Leroy&quot;,&quot;Clarisse Audigier-Valette&quot;,&quot;Enriqueta Felip&quot;,&quot;Jorge Zerón-Medina&quot;,&quot;Pilar Garrido&quot;,&quot;Solenn Brosseau&quot;,&quot;Gérard Zalcman&quot;,&quot;Julien Mazieres&quot;,&quot;Caroline Caramela&quot;,&quot;Jihene Lahmar&quot;,&quot;Julien Adam&quot;,&quot;Nathalie Chaput&quot;,&quot;Jean Charles Soria&quot;,&quot;Benjamin Besse&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name&quot;:&quot;Association of the Lung Immune Prognostic Index With Immune Checkpoint Inhibitor Outcomes in Patients With Advanced Non–Small Cell Lung Cancer.pdf&quot;,&quot;size&quot;:312269,&quot;type&quot;:&quot;article&quot;,&quot;pages&quot;:21,&quot;sha256&quot;:&quot;7be9f86a8729eeb35eebf5491fe55ab28d7f578aeeb2fc660846a4146e78ffe9&quot;,&quot;created&quot;:&quot;2020-05-15T16:49:16Z&quot;,&quot;file_type&quot;:&quot;pdf&quot;,&quot;access_method&quot;:&quot;personal_library&quot;,&quot;pdf_text_url&quot;:&quot;https://s3.amazonaws.com/objects.readcube.com/prerendered/7be9f86a8729eeb35eebf5491fe55ab28d7f578aeeb2fc660846a4146e78ffe9/pdftext.txt?X-Amz-Algorithm=AWS4-HMAC-SHA256&amp;X-Amz-Credential=AKIAJAWZ5L6BMTSOH3EA%2F20200518%2Fus-east-1%2Fs3%2Faws4_request&amp;X-Amz-Date=20200518T213036Z&amp;X-Amz-Expires=86400&amp;X-Amz-SignedHeaders=host&amp;X-Amz-Signature=990eb945f141e37f1bbf4a1bffd92f5df6dabd13c9b4e60b4c0b6c6799982f08&quot;}],&quot;ext_ids&quot;:{&quot;pmid&quot;:&quot;29327044&quot;,&quot;doi&quot;:&quot;10.1001/jamaoncol.2017.4771&quot;},&quot;user_data&quot;:{&quot;created&quot;:&quot;2020-05-15T16:42:17Z&quot;,&quot;modified&quot;:&quot;2020-05-15T17:01:40Z&quot;,&quot;createdby&quot;:&quot;webapp 4.3.1&quot;,&quot;last_read&quot;:&quot;2020-05-15T16:52:09Z&quot;,&quot;modifiedby&quot;:&quot;webapp 4.3.1&quot;,&quot;view_count&quot;:3,&quot;has_annotations&quot;:false,&quot;unread&quot;:false},&quot;checked&quot;:false,&quot;atIndex&quot;:45,&quot;item&quot;:{&quot;type&quot;:&quot;article-journal&quot;,&quot;author&quot;:[{&quot;family&quot;:&quot;Mezquita&quot;,&quot;given&quot;:&quot;Laura&quot;},{&quot;family&quot;:&quot;Auclin&quot;,&quot;given&quot;:&quot;Edouard&quot;},{&quot;family&quot;:&quot;Ferrara&quot;,&quot;given&quot;:&quot;Roberto&quot;},{&quot;family&quot;:&quot;Charrier&quot;,&quot;given&quot;:&quot;Melinda&quot;},{&quot;family&quot;:&quot;Remon&quot;,&quot;given&quot;:&quot;Jordi&quot;},{&quot;family&quot;:&quot;Planchard&quot;,&quot;given&quot;:&quot;David&quot;},{&quot;family&quot;:&quot;Ponce&quot;,&quot;given&quot;:&quot;Santiago&quot;},{&quot;family&quot;:&quot;Ares&quot;,&quot;given&quot;:&quot;Luis Paz&quot;},{&quot;family&quot;:&quot;Leroy&quot;,&quot;given&quot;:&quot;Laura&quot;},{&quot;family&quot;:&quot;Audigier-Valette&quot;,&quot;given&quot;:&quot;Clarisse&quot;},{&quot;family&quot;:&quot;Felip&quot;,&quot;given&quot;:&quot;Enriqueta&quot;},{&quot;family&quot;:&quot;Zerón-Medina&quot;,&quot;given&quot;:&quot;Jorge&quot;},{&quot;family&quot;:&quot;Garrido&quot;,&quot;given&quot;:&quot;Pilar&quot;},{&quot;family&quot;:&quot;Brosseau&quot;,&quot;given&quot;:&quot;Solenn&quot;},{&quot;family&quot;:&quot;Zalcman&quot;,&quot;given&quot;:&quot;Gérard&quot;},{&quot;family&quot;:&quot;Mazieres&quot;,&quot;given&quot;:&quot;Julien&quot;},{&quot;family&quot;:&quot;Caramela&quot;,&quot;given&quot;:&quot;Caroline&quot;},{&quot;family&quot;:&quot;Lahmar&quot;,&quot;given&quot;:&quot;Jihene&quot;},{&quot;family&quot;:&quot;Adam&quot;,&quot;given&quot;:&quot;Julien&quot;},{&quot;family&quot;:&quot;Chaput&quot;,&quot;given&quot;:&quot;Nathalie&quot;},{&quot;family&quot;:&quot;Soria&quot;,&quot;given&quot;:&quot;Jean Charles&quot;},{&quot;family&quot;:&quot;Besse&quot;,&quot;given&quot;:&quot;Benjamin&quot;}],&quot;title&quot;:&quot;Association of the Lung Immune Prognostic Index With Immune Checkpoint Inhibitor Outcomes in Patients With Advanced Non-Small Cell Lung Cancer&quot;,&quot;DOI&quot;:&quot;10.1001/jamaoncol.2017.4771&quot;,&quot;PMID&quot;:&quot;29327044&quot;,&quot;journalAbbreviation&quot;:&quot;JAMA Oncol&quot;,&quot;id&quot;:&quot;9e289965-a50f-4772-ad7a-30de951313ed&quot;,&quot;issued&quot;:{&quot;literal&quot;:&quot;n.d.&quot;},&quot;container-title-short&quot;:&quot;JAMA Oncol&quot;}}]"/>
    <we:property name="1346982331" value="[{&quot;id&quot;:&quot;dc3a946e-6a2f-4db9-a9c0-0ea7e685b1bd&quot;,&quot;article&quot;:{&quot;journal_abbrev&quot;:&quot;Plos One&quot;,&quot;pagination&quot;:&quot;e0219060&quot;,&quot;authors&quot;:[&quot;Matthieu Dusselier&quot;,&quot;Elise Deluche&quot;,&quot;Nellie Delacourt&quot;,&quot;Julia Ballouhey&quot;,&quot;Thomas Egenod&quot;,&quot;Boris Melloni&quot;,&quot;Charlotte Vergnenègre&quot;,&quot;Rémi Veillon&quot;,&quot;Alain Vergnenègre&quot;],&quot;publisher&quot;:&quot;&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year&quot;:2019,&quot;chapter&quot;:&quot;&quot;,&quot;journal&quot;:&quot;PLOS ONE&quot;,&quot;volume&quot;:&quot;14&quot;,&quot;title&quot;:&quot;Neutrophil-to-lymphocyte ratio evolution is an independent predictor of early progression of second-line nivolumab-treated patients with advanced non-small-cell lung cancers&quot;,&quot;issue&quot;:&quot;7&quot;,&quot;issn&quot;:&quot;&quot;,&quot;isbn&quot;:&quot;&quot;,&quot;url&quot;:&quot;https://dx.plos.org/10.1371/journal.pone.0219060&quot;},&quot;collection_group_id&quot;:&quot;&quot;,&quot;collection_id&quot;:&quot;4e0192db-b678-400e-ba1d-e378d3262964&quot;,&quot;item_type&quot;:&quot;article&quot;,&quot;deleted&quot;:false,&quot;files&quot;:[{&quot;name&quot;:&quot;IO_deltaNLR_Baseline_Fourth_treatment.pdf&quot;,&quot;size&quot;:774526,&quot;type&quot;:&quot;article&quot;,&quot;pages&quot;:12,&quot;sha256&quot;:&quot;6d55e35ada5dfd4a4fd7a86d6fc1f9e801c49e98e690bd1427560dea0efd3f6b&quot;,&quot;created&quot;:&quot;2020-05-18T19:52:36Z&quot;,&quot;file_type&quot;:&quot;pdf&quot;,&quot;access_method&quot;:&quot;personal_library&quot;,&quot;pdf_text_url&quot;:&quot;https://s3.amazonaws.com/objects.readcube.com/prerendered/6d55e35ada5dfd4a4fd7a86d6fc1f9e801c49e98e690bd1427560dea0efd3f6b/pdftext.txt?X-Amz-Algorithm=AWS4-HMAC-SHA256&amp;X-Amz-Credential=AKIAJAWZ5L6BMTSOH3EA%2F20200518%2Fus-east-1%2Fs3%2Faws4_request&amp;X-Amz-Date=20200518T195936Z&amp;X-Amz-Expires=86400&amp;X-Amz-SignedHeaders=host&amp;X-Amz-Signature=ea947af5cf0869c6e46ab1aa598c49ccbf00b7def862642cf1851b76c792b4ed&quot;}],&quot;ext_ids&quot;:{&quot;pmid&quot;:&quot;31314761&quot;,&quot;doi&quot;:&quot;10.1371/journal.pone.0219060&quot;},&quot;user_data&quot;:{&quot;created&quot;:&quot;2020-05-18T19:52:36Z&quot;,&quot;modified&quot;:&quot;2020-05-18T19:52:36Z&quot;,&quot;createdby&quot;:&quot;webapp 4.3.1&quot;,&quot;modifiedby&quot;:&quot;webapp 4.3.1&quot;,&quot;has_annotations&quot;:false,&quot;unread&quot;:true,&quot;last_read&quot;:null},&quot;checked&quot;:false,&quot;atIndex&quot;:33,&quot;item&quot;:{&quot;type&quot;:&quot;article-journal&quot;,&quot;author&quot;:[{&quot;family&quot;:&quot;Dusselier&quot;,&quot;given&quot;:&quot;Matthieu&quot;},{&quot;family&quot;:&quot;Deluche&quot;,&quot;given&quot;:&quot;Elise&quot;},{&quot;family&quot;:&quot;Delacourt&quot;,&quot;given&quot;:&quot;Nellie&quot;},{&quot;family&quot;:&quot;Ballouhey&quot;,&quot;given&quot;:&quot;Julia&quot;},{&quot;family&quot;:&quot;Egenod&quot;,&quot;given&quot;:&quot;Thomas&quot;},{&quot;family&quot;:&quot;Melloni&quot;,&quot;given&quot;:&quot;Boris&quot;},{&quot;family&quot;:&quot;Vergnenègre&quot;,&quot;given&quot;:&quot;Charlotte&quot;},{&quot;family&quot;:&quot;Veillon&quot;,&quot;given&quot;:&quot;Rémi&quot;},{&quot;family&quot;:&quot;Vergnenègre&quot;,&quot;given&quot;:&quot;Alain&quot;}],&quot;title&quot;:&quot;Neutrophil-to-lymphocyte ratio evolution is an independent predictor of early progression of second-line nivolumab-treated patients with advanced non-small-cell lung cancers&quot;,&quot;DOI&quot;:&quot;10.1371/journal.pone.0219060&quot;,&quot;PMID&quot;:&quot;31314761&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issued&quot;:{&quot;year&quot;:2019},&quot;page&quot;:&quot;e0219060&quot;,&quot;issue&quot;:&quot;7&quot;,&quot;volume&quot;:&quot;14&quot;,&quot;journalAbbreviation&quot;:&quot;Plos One&quot;,&quot;container-title&quot;:&quot;PLOS ONE&quot;,&quot;id&quot;:&quot;dc3a946e-6a2f-4db9-a9c0-0ea7e685b1bd&quot;,&quot;page-first&quot;:&quot;e0219060&quot;,&quot;container-title-short&quot;:&quot;Plos One&quot;}}]"/>
    <we:property name="1375281386" value="[{&quot;id&quot;:&quot;1776ab4e-9167-4d24-a331-b472d63b2ebb&quot;,&quot;article&quot;:{&quot;journal_abbrev&quot;:&quot;Thorac Cancer&quot;,&quot;pagination&quot;:&quot;1291-1299&quot;,&quot;authors&quot;:[&quot;Takayuki Takeda&quot;,&quot;Mayumi Takeuchi&quot;,&quot;Masahiko Saitoh&quot;,&quot;Sorou Takeda&quot;],&quot;publisher&quot;:&quot;&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year&quot;:2018,&quot;chapter&quot;:&quot;&quot;,&quot;journal&quot;:&quot;Thoracic Cancer&quot;,&quot;volume&quot;:&quot;9&quot;,&quot;title&quot;:&quot;Neutrophil-to-lymphocyte ratio after four weeks of nivolumab administration as a predictive marker in patients with pretreated non-small-cell lung cancer&quot;,&quot;issue&quot;:&quot;10&quot;,&quot;issn&quot;:&quot;1759-7706&quot;,&quot;isbn&quot;:&quot;&quot;,&quot;url&quot;:&quot;http://doi.wiley.com/10.1111/1759-7714.12838&quot;},&quot;collection_group_id&quot;:&quot;&quot;,&quot;collection_id&quot;:&quot;4e0192db-b678-400e-ba1d-e378d3262964&quot;,&quot;item_type&quot;:&quot;article&quot;,&quot;deleted&quot;:false,&quot;files&quot;:[{&quot;name&quot;:&quot;Neutrophil‐to‐lymphocyte ratio after four weeks of nivolumab administration as a predictive marker in patients with pretreated non‐small‐cell lung cancer.pdf&quot;,&quot;size&quot;:244419,&quot;type&quot;:&quot;article&quot;,&quot;pages&quot;:9,&quot;sha256&quot;:&quot;8e33e0c23535c849e1478a0600bbca7cb4ede9ea97c6d3c444ea1ac26437b9db&quot;,&quot;created&quot;:&quot;2020-05-15T16:21:54Z&quot;,&quot;file_type&quot;:&quot;pdf&quot;,&quot;access_method&quot;:&quot;open_access&quot;,&quot;pdf_text_url&quot;:&quot;https://s3.amazonaws.com/objects.readcube.com/prerendered/8e33e0c23535c849e1478a0600bbca7cb4ede9ea97c6d3c444ea1ac26437b9db/pdftext.txt?X-Amz-Algorithm=AWS4-HMAC-SHA256&amp;X-Amz-Credential=AKIAJAWZ5L6BMTSOH3EA%2F20200515%2Fus-east-1%2Fs3%2Faws4_request&amp;X-Amz-Date=20200515T162154Z&amp;X-Amz-Expires=86400&amp;X-Amz-SignedHeaders=host&amp;X-Amz-Signature=7beb8049600e1222d9c9251d4514d75e060843fc1ef7753ef3876659d9ae4b0b&quot;}],&quot;ext_ids&quot;:{&quot;pmid&quot;:&quot;30126063&quot;,&quot;doi&quot;:&quot;10.1111/1759-7714.12838&quot;},&quot;user_data&quot;:{&quot;created&quot;:&quot;2020-05-15T14:59:05Z&quot;,&quot;modified&quot;:&quot;2020-05-15T16:21:54Z&quot;,&quot;createdby&quot;:&quot;webapp 4.3.1&quot;,&quot;modifiedby&quot;:&quot;smartcite_word 1.11.0&quot;,&quot;annotations&quot;:[],&quot;unread&quot;:true,&quot;last_read&quot;:null},&quot;atIndex&quot;:5,&quot;item&quot;:{&quot;type&quot;:&quot;article-journal&quot;,&quot;author&quot;:[{&quot;family&quot;:&quot;Takeda&quot;,&quot;given&quot;:&quot;Takayuki&quot;},{&quot;family&quot;:&quot;Takeuchi&quot;,&quot;given&quot;:&quot;Mayumi&quot;},{&quot;family&quot;:&quot;Saitoh&quot;,&quot;given&quot;:&quot;Masahiko&quot;},{&quot;family&quot;:&quot;Takeda&quot;,&quot;given&quot;:&quot;Sorou&quot;}],&quot;title&quot;:&quot;Neutrophil-to-lymphocyte ratio after four weeks of nivolumab administration as a predictive marker in patients with pretreated non-small-cell lung cancer&quot;,&quot;ISSN&quot;:&quot;1759-7706&quot;,&quot;DOI&quot;:&quot;10.1111/1759-7714.12838&quot;,&quot;PMID&quot;:&quot;30126063&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issued&quot;:{&quot;year&quot;:2018},&quot;page&quot;:&quot;1291-1299&quot;,&quot;issue&quot;:&quot;10&quot;,&quot;volume&quot;:&quot;9&quot;,&quot;journalAbbreviation&quot;:&quot;Thorac Cancer&quot;,&quot;container-title&quot;:&quot;Thoracic Cancer&quot;,&quot;id&quot;:&quot;1776ab4e-9167-4d24-a331-b472d63b2ebb&quot;,&quot;page-first&quot;:&quot;1291&quot;,&quot;container-title-short&quot;:&quot;Thorac Cancer&quot;}}]"/>
    <we:property name="1410352100" value="[{&quot;id&quot;:&quot;c241c548-487b-40a1-aa73-68886a980ff5&quot;,&quot;article&quot;:{&quot;journal_abbrev&quot;:&quot;Clin Lung Cancer&quot;,&quot;pagination&quot;:&quot;426-434.e1&quot;,&quot;authors&quot;:[&quot;Alona Zer&quot;,&quot;Mike R. Sung&quot;,&quot;Preet Walia&quot;,&quot;Leila Khoja&quot;,&quot;Manjula Maganti&quot;,&quot;Catherine Labbe&quot;,&quot;Frances A. Shepherd&quot;,&quot;Penelope A. Bradbury&quot;,&quot;Ronald Feld&quot;,&quot;Geoffrey Liu&quot;,&quot;Melissa Iazzi&quot;,&quot;Dianne Zawisza&quot;,&quot;Nazanin Nouriany&quot;,&quot;Natasha B. Leighl&quot;],&quot;publisher&quot;:&quot;&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year&quot;:2018,&quot;chapter&quot;:&quot;&quot;,&quot;journal&quot;:&quot;&quot;,&quot;volume&quot;:&quot;9(5)&quot;,&quot;title&quot;:&quot;Correlation of Neutrophil to Lymphocyte Ratio and Absolute Neutrophil Count With Outcomes With PD-1 Axis Inhibitors in Patients With Advanced Non-Small-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pmid&quot;:&quot;29803574&quot;,&quot;doi&quot;:&quot;10.1016/j.cllc.2018.04.008&quot;},&quot;user_data&quot;:{&quot;created&quot;:&quot;2020-05-18T21:38:17Z&quot;,&quot;modified&quot;:&quot;2020-05-18T21:49:04Z&quot;,&quot;createdby&quot;:&quot;webapp 4.3.1&quot;,&quot;modifiedby&quot;:&quot;webapp 4.3.1&quot;,&quot;has_annotations&quot;:false,&quot;unread&quot;:true,&quot;last_read&quot;:null},&quot;checked&quot;:false,&quot;atIndex&quot;:49}]"/>
    <we:property name="1458379214"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JAWZ5L6BMTSOH3EA%2F20200515%2Fus-east-1%2Fs3%2Faws4_request&amp;X-Amz-Date=20200515T153125Z&amp;X-Amz-Expires=86400&amp;X-Amz-SignedHeaders=host&amp;X-Amz-Signature=b5b0a14e051148c388120d947077191b1f8e5f1915ed3ee8636ba5b18630c628&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JAWZ5L6BMTSOH3EA%2F20200515%2Fus-east-1%2Fs3%2Faws4_request&amp;X-Amz-Date=20200515T153125Z&amp;X-Amz-Expires=86400&amp;X-Amz-SignedHeaders=host&amp;X-Amz-Signature=d4a7d0edb1fe6fc67c314ea272e600e5844000fa3ee6fdbb8acf28236d754c94&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0,&quot;item&quot;:{&quot;type&quot;:&quot;article-journal&quot;,&quot;author&quot;:[{&quot;family&quot;:&quot;Suh&quot;,&quot;given&quot;:&quot;Koung Jin&quot;},{&quot;family&quot;:&quot;Kim&quot;,&quot;given&quot;:&quot;Se Hyun&quot;},{&quot;family&quot;:&quot;Kim&quot;,&quot;given&quot;:&quot;Yu Jung&quot;},{&quot;family&quot;:&quot;Kim&quot;,&quot;given&quot;:&quot;Miso&quot;},{&quot;family&quot;:&quot;Keam&quot;,&quot;given&quot;:&quot;Bhumsuk&quot;},{&quot;family&quot;:&quot;Kim&quot;,&quot;given&quot;:&quot;Tae Min&quot;},{&quot;family&quot;:&quot;Kim&quot;,&quot;given&quot;:&quot;Dong-Wan&quot;},{&quot;family&quot;:&quot;Heo&quot;,&quot;given&quot;:&quot;Dae Seog&quot;},{&quot;family&quot;:&quot;Lee&quot;,&quot;given&quot;:&quot;Jong Seok&quot;}],&quot;title&quot;:&quot;Post-treatment neutrophil-to-lymphocyte ratio at week 6 is prognostic in patients with advanced non-small cell lung cancers treated with anti-PD-1 antibody&quot;,&quot;ISSN&quot;:&quot;0340-7004&quot;,&quot;DOI&quot;:&quot;10.1007/s00262-017-2092-x&quot;,&quot;PMID&quot;:&quot;29204702&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issued&quot;:{&quot;year&quot;:2018},&quot;page&quot;:&quot;459-470&quot;,&quot;issue&quot;:&quot;3&quot;,&quot;volume&quot;:&quot;67&quot;,&quot;journalAbbreviation&quot;:&quot;Cancer Immunol Immunother&quot;,&quot;container-title&quot;:&quot;Cancer Immunology, Immunotherapy&quot;,&quot;id&quot;:&quot;5a9c62ed-44a8-4331-83ec-3f632496e141&quot;,&quot;page-first&quot;:&quot;459&quot;,&quot;container-title-short&quot;:&quot;Cancer Immunol Immunother&quot;}}]"/>
    <we:property name="1537621549" value="[{&quot;id&quot;:&quot;d1c1dee9-e03c-49fb-89c7-46091128df3f&quot;,&quot;article&quot;:{&quot;journal_abbrev&quot;:&quot;J Appl Res&quot;,&quot;pagination&quot;:&quot;88-95&quot;,&quot;authors&quot;:[&quot;M Wasif Saif&quot;,&quot;Dominik Alexander&quot;,&quot;Charles M Wicox&quot;],&quot;publisher&quot;:&quot;&quot;,&quot;abstract&quot;:&quot;BACKGROUND: Serum alkaline phosphotase (ALP) levels are frequently elevated in patients with metastatic colorectal cancer (CRC). However, the significance of ALP in terms of detecting hepatic metastasis or prognosis is not well established. MATERIALS AND METHODS: Medical records of patients with CRC seen at University of Alabama at Birmingham (UAB) (1998-2002) were reviewed and statistical analysis was done to evaluate the significance of ALP as a prognostic tool. The normal range for ALP was quantified at 39 U/L to 117 U/L. Change in ALP levels over time (defined as time interval between two cycles; such as 4 weeks for Mayo regimen, 8 weeks for Roswell Park regimen and 6 weeks for IFL regimen) was categorized as large (120+ U/L), medium (20-119 U/L), and minimal (&lt; 20 U/L). RESULTS: A total of 105 patients with eligible medical records were identified (Mean age: 59 yrs; 53% male; Staging: II: 43 patients, III: 31 patients, IV: 32 patients). Increasing ALP levels correlated with increasing stage (Mean: I = 116, II = 219, III = 302; P = 0.0003). ALP levels were elevated in 74% of patients with liver metastases (Mean, 290) and in 33% without liver metastases (Mean, 122) (P = 0.001). Patients with elevated ALP levels at the most recent time of progression were 5.7 (95% CI, 2.4-13.3) times more likely to have a liver metastases compared to patients with normal levels. Additionally, patients with elevated ALP levels at their most recent visit were 4.2 (95% CI, 1.7-10.7) times more likely to have a worse prognosis compared to patients with normal levels. However, after controlling for the effects of liver metastases, the association between elevated levels and prognosis was no longer significant. After controlling for the effects of age, sex, and liver metastases, large changes in AP levels were associated with a 4.4 (95% CI, 1.0-19.1) times greater odds of having a worse prognosis compared to patients with a minimal change. Patients with an ALP level greater than 160 were 12 (95% CI, 4.3-33.3) times more likely to have liver metastases than patients with an ALP level of less than 160. Mean CEA level was 78 for patients without liver metastases and 308 for patients with liver metastases. CEA levels were compared against ALP in a random sample of 18 patients, which revealed a correlation between increasing levels of CEA (.002) with increasing levels of ALP. CONCLUSION: Instead of the upper normal limit for ALP, our data shows that using an ALP cutoff of 160 U/L increases the sensitivity of liver metastases detection. Also, a change in ALP levels of greater than 120 U/L over four-to-six weeks may be indicative of disease progression. Monitoring ALP is a simple, low cost, and relatively sensitive screening tool. Prospective studies involving evaluation of ALP in addition to CEA in patients with CRC is indicated.&quot;,&quot;year&quot;:2005,&quot;chapter&quot;:&quot;&quot;,&quot;journal&quot;:&quot;The journal of applied research&quot;,&quot;volume&quot;:&quot;5&quot;,&quot;title&quot;:&quot;Serum Alkaline Phosphatase Level as a Prognostic Tool in Colorectal Cancer: A Study of 105 patients.&quot;,&quot;issue&quot;:&quot;1&quot;,&quot;issn&quot;:&quot;1537-064X&quot;,&quot;isbn&quot;:&quot;&quot;,&quot;url&quot;:&quot;&quot;},&quot;collection_group_id&quot;:&quot;&quot;,&quot;collection_id&quot;:&quot;4e0192db-b678-400e-ba1d-e378d3262964&quot;,&quot;item_type&quot;:&quot;article&quot;,&quot;deleted&quot;:false,&quot;files&quot;:[{&quot;name&quot;:&quot;ALP_CRC_liver_met.pdf&quot;,&quot;size&quot;:287344,&quot;type&quot;:&quot;article&quot;,&quot;pages&quot;:9,&quot;sha256&quot;:&quot;94e5dc772d9d4d5fb2b26ab0953ad3ffdf414935174d183407e68aaab9d80713&quot;,&quot;created&quot;:&quot;2020-06-05T18:43:25Z&quot;,&quot;user_id&quot;:&quot;4e0192db-b678-400e-ba1d-e378d3262964&quot;,&quot;file_type&quot;:&quot;pdf&quot;,&quot;access_method&quot;:&quot;personal_library&quot;,&quot;pdf_text_url&quot;:&quot;https://s3.amazonaws.com/objects.readcube.com/prerendered/94e5dc772d9d4d5fb2b26ab0953ad3ffdf414935174d183407e68aaab9d80713/pdftext.txt?X-Amz-Algorithm=AWS4-HMAC-SHA256&amp;X-Amz-Credential=AKIAJAWZ5L6BMTSOH3EA%2F20200605%2Fus-east-1%2Fs3%2Faws4_request&amp;X-Amz-Date=20200605T184551Z&amp;X-Amz-Expires=86400&amp;X-Amz-SignedHeaders=host&amp;X-Amz-Signature=28c6b96e1d2070f4825b2233c86aad46c9961781a21ad4eb7e1cddbd893b7915&quot;}],&quot;ext_ids&quot;:{&quot;pmid&quot;:&quot;19750205&quot;},&quot;user_data&quot;:{&quot;created&quot;:&quot;2020-06-05T18:43:25Z&quot;,&quot;modified&quot;:&quot;2020-06-05T18:45:22Z&quot;,&quot;createdby&quot;:&quot;webapp 4.3.1&quot;,&quot;modifiedby&quot;:&quot;webapp 4.3.1&quot;,&quot;has_annotations&quot;:false,&quot;unread&quot;:true,&quot;last_read&quot;:null},&quot;checked&quot;:false,&quot;atIndex&quot;:75,&quot;item&quot;:{&quot;type&quot;:&quot;article-journal&quot;,&quot;author&quot;:[{&quot;family&quot;:&quot;Saif&quot;,&quot;given&quot;:&quot;M Wasif&quot;},{&quot;family&quot;:&quot;Alexander&quot;,&quot;given&quot;:&quot;Dominik&quot;},{&quot;family&quot;:&quot;Wicox&quot;,&quot;given&quot;:&quot;Charles M&quot;}],&quot;title&quot;:&quot;Serum Alkaline Phosphatase Level as a Prognostic Tool in Colorectal Cancer: A Study of 105 patients.&quot;,&quot;ISSN&quot;:&quot;1537-064X&quot;,&quot;PMID&quot;:&quot;19750205&quot;,&quot;abstract&quot;:&quot;BACKGROUND: Serum alkaline phosphotase (ALP) levels are frequently elevated in patients with metastatic colorectal cancer (CRC). However, the significance of ALP in terms of detecting hepatic metastasis or prognosis is not well established. MATERIALS AND METHODS: Medical records of patients with CRC seen at University of Alabama at Birmingham (UAB) (1998-2002) were reviewed and statistical analysis was done to evaluate the significance of ALP as a prognostic tool. The normal range for ALP was quantified at 39 U/L to 117 U/L. Change in ALP levels over time (defined as time interval between two cycles; such as 4 weeks for Mayo regimen, 8 weeks for Roswell Park regimen and 6 weeks for IFL regimen) was categorized as large (120+ U/L), medium (20-119 U/L), and minimal (&lt; 20 U/L). RESULTS: A total of 105 patients with eligible medical records were identified (Mean age: 59 yrs; 53% male; Staging: II: 43 patients, III: 31 patients, IV: 32 patients). Increasing ALP levels correlated with increasing stage (Mean: I = 116, II = 219, III = 302; P = 0.0003). ALP levels were elevated in 74% of patients with liver metastases (Mean, 290) and in 33% without liver metastases (Mean, 122) (P = 0.001). Patients with elevated ALP levels at the most recent time of progression were 5.7 (95% CI, 2.4-13.3) times more likely to have a liver metastases compared to patients with normal levels. Additionally, patients with elevated ALP levels at their most recent visit were 4.2 (95% CI, 1.7-10.7) times more likely to have a worse prognosis compared to patients with normal levels. However, after controlling for the effects of liver metastases, the association between elevated levels and prognosis was no longer significant. After controlling for the effects of age, sex, and liver metastases, large changes in AP levels were associated with a 4.4 (95% CI, 1.0-19.1) times greater odds of having a worse prognosis compared to patients with a minimal change. Patients with an ALP level greater than 160 were 12 (95% CI, 4.3-33.3) times more likely to have liver metastases than patients with an ALP level of less than 160. Mean CEA level was 78 for patients without liver metastases and 308 for patients with liver metastases. CEA levels were compared against ALP in a random sample of 18 patients, which revealed a correlation between increasing levels of CEA (.002) with increasing levels of ALP. CONCLUSION: Instead of the upper normal limit for ALP, our data shows that using an ALP cutoff of 160 U/L increases the sensitivity of liver metastases detection. Also, a change in ALP levels of greater than 120 U/L over four-to-six weeks may be indicative of disease progression. Monitoring ALP is a simple, low cost, and relatively sensitive screening tool. Prospective studies involving evaluation of ALP in addition to CEA in patients with CRC is indicated.&quot;,&quot;issued&quot;:{&quot;year&quot;:2005},&quot;page&quot;:&quot;88-95&quot;,&quot;issue&quot;:&quot;1&quot;,&quot;volume&quot;:&quot;5&quot;,&quot;journalAbbreviation&quot;:&quot;J Appl Res&quot;,&quot;container-title&quot;:&quot;The journal of applied research&quot;,&quot;id&quot;:&quot;d1c1dee9-e03c-49fb-89c7-46091128df3f&quot;,&quot;page-first&quot;:&quot;88&quot;,&quot;container-title-short&quot;:&quot;J Appl Res&quot;}}]"/>
    <we:property name="1634680993" value="[{&quot;id&quot;:&quot;dc3a946e-6a2f-4db9-a9c0-0ea7e685b1bd&quot;,&quot;article&quot;:{&quot;journal_abbrev&quot;:&quot;Plos One&quot;,&quot;pagination&quot;:&quot;e0219060&quot;,&quot;authors&quot;:[&quot;Matthieu Dusselier&quot;,&quot;Elise Deluche&quot;,&quot;Nellie Delacourt&quot;,&quot;Julia Ballouhey&quot;,&quot;Thomas Egenod&quot;,&quot;Boris Melloni&quot;,&quot;Charlotte Vergnenègre&quot;,&quot;Rémi Veillon&quot;,&quot;Alain Vergnenègre&quot;],&quot;publisher&quot;:&quot;&quot;,&quot;abstract&quot;:&quot;Although second-line immunotherapy obtained better outcomes than chemotherapy for patients with advanced non-small–cell lung cancers (NSCLCs), it is expensive and only a minority of patients seem to benefit, based on early tumor progression post-immunotherapy. Notable host inflammation, characterized by biomarkers (e.g. neutrophil-to-lymphocyte ratio (NLR])), prolongs overall survival (OS) of surgery-, chemotherapy- and immunotherapy-treated patients. To our knowledge, no previous studies used biomarker evolution to analyze the immunotherapy impact on host inflammation. Immunotherapy mainly exerts its activity by lymphocyte reactivation. This retrospective study was conducted on patients, selected by their progression status just before their 4th nivolumab injection, and treated at Bordeaux and Limoges University Hospitals. A comparative group of at least 1-year responders was also selected. Clinical parameters and hematological data just before the 1st (baseline) and 4th nivolumab infusions were collected to calculate the NLR change (ΔNLR) between those two infusions. The combined impact of the different known prognostic factors was also analyzed with multivariable analyses. Fifty-nine patients were included. The 29 early progressors had significantly more frequent ΔNLR &gt; 1 (p = 0.0007), OR 18.08 [95% CI 2.96–246.24] with progressive disease as best response to prior treatment line (p = 0.0014). ΔNLR &lt; 1 prolonged OS (HR 0.001 [0.0007–0.18], p = 0.001); as did a partial response to prior line of systemic treatment (HR 0.14 [0.03––0.56], p = 0.005). Based on selected early progressors given second-line immunotherapy for advanced NSCLC, progression as best response to prior treatment and ΔNLR &gt; 1 characterized the early progressors and shortened OS after starting nivolumab. This phenomenon questions nivolumab utility in patients with a major host neutrophil inflammation.&quot;,&quot;year&quot;:2019,&quot;chapter&quot;:&quot;&quot;,&quot;journal&quot;:&quot;PLOS ONE&quot;,&quot;volume&quot;:&quot;14&quot;,&quot;title&quot;:&quot;Neutrophil-to-lymphocyte ratio evolution is an independent predictor of early progression of second-line nivolumab-treated patients with advanced non-small-cell lung cancers&quot;,&quot;issue&quot;:&quot;7&quot;,&quot;issn&quot;:&quot;&quot;,&quot;isbn&quot;:&quot;&quot;,&quot;url&quot;:&quot;https://dx.plos.org/10.1371/journal.pone.0219060&quot;},&quot;collection_group_id&quot;:&quot;&quot;,&quot;collection_id&quot;:&quot;4e0192db-b678-400e-ba1d-e378d3262964&quot;,&quot;item_type&quot;:&quot;article&quot;,&quot;deleted&quot;:false,&quot;files&quot;:[{&quot;name&quot;:&quot;IO_deltaNLR_Baseline_Fourth_treatment.pdf&quot;,&quot;size&quot;:774526,&quot;type&quot;:&quot;article&quot;,&quot;pages&quot;:12,&quot;sha256&quot;:&quot;6d55e35ada5dfd4a4fd7a86d6fc1f9e801c49e98e690bd1427560dea0efd3f6b&quot;,&quot;created&quot;:&quot;2020-05-18T19:52:36Z&quot;,&quot;file_type&quot;:&quot;pdf&quot;,&quot;access_method&quot;:&quot;personal_library&quot;,&quot;pdf_text_url&quot;:&quot;https://s3.amazonaws.com/objects.readcube.com/prerendered/6d55e35ada5dfd4a4fd7a86d6fc1f9e801c49e98e690bd1427560dea0efd3f6b/pdftext.txt?X-Amz-Algorithm=AWS4-HMAC-SHA256&amp;X-Amz-Credential=AKIA2A2FUGL6NVUZZOGC%2F20200626%2Fus-east-1%2Fs3%2Faws4_request&amp;X-Amz-Date=20200626T154105Z&amp;X-Amz-Expires=86400&amp;X-Amz-SignedHeaders=host&amp;X-Amz-Signature=6b526f243089169f125f3c02dcc40fc70bc1297674cb51a54887fe07929e8305&quot;}],&quot;ext_ids&quot;:{&quot;pmid&quot;:&quot;31314761&quot;,&quot;doi&quot;:&quot;10.1371/journal.pone.0219060&quot;},&quot;user_data&quot;:{&quot;created&quot;:&quot;2020-05-18T19:52:36Z&quot;,&quot;modified&quot;:&quot;2020-05-19T20:39:58Z&quot;,&quot;createdby&quot;:&quot;webapp 4.3.1&quot;,&quot;last_read&quot;:&quot;2020-05-19T20:39:58Z&quot;,&quot;modifiedby&quot;:&quot;web_reader 13.1.0&quot;,&quot;view_count&quot;:1,&quot;has_annotations&quot;:false,&quot;unread&quot;:false},&quot;checked&quot;:false,&quot;atIndex&quot;:75}]"/>
    <we:property name="1637908474"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JAWZ5L6BMTSOH3EA%2F20200515%2Fus-east-1%2Fs3%2Faws4_request&amp;X-Amz-Date=20200515T153125Z&amp;X-Amz-Expires=86400&amp;X-Amz-SignedHeaders=host&amp;X-Amz-Signature=b5b0a14e051148c388120d947077191b1f8e5f1915ed3ee8636ba5b18630c628&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JAWZ5L6BMTSOH3EA%2F20200515%2Fus-east-1%2Fs3%2Faws4_request&amp;X-Amz-Date=20200515T153125Z&amp;X-Amz-Expires=86400&amp;X-Amz-SignedHeaders=host&amp;X-Amz-Signature=d4a7d0edb1fe6fc67c314ea272e600e5844000fa3ee6fdbb8acf28236d754c94&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0,&quot;item&quot;:{&quot;type&quot;:&quot;article-journal&quot;,&quot;author&quot;:[{&quot;family&quot;:&quot;Suh&quot;,&quot;given&quot;:&quot;Koung Jin&quot;},{&quot;family&quot;:&quot;Kim&quot;,&quot;given&quot;:&quot;Se Hyun&quot;},{&quot;family&quot;:&quot;Kim&quot;,&quot;given&quot;:&quot;Yu Jung&quot;},{&quot;family&quot;:&quot;Kim&quot;,&quot;given&quot;:&quot;Miso&quot;},{&quot;family&quot;:&quot;Keam&quot;,&quot;given&quot;:&quot;Bhumsuk&quot;},{&quot;family&quot;:&quot;Kim&quot;,&quot;given&quot;:&quot;Tae Min&quot;},{&quot;family&quot;:&quot;Kim&quot;,&quot;given&quot;:&quot;Dong-Wan&quot;},{&quot;family&quot;:&quot;Heo&quot;,&quot;given&quot;:&quot;Dae Seog&quot;},{&quot;family&quot;:&quot;Lee&quot;,&quot;given&quot;:&quot;Jong Seok&quot;}],&quot;title&quot;:&quot;Post-treatment neutrophil-to-lymphocyte ratio at week 6 is prognostic in patients with advanced non-small cell lung cancers treated with anti-PD-1 antibody&quot;,&quot;ISSN&quot;:&quot;0340-7004&quot;,&quot;DOI&quot;:&quot;10.1007/s00262-017-2092-x&quot;,&quot;PMID&quot;:&quot;29204702&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issued&quot;:{&quot;year&quot;:2018},&quot;page&quot;:&quot;459-470&quot;,&quot;issue&quot;:&quot;3&quot;,&quot;volume&quot;:&quot;67&quot;,&quot;journalAbbreviation&quot;:&quot;Cancer Immunol Immunother&quot;,&quot;container-title&quot;:&quot;Cancer Immunology, Immunotherapy&quot;,&quot;id&quot;:&quot;5a9c62ed-44a8-4331-83ec-3f632496e141&quot;,&quot;page-first&quot;:&quot;459&quot;,&quot;container-title-short&quot;:&quot;Cancer Immunol Immunother&quot;}},{&quot;id&quot;:&quot;c241c548-487b-40a1-aa73-68886a980ff5&quot;,&quot;article&quot;:{&quot;journal_abbrev&quot;:&quot;Clin Lung Cancer&quot;,&quot;pagination&quot;:&quot;426-434.e1&quot;,&quot;authors&quot;:[&quot;Alona Zer&quot;,&quot;Mike R. Sung&quot;,&quot;Preet Walia&quot;,&quot;Leila Khoja&quot;,&quot;Manjula Maganti&quot;,&quot;Catherine Labbe&quot;,&quot;Frances A. Shepherd&quot;,&quot;Penelope A. Bradbury&quot;,&quot;Ronald Feld&quot;,&quot;Geoffrey Liu&quot;,&quot;Melissa Iazzi&quot;,&quot;Dianne Zawisza&quot;,&quot;Nazanin Nouriany&quot;,&quot;Natasha B. Leighl&quot;],&quot;publisher&quot;:&quot;&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year&quot;:2018,&quot;chapter&quot;:&quot;&quot;,&quot;journal&quot;:&quot;&quot;,&quot;volume&quot;:&quot;9(5)&quot;,&quot;title&quot;:&quot;Correlation of Neutrophil to Lymphocyte Ratio and Absolute Neutrophil Count With Outcomes With PD-1 Axis Inhibitors in Patients With Advanced Non-Small-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pmid&quot;:&quot;29803574&quot;,&quot;doi&quot;:&quot;10.1016/j.cllc.2018.04.008&quot;},&quot;user_data&quot;:{&quot;created&quot;:&quot;2020-05-18T21:38:17Z&quot;,&quot;modified&quot;:&quot;2020-05-18T21:49:04Z&quot;,&quot;createdby&quot;:&quot;webapp 4.3.1&quot;,&quot;modifiedby&quot;:&quot;webapp 4.3.1&quot;,&quot;has_annotations&quot;:false,&quot;unread&quot;:true,&quot;last_read&quot;:null},&quot;checked&quot;:false}]"/>
    <we:property name="1722862594" value="[{&quot;id&quot;:&quot;9e289965-a50f-4772-ad7a-30de951313ed&quot;,&quot;article&quot;:{&quot;journal_abbrev&quot;:&quot;JAMA Oncol&quot;,&quot;pagination&quot;:&quot;&quot;,&quot;authors&quot;:[&quot;Laura Mezquita&quot;,&quot;Edouard Auclin&quot;,&quot;Roberto Ferrara&quot;,&quot;Melinda Charrier&quot;,&quot;Jordi Remon&quot;,&quot;David Planchard&quot;,&quot;Santiago Ponce&quot;,&quot;Luis Paz Ares&quot;,&quot;Laura Leroy&quot;,&quot;Clarisse Audigier-Valette&quot;,&quot;Enriqueta Felip&quot;,&quot;Jorge Zerón-Medina&quot;,&quot;Pilar Garrido&quot;,&quot;Solenn Brosseau&quot;,&quot;Gérard Zalcman&quot;,&quot;Julien Mazieres&quot;,&quot;Caroline Caramela&quot;,&quot;Jihene Lahmar&quot;,&quot;Julien Adam&quot;,&quot;Nathalie Chaput&quot;,&quot;Jean Charles Soria&quot;,&quot;Benjamin Besse&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name&quot;:&quot;Association of the Lung Immune Prognostic Index With Immune Checkpoint Inhibitor Outcomes in Patients With Advanced Non–Small Cell Lung Cancer.pdf&quot;,&quot;size&quot;:312269,&quot;type&quot;:&quot;article&quot;,&quot;pages&quot;:21,&quot;sha256&quot;:&quot;7be9f86a8729eeb35eebf5491fe55ab28d7f578aeeb2fc660846a4146e78ffe9&quot;,&quot;created&quot;:&quot;2020-05-15T16:49:16Z&quot;,&quot;file_type&quot;:&quot;pdf&quot;,&quot;access_method&quot;:&quot;personal_library&quot;,&quot;pdf_text_url&quot;:&quot;https://s3.amazonaws.com/objects.readcube.com/prerendered/7be9f86a8729eeb35eebf5491fe55ab28d7f578aeeb2fc660846a4146e78ffe9/pdftext.txt?X-Amz-Algorithm=AWS4-HMAC-SHA256&amp;X-Amz-Credential=AKIAJAWZ5L6BMTSOH3EA%2F20200518%2Fus-east-1%2Fs3%2Faws4_request&amp;X-Amz-Date=20200518T213036Z&amp;X-Amz-Expires=86400&amp;X-Amz-SignedHeaders=host&amp;X-Amz-Signature=990eb945f141e37f1bbf4a1bffd92f5df6dabd13c9b4e60b4c0b6c6799982f08&quot;}],&quot;ext_ids&quot;:{&quot;pmid&quot;:&quot;29327044&quot;,&quot;doi&quot;:&quot;10.1001/jamaoncol.2017.4771&quot;},&quot;user_data&quot;:{&quot;created&quot;:&quot;2020-05-15T16:42:17Z&quot;,&quot;modified&quot;:&quot;2020-05-15T17:01:40Z&quot;,&quot;createdby&quot;:&quot;webapp 4.3.1&quot;,&quot;last_read&quot;:&quot;2020-05-15T16:52:09Z&quot;,&quot;modifiedby&quot;:&quot;webapp 4.3.1&quot;,&quot;view_count&quot;:3,&quot;has_annotations&quot;:false,&quot;unread&quot;:false},&quot;checked&quot;:false,&quot;atIndex&quot;:45,&quot;item&quot;:{&quot;type&quot;:&quot;article-journal&quot;,&quot;author&quot;:[{&quot;family&quot;:&quot;Mezquita&quot;,&quot;given&quot;:&quot;Laura&quot;},{&quot;family&quot;:&quot;Auclin&quot;,&quot;given&quot;:&quot;Edouard&quot;},{&quot;family&quot;:&quot;Ferrara&quot;,&quot;given&quot;:&quot;Roberto&quot;},{&quot;family&quot;:&quot;Charrier&quot;,&quot;given&quot;:&quot;Melinda&quot;},{&quot;family&quot;:&quot;Remon&quot;,&quot;given&quot;:&quot;Jordi&quot;},{&quot;family&quot;:&quot;Planchard&quot;,&quot;given&quot;:&quot;David&quot;},{&quot;family&quot;:&quot;Ponce&quot;,&quot;given&quot;:&quot;Santiago&quot;},{&quot;family&quot;:&quot;Ares&quot;,&quot;given&quot;:&quot;Luis Paz&quot;},{&quot;family&quot;:&quot;Leroy&quot;,&quot;given&quot;:&quot;Laura&quot;},{&quot;family&quot;:&quot;Audigier-Valette&quot;,&quot;given&quot;:&quot;Clarisse&quot;},{&quot;family&quot;:&quot;Felip&quot;,&quot;given&quot;:&quot;Enriqueta&quot;},{&quot;family&quot;:&quot;Zerón-Medina&quot;,&quot;given&quot;:&quot;Jorge&quot;},{&quot;family&quot;:&quot;Garrido&quot;,&quot;given&quot;:&quot;Pilar&quot;},{&quot;family&quot;:&quot;Brosseau&quot;,&quot;given&quot;:&quot;Solenn&quot;},{&quot;family&quot;:&quot;Zalcman&quot;,&quot;given&quot;:&quot;Gérard&quot;},{&quot;family&quot;:&quot;Mazieres&quot;,&quot;given&quot;:&quot;Julien&quot;},{&quot;family&quot;:&quot;Caramela&quot;,&quot;given&quot;:&quot;Caroline&quot;},{&quot;family&quot;:&quot;Lahmar&quot;,&quot;given&quot;:&quot;Jihene&quot;},{&quot;family&quot;:&quot;Adam&quot;,&quot;given&quot;:&quot;Julien&quot;},{&quot;family&quot;:&quot;Chaput&quot;,&quot;given&quot;:&quot;Nathalie&quot;},{&quot;family&quot;:&quot;Soria&quot;,&quot;given&quot;:&quot;Jean Charles&quot;},{&quot;family&quot;:&quot;Besse&quot;,&quot;given&quot;:&quot;Benjamin&quot;}],&quot;title&quot;:&quot;Association of the Lung Immune Prognostic Index With Immune Checkpoint Inhibitor Outcomes in Patients With Advanced Non-Small Cell Lung Cancer&quot;,&quot;DOI&quot;:&quot;10.1001/jamaoncol.2017.4771&quot;,&quot;PMID&quot;:&quot;29327044&quot;,&quot;journalAbbreviation&quot;:&quot;JAMA Oncol&quot;,&quot;id&quot;:&quot;9e289965-a50f-4772-ad7a-30de951313ed&quot;,&quot;issued&quot;:{&quot;literal&quot;:&quot;n.d.&quot;},&quot;container-title-short&quot;:&quot;JAMA Oncol&quot;}}]"/>
    <we:property name="1943718555"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JAWZ5L6BMTSOH3EA%2F20200515%2Fus-east-1%2Fs3%2Faws4_request&amp;X-Amz-Date=20200515T153125Z&amp;X-Amz-Expires=86400&amp;X-Amz-SignedHeaders=host&amp;X-Amz-Signature=b5b0a14e051148c388120d947077191b1f8e5f1915ed3ee8636ba5b18630c628&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JAWZ5L6BMTSOH3EA%2F20200515%2Fus-east-1%2Fs3%2Faws4_request&amp;X-Amz-Date=20200515T153125Z&amp;X-Amz-Expires=86400&amp;X-Amz-SignedHeaders=host&amp;X-Amz-Signature=d4a7d0edb1fe6fc67c314ea272e600e5844000fa3ee6fdbb8acf28236d754c94&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0,&quot;item&quot;:{&quot;type&quot;:&quot;article-journal&quot;,&quot;author&quot;:[{&quot;family&quot;:&quot;Suh&quot;,&quot;given&quot;:&quot;Koung Jin&quot;},{&quot;family&quot;:&quot;Kim&quot;,&quot;given&quot;:&quot;Se Hyun&quot;},{&quot;family&quot;:&quot;Kim&quot;,&quot;given&quot;:&quot;Yu Jung&quot;},{&quot;family&quot;:&quot;Kim&quot;,&quot;given&quot;:&quot;Miso&quot;},{&quot;family&quot;:&quot;Keam&quot;,&quot;given&quot;:&quot;Bhumsuk&quot;},{&quot;family&quot;:&quot;Kim&quot;,&quot;given&quot;:&quot;Tae Min&quot;},{&quot;family&quot;:&quot;Kim&quot;,&quot;given&quot;:&quot;Dong-Wan&quot;},{&quot;family&quot;:&quot;Heo&quot;,&quot;given&quot;:&quot;Dae Seog&quot;},{&quot;family&quot;:&quot;Lee&quot;,&quot;given&quot;:&quot;Jong Seok&quot;}],&quot;title&quot;:&quot;Post-treatment neutrophil-to-lymphocyte ratio at week 6 is prognostic in patients with advanced non-small cell lung cancers treated with anti-PD-1 antibody&quot;,&quot;ISSN&quot;:&quot;0340-7004&quot;,&quot;DOI&quot;:&quot;10.1007/s00262-017-2092-x&quot;,&quot;PMID&quot;:&quot;29204702&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issued&quot;:{&quot;year&quot;:2018},&quot;page&quot;:&quot;459-470&quot;,&quot;issue&quot;:&quot;3&quot;,&quot;volume&quot;:&quot;67&quot;,&quot;journalAbbreviation&quot;:&quot;Cancer Immunol Immunother&quot;,&quot;container-title&quot;:&quot;Cancer Immunology, Immunotherapy&quot;,&quot;id&quot;:&quot;5a9c62ed-44a8-4331-83ec-3f632496e141&quot;,&quot;page-first&quot;:&quot;459&quot;,&quot;container-title-short&quot;:&quot;Cancer Immunol Immunother&quot;}}]"/>
    <we:property name="-962722901" value="[{&quot;id&quot;:&quot;9d8fab2e-1689-4fb0-bf56-20807cf4d291&quot;,&quot;article&quot;:{&quot;journal_abbrev&quot;:&quot;Clin Lung Cancer&quot;,&quot;pagination&quot;:&quot;280-288.e4&quot;,&quot;authors&quot;:[&quot;Wungki Park&quot;,&quot;Deukwoo Kwon&quot;,&quot;Diana Saravia&quot;,&quot;Amrita Desai&quot;,&quot;Fernando Vargas&quot;,&quot;Mohamed El Dinali&quot;,&quot;Jessica Warsch&quot;,&quot;Roy Elias&quot;,&quot;Young Kwang Chae&quot;,&quot;Dae Won Kim&quot;,&quot;Sean Warsch&quot;,&quot;Adrian Ishkanian&quot;,&quot;Chukwuemeka Ikpeazu&quot;,&quot;Raja Mudad&quot;,&quot;Gilberto Lopes&quot;,&quot;Mohammad Jahanzeb&quot;],&quot;publisher&quot;:&quot;&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year&quot;:2017,&quot;chapter&quot;:&quot;&quot;,&quot;journal&quot;:&quot;Clinical Lung Cancer&quot;,&quot;volume&quot;:&quot;19&quot;,&quot;title&quot;:&quot;Developing a Predictive Model for Clinical Outcomes of Advanced Non-Small Cell Lung Cancer Patients Treated With Nivolumab&quot;,&quot;issue&quot;:&quot;3&quot;,&quot;issn&quot;:&quot;1525-7304&quot;,&quot;isbn&quot;:&quot;&quot;,&quot;url&quot;:&quot;https://www.sciencedirect.com/science/article/pii/S1525730417303467&quot;},&quot;collection_group_id&quot;:&quot;&quot;,&quot;collection_id&quot;:&quot;4e0192db-b678-400e-ba1d-e378d3262964&quot;,&quot;item_type&quot;:&quot;article&quot;,&quot;deleted&quot;:false,&quot;files&quot;:[{&quot;name&quot;:&quot;NLR iSEND CLC 2018.pdf&quot;,&quot;size&quot;:1166377,&quot;type&quot;:&quot;article&quot;,&quot;pages&quot;:13,&quot;sha256&quot;:&quot;60b81c05aa2da3999523667e48c4e780a2f1431444f3be13260d91820be9077c&quot;,&quot;created&quot;:&quot;2020-05-15T14:32:23Z&quot;,&quot;file_type&quot;:&quot;pdf&quot;,&quot;access_method&quot;:&quot;personal_library&quot;,&quot;pdf_text_url&quot;:&quot;https://s3.amazonaws.com/objects.readcube.com/prerendered/60b81c05aa2da3999523667e48c4e780a2f1431444f3be13260d91820be9077c/pdftext.txt?X-Amz-Algorithm=AWS4-HMAC-SHA256&amp;X-Amz-Credential=AKIAJAWZ5L6BMTSOH3EA%2F20200515%2Fus-east-1%2Fs3%2Faws4_request&amp;X-Amz-Date=20200515T172358Z&amp;X-Amz-Expires=86400&amp;X-Amz-SignedHeaders=host&amp;X-Amz-Signature=0a67ca51e38a362e151f94824a1a4dcb97948ceb543dc1397ad97f6077aa5967&quot;}],&quot;ext_ids&quot;:{&quot;pmid&quot;:&quot;29336998&quot;,&quot;doi&quot;:&quot;10.1016/j.cllc.2017.12.007&quot;},&quot;user_data&quot;:{&quot;created&quot;:&quot;2020-05-15T14:32:23Z&quot;,&quot;modified&quot;:&quot;2020-05-15T17:14:45Z&quot;,&quot;createdby&quot;:&quot;webapp 4.3.1&quot;,&quot;last_read&quot;:&quot;2020-05-15T17:14:45Z&quot;,&quot;modifiedby&quot;:&quot;web_reader 13.0.3&quot;,&quot;view_count&quot;:1,&quot;has_annotations&quot;:false,&quot;unread&quot;:false},&quot;checked&quot;:false,&quot;atIndex&quot;:15,&quot;item&quot;:{&quot;type&quot;:&quot;article-journal&quot;,&quot;author&quot;:[{&quot;family&quot;:&quot;Park&quot;,&quot;given&quot;:&quot;Wungki&quot;},{&quot;family&quot;:&quot;Kwon&quot;,&quot;given&quot;:&quot;Deukwoo&quot;},{&quot;family&quot;:&quot;Saravia&quot;,&quot;given&quot;:&quot;Diana&quot;},{&quot;family&quot;:&quot;Desai&quot;,&quot;given&quot;:&quot;Amrita&quot;},{&quot;family&quot;:&quot;Vargas&quot;,&quot;given&quot;:&quot;Fernando&quot;},{&quot;family&quot;:&quot;Dinali&quot;,&quot;given&quot;:&quot;Mohamed El&quot;},{&quot;family&quot;:&quot;Warsch&quot;,&quot;given&quot;:&quot;Jessica&quot;},{&quot;family&quot;:&quot;Elias&quot;,&quot;given&quot;:&quot;Roy&quot;},{&quot;family&quot;:&quot;Chae&quot;,&quot;given&quot;:&quot;Young Kwang&quot;},{&quot;family&quot;:&quot;Kim&quot;,&quot;given&quot;:&quot;Dae Won&quot;},{&quot;family&quot;:&quot;Warsch&quot;,&quot;given&quot;:&quot;Sean&quot;},{&quot;family&quot;:&quot;Ishkanian&quot;,&quot;given&quot;:&quot;Adrian&quot;},{&quot;family&quot;:&quot;Ikpeazu&quot;,&quot;given&quot;:&quot;Chukwuemeka&quot;},{&quot;family&quot;:&quot;Mudad&quot;,&quot;given&quot;:&quot;Raja&quot;},{&quot;family&quot;:&quot;Lopes&quot;,&quot;given&quot;:&quot;Gilberto&quot;},{&quot;family&quot;:&quot;Jahanzeb&quot;,&quot;given&quot;:&quot;Mohammad&quot;}],&quot;title&quot;:&quot;Developing a Predictive Model for Clinical Outcomes of Advanced Non-Small Cell Lung Cancer Patients Treated With Nivolumab&quot;,&quot;ISSN&quot;:&quot;1525-7304&quot;,&quot;DOI&quot;:&quot;10.1016/j.cllc.2017.12.007&quot;,&quot;PMID&quot;:&quot;29336998&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issued&quot;:{&quot;year&quot;:2017},&quot;page&quot;:&quot;280-288.e4&quot;,&quot;issue&quot;:&quot;3&quot;,&quot;volume&quot;:&quot;19&quot;,&quot;journalAbbreviation&quot;:&quot;Clin Lung Cancer&quot;,&quot;container-title&quot;:&quot;Clinical Lung Cancer&quot;,&quot;id&quot;:&quot;9d8fab2e-1689-4fb0-bf56-20807cf4d291&quot;,&quot;page-first&quot;:&quot;280&quot;,&quot;container-title-short&quot;:&quot;Clin Lung Cancer&quot;}}]"/>
    <we:property name="-2088769015" value="[{&quot;id&quot;:&quot;1776ab4e-9167-4d24-a331-b472d63b2ebb&quot;,&quot;article&quot;:{&quot;journal_abbrev&quot;:&quot;Thorac Cancer&quot;,&quot;pagination&quot;:&quot;1291-1299&quot;,&quot;authors&quot;:[&quot;Takayuki Takeda&quot;,&quot;Mayumi Takeuchi&quot;,&quot;Masahiko Saitoh&quot;,&quot;Sorou Takeda&quot;],&quot;publisher&quot;:&quot;&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year&quot;:2018,&quot;chapter&quot;:&quot;&quot;,&quot;journal&quot;:&quot;Thoracic Cancer&quot;,&quot;volume&quot;:&quot;9&quot;,&quot;title&quot;:&quot;Neutrophil-to-lymphocyte ratio after four weeks of nivolumab administration as a predictive marker in patients with pretreated non-small-cell lung cancer&quot;,&quot;issue&quot;:&quot;10&quot;,&quot;issn&quot;:&quot;1759-7706&quot;,&quot;isbn&quot;:&quot;&quot;,&quot;url&quot;:&quot;http://doi.wiley.com/10.1111/1759-7714.12838&quot;},&quot;collection_group_id&quot;:&quot;&quot;,&quot;collection_id&quot;:&quot;4e0192db-b678-400e-ba1d-e378d3262964&quot;,&quot;item_type&quot;:&quot;article&quot;,&quot;deleted&quot;:false,&quot;files&quot;:[{&quot;name&quot;:&quot;Neutrophil‐to‐lymphocyte ratio after four weeks of nivolumab administration as a predictive marker in patients with pretreated non‐small‐cell lung cancer.pdf&quot;,&quot;size&quot;:244419,&quot;type&quot;:&quot;article&quot;,&quot;pages&quot;:9,&quot;sha256&quot;:&quot;8e33e0c23535c849e1478a0600bbca7cb4ede9ea97c6d3c444ea1ac26437b9db&quot;,&quot;created&quot;:&quot;2020-05-15T16:21:54Z&quot;,&quot;file_type&quot;:&quot;pdf&quot;,&quot;access_method&quot;:&quot;open_access&quot;,&quot;pdf_text_url&quot;:&quot;https://s3.amazonaws.com/objects.readcube.com/prerendered/8e33e0c23535c849e1478a0600bbca7cb4ede9ea97c6d3c444ea1ac26437b9db/pdftext.txt?X-Amz-Algorithm=AWS4-HMAC-SHA256&amp;X-Amz-Credential=AKIAJAWZ5L6BMTSOH3EA%2F20200515%2Fus-east-1%2Fs3%2Faws4_request&amp;X-Amz-Date=20200515T162154Z&amp;X-Amz-Expires=86400&amp;X-Amz-SignedHeaders=host&amp;X-Amz-Signature=7beb8049600e1222d9c9251d4514d75e060843fc1ef7753ef3876659d9ae4b0b&quot;}],&quot;ext_ids&quot;:{&quot;pmid&quot;:&quot;30126063&quot;,&quot;doi&quot;:&quot;10.1111/1759-7714.12838&quot;},&quot;user_data&quot;:{&quot;created&quot;:&quot;2020-05-15T14:59:05Z&quot;,&quot;modified&quot;:&quot;2020-05-15T16:21:54Z&quot;,&quot;createdby&quot;:&quot;webapp 4.3.1&quot;,&quot;modifiedby&quot;:&quot;smartcite_word 1.11.0&quot;,&quot;annotations&quot;:[],&quot;unread&quot;:true,&quot;last_read&quot;:null},&quot;atIndex&quot;:5,&quot;item&quot;:{&quot;type&quot;:&quot;article-journal&quot;,&quot;author&quot;:[{&quot;family&quot;:&quot;Takeda&quot;,&quot;given&quot;:&quot;Takayuki&quot;},{&quot;family&quot;:&quot;Takeuchi&quot;,&quot;given&quot;:&quot;Mayumi&quot;},{&quot;family&quot;:&quot;Saitoh&quot;,&quot;given&quot;:&quot;Masahiko&quot;},{&quot;family&quot;:&quot;Takeda&quot;,&quot;given&quot;:&quot;Sorou&quot;}],&quot;title&quot;:&quot;Neutrophil-to-lymphocyte ratio after four weeks of nivolumab administration as a predictive marker in patients with pretreated non-small-cell lung cancer&quot;,&quot;ISSN&quot;:&quot;1759-7706&quot;,&quot;DOI&quot;:&quot;10.1111/1759-7714.12838&quot;,&quot;PMID&quot;:&quot;30126063&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issued&quot;:{&quot;year&quot;:2018},&quot;page&quot;:&quot;1291-1299&quot;,&quot;issue&quot;:&quot;10&quot;,&quot;volume&quot;:&quot;9&quot;,&quot;journalAbbreviation&quot;:&quot;Thorac Cancer&quot;,&quot;container-title&quot;:&quot;Thoracic Cancer&quot;,&quot;id&quot;:&quot;1776ab4e-9167-4d24-a331-b472d63b2ebb&quot;,&quot;page-first&quot;:&quot;1291&quot;,&quot;container-title-short&quot;:&quot;Thorac Cancer&quot;}}]"/>
    <we:property name="-1110499119" value="[{&quot;id&quot;:&quot;4bcedbf1-5f74-41ce-b4c8-ce8989f67338&quot;,&quot;article&quot;:{&quot;journal_abbrev&quot;:&quot;J Clin Lab Anal&quot;,&quot;pagination&quot;:&quot;&quot;,&quot;authors&quot;:[&quot;Jingjing Liu&quot;,&quot;Shuang Li&quot;,&quot;Shuang Zhang&quot;,&quot;Ying Liu&quot;,&quot;Lixia Ma&quot;,&quot;Jing Zhu&quot;,&quot;Ying Xin&quot;,&quot;Ying Wang&quot;,&quot;Changliang Yang&quot;,&quot;Ying Cheng&quot;],&quot;publisher&quot;:&quot;&quot;,&quot;abstract&quot;:&quot;Explore markers to predict the clinical outcomes of checkpoint inhibitors have high unmet needs. The following study investigates whether hematologic parameter such as systemic immune‐inflammation index (SII), neutrophil‐to‐lymphocyte ratio (NLR), platelet‐to‐lymphocyte ratio (PLR) is associated with nivolumab efficacy in advanced non‐small‐cell lung cancer (NSCLC). Advanced/metastatic NSCLC patients treated with nivolumab monotherapy for second‐line or further‐line treatment at Jilin Cancer Hospital between March 2016 and July 2018 were enrolled in this retrospective study. The optimal cutoff values of SII, NLR, and PLR for predicting efficacy and prognosis were determined according to receiver operating characteristic (ROC) curve and the areas under the ROC curve. Progression‐free survival (PFS) and overall survival (OS) were calculated and compared using Kaplan‐Meier method and log‐rank test. Prognostic values of each variable were evaluated with univariate and multivariate Cox proportional hazard regression (PHR) analyses. A total of 44 patients with advanced NSCLC were included; the median age was 60 (range: 43‐74). The optimal cutoff value of SII/NLR/PLR predicted PFS and OS was 603.5, 3.07, and 144. Low SII, NLR, and PLR were associated with longer PFS (HR for SII = 0.34, 95%CI 0.15‐0.76, P = 0.006; HR for NLR = 0.46, 95%CI 0.22‐0.99, P = 0.048; HR for PLR = 0.39, 95%CI 0.17‐0.94, P = 0.025) and OS (HR for SII = 0.16, 95%CI 0.05‐0.51, P = 0.005; HR for NLR = 0.20, 95%CI 0.06‐0.62, P = 0.002; HR for PLR = 0.20, 95%CI 0.06‐0.73, P = 0.008). NLR ≤ 3.07, PLR ≤ 144, SII ≤ 603.5 were independently associated with longer PFS and OS. The SII, NLR, and PLR are promising prognostic predictor for patients with metastatic NSCLC patients.&quot;,&quot;year&quot;:2019,&quot;chapter&quot;:&quot;&quot;,&quot;journal&quot;:&quot;Journal of Clinical Laboratory Analysis&quot;,&quot;volume&quot;:&quot;33&quot;,&quot;title&quot;:&quot;Systemic immune‐inflammation index, neutrophil‐to‐lymphocyte ratio, platelet‐to‐lymphocyte ratio can predict clinical outcomes in patients with metastatic non‐small‐cell lung cancer treated with nivolumab&quot;,&quot;issue&quot;:&quot;8&quot;,&quot;issn&quot;:&quot;0887-8013&quot;,&quot;isbn&quot;:&quot;&quot;,&quot;url&quot;:&quot;https://onlinelibrary.wiley.com/doi/abs/10.1002/jcla.22964&quot;},&quot;collection_group_id&quot;:&quot;&quot;,&quot;collection_id&quot;:&quot;4e0192db-b678-400e-ba1d-e378d3262964&quot;,&quot;item_type&quot;:&quot;article&quot;,&quot;deleted&quot;:false,&quot;files&quot;:[{&quot;name&quot;:&quot;IO_NLR_Chinese.pdf&quot;,&quot;size&quot;:493495,&quot;type&quot;:&quot;article&quot;,&quot;pages&quot;:8,&quot;sha256&quot;:&quot;d729a6d039692a9f5658d813eb86eafb184438e8bc69730635d8f441d8112fe8&quot;,&quot;created&quot;:&quot;2020-05-18T17:45:26Z&quot;,&quot;file_type&quot;:&quot;pdf&quot;,&quot;access_method&quot;:&quot;personal_library&quot;,&quot;pdf_text_url&quot;:&quot;https://s3.amazonaws.com/objects.readcube.com/prerendered/d729a6d039692a9f5658d813eb86eafb184438e8bc69730635d8f441d8112fe8/pdftext.txt?X-Amz-Algorithm=AWS4-HMAC-SHA256&amp;X-Amz-Credential=AKIAJAWZ5L6BMTSOH3EA%2F20200518%2Fus-east-1%2Fs3%2Faws4_request&amp;X-Amz-Date=20200518T174831Z&amp;X-Amz-Expires=86400&amp;X-Amz-SignedHeaders=host&amp;X-Amz-Signature=8fd0defa130a5edee9650e606ce44afc24e5cc61cf9bcf2338c30f5eedbfe213&quot;}],&quot;ext_ids&quot;:{&quot;pmid&quot;:&quot;31282096&quot;,&quot;doi&quot;:&quot;10.1002/jcla.22964&quot;},&quot;user_data&quot;:{&quot;created&quot;:&quot;2020-05-18T17:45:26Z&quot;,&quot;modified&quot;:&quot;2020-05-18T17:45:26Z&quot;,&quot;createdby&quot;:&quot;webapp 4.3.1&quot;,&quot;modifiedby&quot;:&quot;webapp 4.3.1&quot;,&quot;has_annotations&quot;:false,&quot;unread&quot;:true,&quot;last_read&quot;:null},&quot;checked&quot;:false,&quot;atIndex&quot;:27,&quot;item&quot;:{&quot;type&quot;:&quot;article-journal&quot;,&quot;author&quot;:[{&quot;family&quot;:&quot;Liu&quot;,&quot;given&quot;:&quot;Jingjing&quot;},{&quot;family&quot;:&quot;Li&quot;,&quot;given&quot;:&quot;Shuang&quot;},{&quot;family&quot;:&quot;Zhang&quot;,&quot;given&quot;:&quot;Shuang&quot;},{&quot;family&quot;:&quot;Liu&quot;,&quot;given&quot;:&quot;Ying&quot;},{&quot;family&quot;:&quot;Ma&quot;,&quot;given&quot;:&quot;Lixia&quot;},{&quot;family&quot;:&quot;Zhu&quot;,&quot;given&quot;:&quot;Jing&quot;},{&quot;family&quot;:&quot;Xin&quot;,&quot;given&quot;:&quot;Ying&quot;},{&quot;family&quot;:&quot;Wang&quot;,&quot;given&quot;:&quot;Ying&quot;},{&quot;family&quot;:&quot;Yang&quot;,&quot;given&quot;:&quot;Changliang&quot;},{&quot;family&quot;:&quot;Cheng&quot;,&quot;given&quot;:&quot;Ying&quot;}],&quot;title&quot;:&quot;Systemic immune‐inflammation index, neutrophil‐to‐lymphocyte ratio, platelet‐to‐lymphocyte ratio can predict clinical outcomes in patients with metastatic non‐small‐cell lung cancer treated with nivolumab&quot;,&quot;ISSN&quot;:&quot;0887-8013&quot;,&quot;DOI&quot;:&quot;10.1002/jcla.22964&quot;,&quot;PMID&quot;:&quot;31282096&quot;,&quot;abstract&quot;:&quot;Explore markers to predict the clinical outcomes of checkpoint inhibitors have high unmet needs. The following study investigates whether hematologic parameter such as systemic immune‐inflammation index (SII), neutrophil‐to‐lymphocyte ratio (NLR), platelet‐to‐lymphocyte ratio (PLR) is associated with nivolumab efficacy in advanced non‐small‐cell lung cancer (NSCLC). Advanced/metastatic NSCLC patients treated with nivolumab monotherapy for second‐line or further‐line treatment at Jilin Cancer Hospital between March 2016 and July 2018 were enrolled in this retrospective study. The optimal cutoff values of SII, NLR, and PLR for predicting efficacy and prognosis were determined according to receiver operating characteristic (ROC) curve and the areas under the ROC curve. Progression‐free survival (PFS) and overall survival (OS) were calculated and compared using Kaplan‐Meier method and log‐rank test. Prognostic values of each variable were evaluated with univariate and multivariate Cox proportional hazard regression (PHR) analyses. A total of 44 patients with advanced NSCLC were included; the median age was 60 (range: 43‐74). The optimal cutoff value of SII/NLR/PLR predicted PFS and OS was 603.5, 3.07, and 144. Low SII, NLR, and PLR were associated with longer PFS (HR for SII = 0.34, 95%CI 0.15‐0.76, P = 0.006; HR for NLR = 0.46, 95%CI 0.22‐0.99, P = 0.048; HR for PLR = 0.39, 95%CI 0.17‐0.94, P = 0.025) and OS (HR for SII = 0.16, 95%CI 0.05‐0.51, P = 0.005; HR for NLR = 0.20, 95%CI 0.06‐0.62, P = 0.002; HR for PLR = 0.20, 95%CI 0.06‐0.73, P = 0.008). NLR ≤ 3.07, PLR ≤ 144, SII ≤ 603.5 were independently associated with longer PFS and OS. The SII, NLR, and PLR are promising prognostic predictor for patients with metastatic NSCLC patients.&quot;,&quot;issued&quot;:{&quot;year&quot;:2019},&quot;issue&quot;:&quot;8&quot;,&quot;volume&quot;:&quot;33&quot;,&quot;journalAbbreviation&quot;:&quot;J Clin Lab Anal&quot;,&quot;container-title&quot;:&quot;Journal of Clinical Laboratory Analysis&quot;,&quot;id&quot;:&quot;4bcedbf1-5f74-41ce-b4c8-ce8989f67338&quot;,&quot;container-title-short&quot;:&quot;J Clin Lab Anal&quot;}}]"/>
    <we:property name="-1255430953" value="[{&quot;id&quot;:&quot;c241c548-487b-40a1-aa73-68886a980ff5&quot;,&quot;article&quot;:{&quot;journal_abbrev&quot;:&quot;Clin Lung Cancer&quot;,&quot;pagination&quot;:&quot;426-434.e1&quot;,&quot;authors&quot;:[&quot;Alona Zer&quot;,&quot;Mike R. Sung&quot;,&quot;Preet Walia&quot;,&quot;Leila Khoja&quot;,&quot;Manjula Maganti&quot;,&quot;Catherine Labbe&quot;,&quot;Frances A. Shepherd&quot;,&quot;Penelope A. Bradbury&quot;,&quot;Ronald Feld&quot;,&quot;Geoffrey Liu&quot;,&quot;Melissa Iazzi&quot;,&quot;Dianne Zawisza&quot;,&quot;Nazanin Nouriany&quot;,&quot;Natasha B. Leighl&quot;],&quot;publisher&quot;:&quot;&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year&quot;:2018,&quot;chapter&quot;:&quot;&quot;,&quot;journal&quot;:&quot;&quot;,&quot;volume&quot;:&quot;9(5)&quot;,&quot;title&quot;:&quot;Correlation of Neutrophil to Lymphocyte Ratio and Absolute Neutrophil Count With Outcomes With PD-1 Axis Inhibitors in Patients With Advanced Non-Small-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pmid&quot;:&quot;29803574&quot;,&quot;doi&quot;:&quot;10.1016/j.cllc.2018.04.008&quot;},&quot;user_data&quot;:{&quot;created&quot;:&quot;2020-05-18T21:38:17Z&quot;,&quot;modified&quot;:&quot;2020-05-18T21:49:04Z&quot;,&quot;createdby&quot;:&quot;webapp 4.3.1&quot;,&quot;modifiedby&quot;:&quot;webapp 4.3.1&quot;,&quot;has_annotations&quot;:false,&quot;unread&quot;:true,&quot;last_read&quot;:null},&quot;checked&quot;:false,&quot;atIndex&quot;:47,&quot;item&quot;:{&quot;type&quot;:&quot;article-journal&quot;,&quot;author&quot;:[{&quot;family&quot;:&quot;Zer&quot;,&quot;given&quot;:&quot;Alona&quot;},{&quot;family&quot;:&quot;Sung&quot;,&quot;given&quot;:&quot;Mike R.&quot;},{&quot;family&quot;:&quot;Walia&quot;,&quot;given&quot;:&quot;Preet&quot;},{&quot;family&quot;:&quot;Khoja&quot;,&quot;given&quot;:&quot;Leila&quot;},{&quot;family&quot;:&quot;Maganti&quot;,&quot;given&quot;:&quot;Manjula&quot;},{&quot;family&quot;:&quot;Labbe&quot;,&quot;given&quot;:&quot;Catherine&quot;},{&quot;family&quot;:&quot;Shepherd&quot;,&quot;given&quot;:&quot;Frances A.&quot;},{&quot;family&quot;:&quot;Bradbury&quot;,&quot;given&quot;:&quot;Penelope A.&quot;},{&quot;family&quot;:&quot;Feld&quot;,&quot;given&quot;:&quot;Ronald&quot;},{&quot;family&quot;:&quot;Liu&quot;,&quot;given&quot;:&quot;Geoffrey&quot;},{&quot;family&quot;:&quot;Iazzi&quot;,&quot;given&quot;:&quot;Melissa&quot;},{&quot;family&quot;:&quot;Zawisza&quot;,&quot;given&quot;:&quot;Dianne&quot;},{&quot;family&quot;:&quot;Nouriany&quot;,&quot;given&quot;:&quot;Nazanin&quot;},{&quot;family&quot;:&quot;Leighl&quot;,&quot;given&quot;:&quot;Natasha B.&quot;}],&quot;title&quot;:&quot;Correlation of Neutrophil to Lymphocyte Ratio and Absolute Neutrophil Count With Outcomes With PD-1 Axis Inhibitors in Patients With Advanced Non-Small-Cell Lung Cancer.&quot;,&quot;DOI&quot;:&quot;10.1016/j.cllc.2018.04.008&quot;,&quot;PMID&quot;:&quot;29803574&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issued&quot;:{&quot;year&quot;:2018},&quot;page&quot;:&quot;426-434.e1&quot;,&quot;volume&quot;:&quot;9(5)&quot;,&quot;journalAbbreviation&quot;:&quot;Clin Lung Cancer&quot;,&quot;id&quot;:&quot;c241c548-487b-40a1-aa73-68886a980ff5&quot;,&quot;page-first&quot;:&quot;426&quot;,&quot;container-title-short&quot;:&quot;Clin Lung Cancer&quot;}}]"/>
    <we:property name="-1274395871" value="[{&quot;id&quot;:&quot;e47a5ee6-d018-4f55-adbf-505565541b0d&quot;,&quot;article&quot;:{&quot;journal_abbrev&quot;:&quot;Biomed Res Int&quot;,&quot;pagination&quot;:&quot;1-6&quot;,&quot;authors&quot;:[&quot;Xin Zhang&quot;,&quot;Fengmin Zhang&quot;,&quot;Wenbo Qiao&quot;,&quot;Xiansheng Zhang&quot;,&quot;Zhefeng Zhao&quot;,&quot;Mingqi Li&quot;],&quot;publisher&quot;:&quot;&quot;,&quot;abstract&quot;:&quot;Morbidity and mortality of lung cancer rank first in China and worldwide. Thus, noninvasive prognostic biomarkers are critical for clinicians to perform risk assessment in lung cancer patients prior to or during the course of treatment. In this study, we evaluated the prognostic value of preoperative hematocrit (HCT) count reduction on the long-term survival of lung cancer patients undergoing pneumonectomy and analyzed the correlation between reduced HCT counts and patients’ clinicopathological features. A total of 1022 patients who underwent surgical treatment in Harbin Medical University Cancer Hospital, China, from February 2006 to December 2013, were enrolled in this study. The association between the clinicopathologic variables and HCT were evaluated by Mann-Whitney U-test and chi-square test, respectively. Survival curves were generated using Kaplan-Meier estimates, and differences between the curves were analyzed by a log-rank test. Multivariable analysis showed that high HCT (P &lt; 0.001, HR: 0.595, 95% CI: 0.458–0.774) was favorable for patients’ survival. Low HCT patients presented shorter mean months of OS than that of high HCT patients (P &lt; 0.001). Male adenocarcinoma carcinoma patients with lower body mass index (BMI) and advanced tumor stage were more likely to observe low HCT. We identified for the first time reduced preoperative HCT count as an independent risk factor leading to poor prognosis in lung cancer patients who underwent surgical treatment.&quot;,&quot;year&quot;:2018,&quot;chapter&quot;:&quot;&quot;,&quot;journal&quot;:&quot;BioMed Research International&quot;,&quot;volume&quot;:&quot;2018&quot;,&quot;title&quot;:&quot;Low Hematocrit Is a Strong Predictor of Poor Prognosis in Lung Cancer Patients&quot;,&quot;issue&quot;:&quot;&quot;,&quot;issn&quot;:&quot;2314-6133&quot;,&quot;isbn&quot;:&quot;&quot;,&quot;url&quot;:&quot;http://www.hindawi.com/journals/bmri/2018/6804938&quot;},&quot;collection_group_id&quot;:&quot;&quot;,&quot;collection_id&quot;:&quot;4e0192db-b678-400e-ba1d-e378d3262964&quot;,&quot;item_type&quot;:&quot;article&quot;,&quot;deleted&quot;:false,&quot;files&quot;:[{&quot;name&quot;:&quot;Low_hcT_hemocrit_LC.pdf&quot;,&quot;size&quot;:1099278,&quot;type&quot;:&quot;article&quot;,&quot;pages&quot;:6,&quot;sha256&quot;:&quot;1c400140b60e7255f818380717d2cda67bbac8e2f83933a8997301da7169b19c&quot;,&quot;created&quot;:&quot;2020-06-05T20:19:47Z&quot;,&quot;user_id&quot;:&quot;4e0192db-b678-400e-ba1d-e378d3262964&quot;,&quot;file_type&quot;:&quot;pdf&quot;,&quot;access_method&quot;:&quot;personal_library&quot;,&quot;pdf_text_url&quot;:&quot;https://s3.amazonaws.com/objects.readcube.com/prerendered/1c400140b60e7255f818380717d2cda67bbac8e2f83933a8997301da7169b19c/pdftext.txt?X-Amz-Algorithm=AWS4-HMAC-SHA256&amp;X-Amz-Credential=AKIAJAWZ5L6BMTSOH3EA%2F20200605%2Fus-east-1%2Fs3%2Faws4_request&amp;X-Amz-Date=20200605T202039Z&amp;X-Amz-Expires=86400&amp;X-Amz-SignedHeaders=host&amp;X-Amz-Signature=284ce94f09a7571e052ee30afb5c8c0fa55462e6d2e9dd7f410a31fe18fa3bae&quot;}],&quot;ext_ids&quot;:{&quot;pmid&quot;:&quot;30417013&quot;,&quot;doi&quot;:&quot;10.1155/2018/6804938&quot;},&quot;user_data&quot;:{&quot;created&quot;:&quot;2020-06-05T20:19:47Z&quot;,&quot;modified&quot;:&quot;2020-06-05T20:19:47Z&quot;,&quot;createdby&quot;:&quot;webapp 4.3.1&quot;,&quot;modifiedby&quot;:&quot;webapp 4.3.1&quot;,&quot;has_annotations&quot;:false,&quot;unread&quot;:true,&quot;last_read&quot;:null},&quot;checked&quot;:false,&quot;atIndex&quot;:79,&quot;item&quot;:{&quot;type&quot;:&quot;article-journal&quot;,&quot;author&quot;:[{&quot;family&quot;:&quot;Zhang&quot;,&quot;given&quot;:&quot;Xin&quot;},{&quot;family&quot;:&quot;Zhang&quot;,&quot;given&quot;:&quot;Fengmin&quot;},{&quot;family&quot;:&quot;Qiao&quot;,&quot;given&quot;:&quot;Wenbo&quot;},{&quot;family&quot;:&quot;Zhang&quot;,&quot;given&quot;:&quot;Xiansheng&quot;},{&quot;family&quot;:&quot;Zhao&quot;,&quot;given&quot;:&quot;Zhefeng&quot;},{&quot;family&quot;:&quot;Li&quot;,&quot;given&quot;:&quot;Mingqi&quot;}],&quot;title&quot;:&quot;Low Hematocrit Is a Strong Predictor of Poor Prognosis in Lung Cancer Patients&quot;,&quot;ISSN&quot;:&quot;2314-6133&quot;,&quot;DOI&quot;:&quot;10.1155/2018/6804938&quot;,&quot;PMID&quot;:&quot;30417013&quot;,&quot;abstract&quot;:&quot;Morbidity and mortality of lung cancer rank first in China and worldwide. Thus, noninvasive prognostic biomarkers are critical for clinicians to perform risk assessment in lung cancer patients prior to or during the course of treatment. In this study, we evaluated the prognostic value of preoperative hematocrit (HCT) count reduction on the long-term survival of lung cancer patients undergoing pneumonectomy and analyzed the correlation between reduced HCT counts and patients’ clinicopathological features. A total of 1022 patients who underwent surgical treatment in Harbin Medical University Cancer Hospital, China, from February 2006 to December 2013, were enrolled in this study. The association between the clinicopathologic variables and HCT were evaluated by Mann-Whitney U-test and chi-square test, respectively. Survival curves were generated using Kaplan-Meier estimates, and differences between the curves were analyzed by a log-rank test. Multivariable analysis showed that high HCT (P &lt; 0.001, HR: 0.595, 95% CI: 0.458–0.774) was favorable for patients’ survival. Low HCT patients presented shorter mean months of OS than that of high HCT patients (P &lt; 0.001). Male adenocarcinoma carcinoma patients with lower body mass index (BMI) and advanced tumor stage were more likely to observe low HCT. We identified for the first time reduced preoperative HCT count as an independent risk factor leading to poor prognosis in lung cancer patients who underwent surgical treatment.&quot;,&quot;issued&quot;:{&quot;year&quot;:2018},&quot;page&quot;:&quot;1-6&quot;,&quot;volume&quot;:&quot;2018&quot;,&quot;journalAbbreviation&quot;:&quot;Biomed Res Int&quot;,&quot;container-title&quot;:&quot;BioMed Research International&quot;,&quot;id&quot;:&quot;e47a5ee6-d018-4f55-adbf-505565541b0d&quot;,&quot;page-first&quot;:&quot;1&quot;,&quot;container-title-short&quot;:&quot;Biomed Res Int&quot;}}]"/>
    <we:property name="-1341925284" value="[{&quot;id&quot;:&quot;1776ab4e-9167-4d24-a331-b472d63b2ebb&quot;,&quot;article&quot;:{&quot;journal_abbrev&quot;:&quot;Thorac Cancer&quot;,&quot;pagination&quot;:&quot;1291-1299&quot;,&quot;authors&quot;:[&quot;Takayuki Takeda&quot;,&quot;Mayumi Takeuchi&quot;,&quot;Masahiko Saitoh&quot;,&quot;Sorou Takeda&quot;],&quot;publisher&quot;:&quot;&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year&quot;:2018,&quot;chapter&quot;:&quot;&quot;,&quot;journal&quot;:&quot;Thoracic Cancer&quot;,&quot;volume&quot;:&quot;9&quot;,&quot;title&quot;:&quot;Neutrophil-to-lymphocyte ratio after four weeks of nivolumab administration as a predictive marker in patients with pretreated non-small-cell lung cancer&quot;,&quot;issue&quot;:&quot;10&quot;,&quot;issn&quot;:&quot;1759-7706&quot;,&quot;isbn&quot;:&quot;&quot;,&quot;url&quot;:&quot;http://doi.wiley.com/10.1111/1759-7714.12838&quot;},&quot;collection_group_id&quot;:&quot;&quot;,&quot;collection_id&quot;:&quot;4e0192db-b678-400e-ba1d-e378d3262964&quot;,&quot;item_type&quot;:&quot;article&quot;,&quot;deleted&quot;:false,&quot;files&quot;:[{&quot;name&quot;:&quot;Neutrophil‐to‐lymphocyte ratio after four weeks of nivolumab administration as a predictive marker in patients with pretreated non‐small‐cell lung cancer.pdf&quot;,&quot;size&quot;:244419,&quot;type&quot;:&quot;article&quot;,&quot;pages&quot;:9,&quot;sha256&quot;:&quot;8e33e0c23535c849e1478a0600bbca7cb4ede9ea97c6d3c444ea1ac26437b9db&quot;,&quot;created&quot;:&quot;2020-05-15T16:21:54Z&quot;,&quot;file_type&quot;:&quot;pdf&quot;,&quot;access_method&quot;:&quot;open_access&quot;,&quot;pdf_text_url&quot;:&quot;https://s3.amazonaws.com/objects.readcube.com/prerendered/8e33e0c23535c849e1478a0600bbca7cb4ede9ea97c6d3c444ea1ac26437b9db/pdftext.txt?X-Amz-Algorithm=AWS4-HMAC-SHA256&amp;X-Amz-Credential=AKIAJAWZ5L6BMTSOH3EA%2F20200515%2Fus-east-1%2Fs3%2Faws4_request&amp;X-Amz-Date=20200515T162154Z&amp;X-Amz-Expires=86400&amp;X-Amz-SignedHeaders=host&amp;X-Amz-Signature=7beb8049600e1222d9c9251d4514d75e060843fc1ef7753ef3876659d9ae4b0b&quot;}],&quot;ext_ids&quot;:{&quot;pmid&quot;:&quot;30126063&quot;,&quot;doi&quot;:&quot;10.1111/1759-7714.12838&quot;},&quot;user_data&quot;:{&quot;created&quot;:&quot;2020-05-15T14:59:05Z&quot;,&quot;modified&quot;:&quot;2020-05-15T16:21:54Z&quot;,&quot;createdby&quot;:&quot;webapp 4.3.1&quot;,&quot;modifiedby&quot;:&quot;smartcite_word 1.11.0&quot;,&quot;annotations&quot;:[],&quot;unread&quot;:true,&quot;last_read&quot;:null},&quot;atIndex&quot;:5,&quot;item&quot;:{&quot;type&quot;:&quot;article-journal&quot;,&quot;author&quot;:[{&quot;family&quot;:&quot;Takeda&quot;,&quot;given&quot;:&quot;Takayuki&quot;},{&quot;family&quot;:&quot;Takeuchi&quot;,&quot;given&quot;:&quot;Mayumi&quot;},{&quot;family&quot;:&quot;Saitoh&quot;,&quot;given&quot;:&quot;Masahiko&quot;},{&quot;family&quot;:&quot;Takeda&quot;,&quot;given&quot;:&quot;Sorou&quot;}],&quot;title&quot;:&quot;Neutrophil-to-lymphocyte ratio after four weeks of nivolumab administration as a predictive marker in patients with pretreated non-small-cell lung cancer&quot;,&quot;ISSN&quot;:&quot;1759-7706&quot;,&quot;DOI&quot;:&quot;10.1111/1759-7714.12838&quot;,&quot;PMID&quot;:&quot;30126063&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issued&quot;:{&quot;year&quot;:2018},&quot;page&quot;:&quot;1291-1299&quot;,&quot;issue&quot;:&quot;10&quot;,&quot;volume&quot;:&quot;9&quot;,&quot;journalAbbreviation&quot;:&quot;Thorac Cancer&quot;,&quot;container-title&quot;:&quot;Thoracic Cancer&quot;,&quot;id&quot;:&quot;1776ab4e-9167-4d24-a331-b472d63b2ebb&quot;,&quot;page-first&quot;:&quot;1291&quot;,&quot;container-title-short&quot;:&quot;Thorac Cancer&quot;}}]"/>
    <we:property name="-1399360989" value="[{&quot;id&quot;:&quot;7d6843b4-09af-4317-9b5c-56dd5b71058d&quot;,&quot;article&quot;:{&quot;journal_abbrev&quot;:&quot;Brit J Cancer&quot;,&quot;pagination&quot;:&quot;913-920&quot;,&quot;authors&quot;:[&quot;Ashley M Hopkins&quot;,&quot;Andrew Rowland&quot;,&quot;Ganessan Kichenadasse&quot;,&quot;Michael D Wiese&quot;,&quot;Howard Gurney&quot;,&quot;Ross A McKinnon&quot;,&quot;Chris S Karapetis&quot;,&quot;Michael J Sorich&quot;],&quot;publisher&quot;:&quot;&quot;,&quot;abstract&quot;:&quot;Immune checkpoint inhibitors (ICI) are an important development in the treatment of advanced cancer. A substantial proportion of patients treated with ICI do not respond, and additionally patients discontinue treatment due to adverse effects. While many novel biological markers related to the specific mechanisms of ICI actions have been investigated, there has also been considerable research to identify routinely available blood and clinical markers that may predict response to ICI therapy. If validated, these markers have the advantage of being easily integrated into clinical use for nominal expense. Several markers have shown promise, including baseline and post-treatment changes in leucocyte counts, lactate dehydrogenase and C-reactive protein. While promising, the results between studies have been inconsistent due to small sample sizes, follow-up time and variability in the assessed markers. To date, research on routinely available blood and clinical markers has focussed primarily on ICI use in melanoma, the use of ipilimumab and on univariate associations, but preliminary evidence is emerging for other cancer types, other ICIs and for combining markers in multivariable clinical prediction models.&quot;,&quot;year&quot;:2017,&quot;chapter&quot;:&quot;&quot;,&quot;journal&quot;:&quot;British Journal of Cancer&quot;,&quot;volume&quot;:&quot;117&quot;,&quot;title&quot;:&quot;Predicting response and toxicity to immune checkpoint inhibitors using routinely available blood and clinical markers&quot;,&quot;issue&quot;:&quot;7&quot;,&quot;issn&quot;:&quot;0007-0920&quot;,&quot;isbn&quot;:&quot;&quot;,&quot;url&quot;:&quot;https://www.nature.com/articles/bjc.2017.274&quot;},&quot;collection_group_id&quot;:&quot;&quot;,&quot;collection_id&quot;:&quot;4e0192db-b678-400e-ba1d-e378d3262964&quot;,&quot;item_type&quot;:&quot;article&quot;,&quot;deleted&quot;:false,&quot;files&quot;:[{&quot;name&quot;:&quot;IO blood marker BJC 2017.pdf&quot;,&quot;size&quot;:230177,&quot;type&quot;:&quot;article&quot;,&quot;pages&quot;:8,&quot;sha256&quot;:&quot;04c66b05e88a4348bf8e8bc4d7e5ce3e54e18fe0d28b11b9c6eb51f16ccd5b30&quot;,&quot;created&quot;:&quot;2020-05-15T14:32:52Z&quot;,&quot;file_type&quot;:&quot;pdf&quot;,&quot;access_method&quot;:&quot;personal_library&quot;,&quot;pdf_text_url&quot;:&quot;https://s3.amazonaws.com/objects.readcube.com/prerendered/04c66b05e88a4348bf8e8bc4d7e5ce3e54e18fe0d28b11b9c6eb51f16ccd5b30/pdftext.txt?X-Amz-Algorithm=AWS4-HMAC-SHA256&amp;X-Amz-Credential=AKIAJAWZ5L6BMTSOH3EA%2F20200519%2Fus-east-1%2Fs3%2Faws4_request&amp;X-Amz-Date=20200519T172002Z&amp;X-Amz-Expires=86400&amp;X-Amz-SignedHeaders=host&amp;X-Amz-Signature=79fe4d31a46b227e4f2b5d25d20bb2cb2d3fbe8212ccb48f9afd884bec086092&quot;}],&quot;ext_ids&quot;:{&quot;pmid&quot;:&quot;28950287&quot;,&quot;doi&quot;:&quot;10.1038/bjc.2017.274&quot;},&quot;user_data&quot;:{&quot;created&quot;:&quot;2020-05-15T14:32:52Z&quot;,&quot;modified&quot;:&quot;2020-05-15T20:59:28Z&quot;,&quot;createdby&quot;:&quot;webapp 4.3.1&quot;,&quot;last_read&quot;:&quot;2020-05-15T20:59:28Z&quot;,&quot;modifiedby&quot;:&quot;web_reader 13.0.3&quot;,&quot;view_count&quot;:1,&quot;has_annotations&quot;:false,&quot;unread&quot;:false},&quot;checked&quot;:false,&quot;atIndex&quot;:47,&quot;item&quot;:{&quot;type&quot;:&quot;article-journal&quot;,&quot;author&quot;:[{&quot;family&quot;:&quot;Hopkins&quot;,&quot;given&quot;:&quot;Ashley M&quot;},{&quot;family&quot;:&quot;Rowland&quot;,&quot;given&quot;:&quot;Andrew&quot;},{&quot;family&quot;:&quot;Kichenadasse&quot;,&quot;given&quot;:&quot;Ganessan&quot;},{&quot;family&quot;:&quot;Wiese&quot;,&quot;given&quot;:&quot;Michael D&quot;},{&quot;family&quot;:&quot;Gurney&quot;,&quot;given&quot;:&quot;Howard&quot;},{&quot;family&quot;:&quot;McKinnon&quot;,&quot;given&quot;:&quot;Ross A&quot;},{&quot;family&quot;:&quot;Karapetis&quot;,&quot;given&quot;:&quot;Chris S&quot;},{&quot;family&quot;:&quot;Sorich&quot;,&quot;given&quot;:&quot;Michael J&quot;}],&quot;title&quot;:&quot;Predicting response and toxicity to immune checkpoint inhibitors using routinely available blood and clinical markers&quot;,&quot;ISSN&quot;:&quot;0007-0920&quot;,&quot;DOI&quot;:&quot;10.1038/bjc.2017.274&quot;,&quot;PMID&quot;:&quot;28950287&quot;,&quot;abstract&quot;:&quot;Immune checkpoint inhibitors (ICI) are an important development in the treatment of advanced cancer. A substantial proportion of patients treated with ICI do not respond, and additionally patients discontinue treatment due to adverse effects. While many novel biological markers related to the specific mechanisms of ICI actions have been investigated, there has also been considerable research to identify routinely available blood and clinical markers that may predict response to ICI therapy. If validated, these markers have the advantage of being easily integrated into clinical use for nominal expense. Several markers have shown promise, including baseline and post-treatment changes in leucocyte counts, lactate dehydrogenase and C-reactive protein. While promising, the results between studies have been inconsistent due to small sample sizes, follow-up time and variability in the assessed markers. To date, research on routinely available blood and clinical markers has focussed primarily on ICI use in melanoma, the use of ipilimumab and on univariate associations, but preliminary evidence is emerging for other cancer types, other ICIs and for combining markers in multivariable clinical prediction models.&quot;,&quot;issued&quot;:{&quot;year&quot;:2017},&quot;page&quot;:&quot;913-920&quot;,&quot;issue&quot;:&quot;7&quot;,&quot;volume&quot;:&quot;117&quot;,&quot;journalAbbreviation&quot;:&quot;Brit J Cancer&quot;,&quot;container-title&quot;:&quot;British Journal of Cancer&quot;,&quot;id&quot;:&quot;7d6843b4-09af-4317-9b5c-56dd5b71058d&quot;,&quot;page-first&quot;:&quot;913&quot;,&quot;container-title-short&quot;:&quot;Brit J Cancer&quot;}}]"/>
    <we:property name="-1443836888" value="[{&quot;id&quot;:&quot;05ed7889-78f6-4d59-9208-1674e09562ee&quot;,&quot;article&quot;:{&quot;journal_abbrev&quot;:&quot;Transl Lung Cancer Res&quot;,&quot;pagination&quot;:&quot;1078-1085&quot;,&quot;authors&quot;:[&quot;Juan Ruiz-Bañobre&quot;,&quot;María C Areses-Manrique&quot;,&quot;Joaquín Mosquera-Martínez&quot;,&quot;Alexandra Cortegoso&quot;,&quot;Francisco J Afonso-Afonso&quot;,&quot;Noemí de Dios-Álvarez&quot;,&quot;Natalia Fernández-Núñez&quot;,&quot;Cristina Azpitarte-Raposeiras&quot;,&quot;Margarita Amenedo&quot;,&quot;Lucía Santomé&quot;,&quot;José Luis Fírvida-Pérez&quot;,&quot;Rosario García-Campelo&quot;,&quot;Jorge García-González&quot;,&quot;Joaquín Casal-Rubio&quot;,&quot;Sergio Vázquez&quot;],&quot;publisher&quot;:&quot;&quot;,&quot;abstract&quot;:&quot;The lung immune prognostic index (LIPI) has been proposed as a new categorical blood-based biomarker to select advanced non-small cell lung cancer (NSCLC) patients for anti-programmed cell death-1 (PD-1) or programmed death ligand 1 (PD-L1) therapy. In this study, we investigate for the first time to the best of our knowledge the prognostic and predictive utility of the LIPI in a multicenter nivolumab monotherapy-based cohort. We retrospectively analyzed the influence of the baseline LIPI on overall survival (OS), progression-free survival (PFS), disease control rate (DCR), and overall response rate (ORR) among 153 patients of a cohort of 188 advanced NSCLC patients treated with nivolumab in the second line of therapy or beyond. Worse LIPI was significantly associated with shorter OS in univariate [hazard ratio (HR) =3.12, 95% confidence interval (CI), 2.12–4.60; P&lt;0.0001] and multivariate (HR =3.67, 95% CI, 1.96–6.86; P&lt;0.0001) analyses. Worse LIPI was associated with shorter PFS (HR =1.45, 95% CI, 1.05–2.03; P=0.03), but this correlation did not reach statistical significance in multivariate analysis (HR =1.49, 95% CI, 0.94– 2.38; P=0.09). Worse LIPI was associated with lower DCR in univariate [odds ratio (OR) =0.41, 95% CI, 0.24–0.70; P=0.001] and multivariate (OR =0.44, 95% CI, 0.25–0.78; P=0.005) analyses. This study confirms the utility of the LIPI in prognostication and disease control prediction in advanced NSCLC patients treated with nivolumab in the second line of therapy or beyond.&quot;,&quot;year&quot;:2019,&quot;chapter&quot;:&quot;&quot;,&quot;journal&quot;:&quot;Translational Lung Cancer Research&quot;,&quot;volume&quot;:&quot;8&quot;,&quot;title&quot;:&quot;Evaluation of the lung immune prognostic index in advanced non-small cell lung cancer patients under nivolumab monotherapy&quot;,&quot;issue&quot;:&quot;6&quot;,&quot;issn&quot;:&quot;2226-4477&quot;,&quot;isbn&quot;:&quot;&quot;,&quot;url&quot;:&quot;http://tlcr.amegroups.com/article/view/34128&quot;},&quot;collection_group_id&quot;:&quot;&quot;,&quot;collection_id&quot;:&quot;4e0192db-b678-400e-ba1d-e378d3262964&quot;,&quot;item_type&quot;:&quot;article&quot;,&quot;deleted&quot;:false,&quot;files&quot;:[{&quot;name&quot;:&quot;IO_LIPI_Score_NSCLC.pdf&quot;,&quot;size&quot;:472761,&quot;type&quot;:&quot;article&quot;,&quot;pages&quot;:9,&quot;sha256&quot;:&quot;008de14df1ddd71430ab81bd29ccc9d511c0e691625982f074498ec585487e1e&quot;,&quot;created&quot;:&quot;2020-05-18T15:45:32Z&quot;,&quot;file_type&quot;:&quot;pdf&quot;,&quot;access_method&quot;:&quot;personal_library&quot;,&quot;pdf_text_url&quot;:&quot;https://s3.amazonaws.com/objects.readcube.com/prerendered/008de14df1ddd71430ab81bd29ccc9d511c0e691625982f074498ec585487e1e/pdftext.txt?X-Amz-Algorithm=AWS4-HMAC-SHA256&amp;X-Amz-Credential=AKIAJAWZ5L6BMTSOH3EA%2F20200519%2Fus-east-1%2Fs3%2Faws4_request&amp;X-Amz-Date=20200519T173720Z&amp;X-Amz-Expires=86400&amp;X-Amz-SignedHeaders=host&amp;X-Amz-Signature=3b0918a5050425b85e50df9aace45e074ed0b22cf020a8235d3b8a0f40a0254e&quot;}],&quot;ext_ids&quot;:{&quot;pmid&quot;:&quot;32010585&quot;,&quot;doi&quot;:&quot;10.21037/tlcr.2019.11.07&quot;},&quot;user_data&quot;:{&quot;created&quot;:&quot;2020-05-18T15:45:32Z&quot;,&quot;modified&quot;:&quot;2020-05-18T15:45:32Z&quot;,&quot;createdby&quot;:&quot;webapp 4.3.1&quot;,&quot;modifiedby&quot;:&quot;webapp 4.3.1&quot;,&quot;has_annotations&quot;:false,&quot;unread&quot;:true,&quot;last_read&quot;:null},&quot;checked&quot;:false,&quot;item&quot;:{&quot;type&quot;:&quot;article-journal&quot;,&quot;author&quot;:[{&quot;family&quot;:&quot;Ruiz-Bañobre&quot;,&quot;given&quot;:&quot;Juan&quot;},{&quot;family&quot;:&quot;Areses-Manrique&quot;,&quot;given&quot;:&quot;María C&quot;},{&quot;family&quot;:&quot;Mosquera-Martínez&quot;,&quot;given&quot;:&quot;Joaquín&quot;},{&quot;family&quot;:&quot;Cortegoso&quot;,&quot;given&quot;:&quot;Alexandra&quot;},{&quot;family&quot;:&quot;Afonso-Afonso&quot;,&quot;given&quot;:&quot;Francisco J&quot;},{&quot;family&quot;:&quot;Dios-Álvarez&quot;,&quot;given&quot;:&quot;Noemí de&quot;},{&quot;family&quot;:&quot;Fernández-Núñez&quot;,&quot;given&quot;:&quot;Natalia&quot;},{&quot;family&quot;:&quot;Azpitarte-Raposeiras&quot;,&quot;given&quot;:&quot;Cristina&quot;},{&quot;family&quot;:&quot;Amenedo&quot;,&quot;given&quot;:&quot;Margarita&quot;},{&quot;family&quot;:&quot;Santomé&quot;,&quot;given&quot;:&quot;Lucía&quot;},{&quot;family&quot;:&quot;Fírvida-Pérez&quot;,&quot;given&quot;:&quot;José Luis&quot;},{&quot;family&quot;:&quot;García-Campelo&quot;,&quot;given&quot;:&quot;Rosario&quot;},{&quot;family&quot;:&quot;García-González&quot;,&quot;given&quot;:&quot;Jorge&quot;},{&quot;family&quot;:&quot;Casal-Rubio&quot;,&quot;given&quot;:&quot;Joaquín&quot;},{&quot;family&quot;:&quot;Vázquez&quot;,&quot;given&quot;:&quot;Sergio&quot;}],&quot;title&quot;:&quot;Evaluation of the lung immune prognostic index in advanced non-small cell lung cancer patients under nivolumab monotherapy&quot;,&quot;ISSN&quot;:&quot;2226-4477&quot;,&quot;DOI&quot;:&quot;10.21037/tlcr.2019.11.07&quot;,&quot;PMID&quot;:&quot;32010585&quot;,&quot;abstract&quot;:&quot;The lung immune prognostic index (LIPI) has been proposed as a new categorical blood-based biomarker to select advanced non-small cell lung cancer (NSCLC) patients for anti-programmed cell death-1 (PD-1) or programmed death ligand 1 (PD-L1) therapy. In this study, we investigate for the first time to the best of our knowledge the prognostic and predictive utility of the LIPI in a multicenter nivolumab monotherapy-based cohort. We retrospectively analyzed the influence of the baseline LIPI on overall survival (OS), progression-free survival (PFS), disease control rate (DCR), and overall response rate (ORR) among 153 patients of a cohort of 188 advanced NSCLC patients treated with nivolumab in the second line of therapy or beyond. Worse LIPI was significantly associated with shorter OS in univariate [hazard ratio (HR) =3.12, 95% confidence interval (CI), 2.12–4.60; P&lt;0.0001] and multivariate (HR =3.67, 95% CI, 1.96–6.86; P&lt;0.0001) analyses. Worse LIPI was associated with shorter PFS (HR =1.45, 95% CI, 1.05–2.03; P=0.03), but this correlation did not reach statistical significance in multivariate analysis (HR =1.49, 95% CI, 0.94– 2.38; P=0.09). Worse LIPI was associated with lower DCR in univariate [odds ratio (OR) =0.41, 95% CI, 0.24–0.70; P=0.001] and multivariate (OR =0.44, 95% CI, 0.25–0.78; P=0.005) analyses. This study confirms the utility of the LIPI in prognostication and disease control prediction in advanced NSCLC patients treated with nivolumab in the second line of therapy or beyond.&quot;,&quot;issued&quot;:{&quot;year&quot;:2019},&quot;page&quot;:&quot;1078-1085&quot;,&quot;issue&quot;:&quot;6&quot;,&quot;volume&quot;:&quot;8&quot;,&quot;journalAbbreviation&quot;:&quot;Transl Lung Cancer Res&quot;,&quot;container-title&quot;:&quot;Translational Lung Cancer Research&quot;,&quot;id&quot;:&quot;05ed7889-78f6-4d59-9208-1674e09562ee&quot;,&quot;page-first&quot;:&quot;1078&quot;,&quot;container-title-short&quot;:&quot;Transl Lung Cancer Res&quot;}}]"/>
    <we:property name="-1467267037" value="[{&quot;id&quot;:&quot;1776ab4e-9167-4d24-a331-b472d63b2ebb&quot;,&quot;article&quot;:{&quot;journal_abbrev&quot;:&quot;Thorac Cancer&quot;,&quot;pagination&quot;:&quot;1291-1299&quot;,&quot;authors&quot;:[&quot;Takayuki Takeda&quot;,&quot;Mayumi Takeuchi&quot;,&quot;Masahiko Saitoh&quot;,&quot;Sorou Takeda&quot;],&quot;publisher&quot;:&quot;&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year&quot;:2018,&quot;chapter&quot;:&quot;&quot;,&quot;journal&quot;:&quot;Thoracic Cancer&quot;,&quot;volume&quot;:&quot;9&quot;,&quot;title&quot;:&quot;Neutrophil-to-lymphocyte ratio after four weeks of nivolumab administration as a predictive marker in patients with pretreated non-small-cell lung cancer&quot;,&quot;issue&quot;:&quot;10&quot;,&quot;issn&quot;:&quot;1759-7706&quot;,&quot;isbn&quot;:&quot;&quot;,&quot;url&quot;:&quot;http://doi.wiley.com/10.1111/1759-7714.12838&quot;},&quot;collection_group_id&quot;:&quot;&quot;,&quot;collection_id&quot;:&quot;4e0192db-b678-400e-ba1d-e378d3262964&quot;,&quot;item_type&quot;:&quot;article&quot;,&quot;deleted&quot;:false,&quot;files&quot;:[{&quot;name&quot;:&quot;Neutrophil‐to‐lymphocyte ratio after four weeks of nivolumab administration as a predictive marker in patients with pretreated non‐small‐cell lung cancer.pdf&quot;,&quot;size&quot;:244419,&quot;type&quot;:&quot;article&quot;,&quot;pages&quot;:9,&quot;sha256&quot;:&quot;8e33e0c23535c849e1478a0600bbca7cb4ede9ea97c6d3c444ea1ac26437b9db&quot;,&quot;created&quot;:&quot;2020-05-15T16:21:54Z&quot;,&quot;file_type&quot;:&quot;pdf&quot;,&quot;access_method&quot;:&quot;open_access&quot;,&quot;pdf_text_url&quot;:&quot;https://s3.amazonaws.com/objects.readcube.com/prerendered/8e33e0c23535c849e1478a0600bbca7cb4ede9ea97c6d3c444ea1ac26437b9db/pdftext.txt?X-Amz-Algorithm=AWS4-HMAC-SHA256&amp;X-Amz-Credential=AKIAJAWZ5L6BMTSOH3EA%2F20200515%2Fus-east-1%2Fs3%2Faws4_request&amp;X-Amz-Date=20200515T162154Z&amp;X-Amz-Expires=86400&amp;X-Amz-SignedHeaders=host&amp;X-Amz-Signature=7beb8049600e1222d9c9251d4514d75e060843fc1ef7753ef3876659d9ae4b0b&quot;}],&quot;ext_ids&quot;:{&quot;pmid&quot;:&quot;30126063&quot;,&quot;doi&quot;:&quot;10.1111/1759-7714.12838&quot;},&quot;user_data&quot;:{&quot;created&quot;:&quot;2020-05-15T14:59:05Z&quot;,&quot;modified&quot;:&quot;2020-05-15T16:21:54Z&quot;,&quot;createdby&quot;:&quot;webapp 4.3.1&quot;,&quot;modifiedby&quot;:&quot;smartcite_word 1.11.0&quot;,&quot;annotations&quot;:[],&quot;unread&quot;:true,&quot;last_read&quot;:null},&quot;atIndex&quot;:5,&quot;item&quot;:{&quot;type&quot;:&quot;article-journal&quot;,&quot;author&quot;:[{&quot;family&quot;:&quot;Takeda&quot;,&quot;given&quot;:&quot;Takayuki&quot;},{&quot;family&quot;:&quot;Takeuchi&quot;,&quot;given&quot;:&quot;Mayumi&quot;},{&quot;family&quot;:&quot;Saitoh&quot;,&quot;given&quot;:&quot;Masahiko&quot;},{&quot;family&quot;:&quot;Takeda&quot;,&quot;given&quot;:&quot;Sorou&quot;}],&quot;title&quot;:&quot;Neutrophil-to-lymphocyte ratio after four weeks of nivolumab administration as a predictive marker in patients with pretreated non-small-cell lung cancer&quot;,&quot;ISSN&quot;:&quot;1759-7706&quot;,&quot;DOI&quot;:&quot;10.1111/1759-7714.12838&quot;,&quot;PMID&quot;:&quot;30126063&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issued&quot;:{&quot;year&quot;:2018},&quot;page&quot;:&quot;1291-1299&quot;,&quot;issue&quot;:&quot;10&quot;,&quot;volume&quot;:&quot;9&quot;,&quot;journalAbbreviation&quot;:&quot;Thorac Cancer&quot;,&quot;container-title&quot;:&quot;Thoracic Cancer&quot;,&quot;id&quot;:&quot;1776ab4e-9167-4d24-a331-b472d63b2ebb&quot;,&quot;page-first&quot;:&quot;1291&quot;,&quot;container-title-short&quot;:&quot;Thorac Cancer&quot;}}]"/>
    <we:property name="-1489322383" value="[{&quot;id&quot;:&quot;d8dff32e-c50e-40a5-8d2a-bcdec97af5df&quot;,&quot;article&quot;:{&quot;journal_abbrev&quot;:&quot;Target Oncol&quot;,&quot;pagination&quot;:&quot;795-800&quot;,&quot;authors&quot;:[&quot;Giovanni Fucà&quot;,&quot;Giulia Galli&quot;,&quot;Marta Poggi&quot;,&quot;Giuseppe Lo Russo&quot;,&quot;Claudia Proto&quot;,&quot;Martina Imbimbo&quot;,&quot;Milena Vitali&quot;,&quot;Monica Ganzinelli&quot;,&quot;Claudia Lanti&quot;,&quot;Giuliano Molino&quot;,&quot;Fabiano Stangoni&quot;,&quot;Nicoletta Zilembo&quot;,&quot;Filippo de Braud&quot;,&quot;Marina Chiara Garassino&quot;,&quot;Diego Signorelli&quot;],&quot;publisher&quot;:&quot;&quot;,&quot;abstract&quot;:&quot;BACKGROUND:\nA consistent percentage of patients with metastatic non-small cell lung cancer (NSCLC) derives no or only marginal benefit from immunotherapy (IO).\n\nOBJECTIVE:\nSince serum sodium has been linked to both prognosis in NSCLC and modulation of immune cells activity, we aimed to assess the association between low baseline serum sodium concentration (≤ 135 mEq/L) and clinical outcomes of patients with metastatic NSCLC treated with IO.\n\nPATIENTS AND METHODS:\nWe included metastatic NSCLC patients treated with checkpoint inhibitors in our department from April 2013 to April 2018 with available baseline serum sodium concentration. Demographics, clinical and pathological characteristics were collected. Survival analyses were performed using the Kaplan-Meier method and the Cox proportional-hazards model.\n\nRESULTS:\nOf 197 patients included, 26 (13%) presented low baseline serum sodium concentration. Patients in the low sodium cohort experienced a poorer disease control rate (OR 0.36; 95% CI, 0.15-0.86; Wald test P = .02), median overall survival (OS) (2.8 vs. 11.6 months; HR 3.00; 95% CI, 1.80-4.80; P &lt; .001) and progression-free survival (PFS) (1.8 vs. 3.3 months; HR 2.60; 95% CI, 1.70-3.90; P &lt; .001) compared to patients in the control cohort. At multivariate analyses, low baseline serum sodium concentration was independently associated with disease control and OS, but not with PFS.\n\nCONCLUSIONS:\nOur study showed for the first time that low baseline serum sodium concentration is associated with impaired clinical outcomes in patients with metastatic NSCLC treated with IO. The role of serum sodium concentration in this setting warrants further pre-clinical and clinical investigation.&quot;,&quot;year&quot;:2018,&quot;chapter&quot;:&quot;&quot;,&quot;journal&quot;:&quot;&quot;,&quot;volume&quot;:&quot;&quot;,&quot;title&quot;:&quot;Low Baseline Serum Sodium Concentration Is Associated with Poor Clinical Outcomes in Metastatic Non-Small Cell Lung Cancer Patients Treated with Immunotherapy&quot;,&quot;issue&quot;:&quot;&quot;,&quot;issn&quot;:&quot;&quot;,&quot;isbn&quot;:&quot;&quot;,&quot;url&quot;:&quot;&quot;},&quot;collection_group_id&quot;:&quot;&quot;,&quot;collection_id&quot;:&quot;4e0192db-b678-400e-ba1d-e378d3262964&quot;,&quot;item_type&quot;:&quot;article&quot;,&quot;deleted&quot;:false,&quot;files&quot;:[],&quot;ext_ids&quot;:{&quot;pmid&quot;:&quot;30306460&quot;,&quot;doi&quot;:&quot;10.1007/s11523-018-0599-5&quot;},&quot;user_data&quot;:{&quot;created&quot;:&quot;2020-05-18T21:09:55Z&quot;,&quot;modified&quot;:&quot;2020-05-18T21:16:59Z&quot;,&quot;createdby&quot;:&quot;webapp 4.3.1&quot;,&quot;modifiedby&quot;:&quot;webapp 4.3.1&quot;,&quot;has_annotations&quot;:false,&quot;unread&quot;:true,&quot;last_read&quot;:null},&quot;checked&quot;:false,&quot;atIndex&quot;:39,&quot;item&quot;:{&quot;type&quot;:&quot;article-journal&quot;,&quot;author&quot;:[{&quot;family&quot;:&quot;Fucà&quot;,&quot;given&quot;:&quot;Giovanni&quot;},{&quot;family&quot;:&quot;Galli&quot;,&quot;given&quot;:&quot;Giulia&quot;},{&quot;family&quot;:&quot;Poggi&quot;,&quot;given&quot;:&quot;Marta&quot;},{&quot;family&quot;:&quot;Russo&quot;,&quot;given&quot;:&quot;Giuseppe Lo&quot;},{&quot;family&quot;:&quot;Proto&quot;,&quot;given&quot;:&quot;Claudia&quot;},{&quot;family&quot;:&quot;Imbimbo&quot;,&quot;given&quot;:&quot;Martina&quot;},{&quot;family&quot;:&quot;Vitali&quot;,&quot;given&quot;:&quot;Milena&quot;},{&quot;family&quot;:&quot;Ganzinelli&quot;,&quot;given&quot;:&quot;Monica&quot;},{&quot;family&quot;:&quot;Lanti&quot;,&quot;given&quot;:&quot;Claudia&quot;},{&quot;family&quot;:&quot;Molino&quot;,&quot;given&quot;:&quot;Giuliano&quot;},{&quot;family&quot;:&quot;Stangoni&quot;,&quot;given&quot;:&quot;Fabiano&quot;},{&quot;family&quot;:&quot;Zilembo&quot;,&quot;given&quot;:&quot;Nicoletta&quot;},{&quot;family&quot;:&quot;Braud&quot;,&quot;given&quot;:&quot;Filippo de&quot;},{&quot;family&quot;:&quot;Garassino&quot;,&quot;given&quot;:&quot;Marina Chiara&quot;},{&quot;family&quot;:&quot;Signorelli&quot;,&quot;given&quot;:&quot;Diego&quot;}],&quot;title&quot;:&quot;Low Baseline Serum Sodium Concentration Is Associated with Poor Clinical Outcomes in Metastatic Non-Small Cell Lung Cancer Patients Treated with Immunotherapy&quot;,&quot;DOI&quot;:&quot;10.1007/s11523-018-0599-5&quot;,&quot;PMID&quot;:&quot;30306460&quot;,&quot;abstract&quot;:&quot;BACKGROUND:\nA consistent percentage of patients with metastatic non-small cell lung cancer (NSCLC) derives no or only marginal benefit from immunotherapy (IO).\n\nOBJECTIVE:\nSince serum sodium has been linked to both prognosis in NSCLC and modulation of immune cells activity, we aimed to assess the association between low baseline serum sodium concentration (≤ 135 mEq/L) and clinical outcomes of patients with metastatic NSCLC treated with IO.\n\nPATIENTS AND METHODS:\nWe included metastatic NSCLC patients treated with checkpoint inhibitors in our department from April 2013 to April 2018 with available baseline serum sodium concentration. Demographics, clinical and pathological characteristics were collected. Survival analyses were performed using the Kaplan-Meier method and the Cox proportional-hazards model.\n\nRESULTS:\nOf 197 patients included, 26 (13%) presented low baseline serum sodium concentration. Patients in the low sodium cohort experienced a poorer disease control rate (OR 0.36; 95% CI, 0.15-0.86; Wald test P = .02), median overall survival (OS) (2.8 vs. 11.6 months; HR 3.00; 95% CI, 1.80-4.80; P &lt; .001) and progression-free survival (PFS) (1.8 vs. 3.3 months; HR 2.60; 95% CI, 1.70-3.90; P &lt; .001) compared to patients in the control cohort. At multivariate analyses, low baseline serum sodium concentration was independently associated with disease control and OS, but not with PFS.\n\nCONCLUSIONS:\nOur study showed for the first time that low baseline serum sodium concentration is associated with impaired clinical outcomes in patients with metastatic NSCLC treated with IO. The role of serum sodium concentration in this setting warrants further pre-clinical and clinical investigation.&quot;,&quot;issued&quot;:{&quot;year&quot;:2018},&quot;page&quot;:&quot;795-800&quot;,&quot;journalAbbreviation&quot;:&quot;Target Oncol&quot;,&quot;id&quot;:&quot;d8dff32e-c50e-40a5-8d2a-bcdec97af5df&quot;,&quot;page-first&quot;:&quot;795&quot;,&quot;container-title-short&quot;:&quot;Target Oncol&quot;}}]"/>
    <we:property name="-1565795743" value="[{&quot;id&quot;:&quot;c241c548-487b-40a1-aa73-68886a980ff5&quot;,&quot;article&quot;:{&quot;journal_abbrev&quot;:&quot;Clin Lung Cancer&quot;,&quot;pagination&quot;:&quot;426-434.e1&quot;,&quot;authors&quot;:[&quot;Alona Zer&quot;,&quot;Mike R. Sung&quot;,&quot;Preet Walia&quot;,&quot;Leila Khoja&quot;,&quot;Manjula Maganti&quot;,&quot;Catherine Labbe&quot;,&quot;Frances A. Shepherd&quot;,&quot;Penelope A. Bradbury&quot;,&quot;Ronald Feld&quot;,&quot;Geoffrey Liu&quot;,&quot;Melissa Iazzi&quot;,&quot;Dianne Zawisza&quot;,&quot;Nazanin Nouriany&quot;,&quot;Natasha B. Leighl&quot;],&quot;publisher&quot;:&quot;&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year&quot;:2018,&quot;chapter&quot;:&quot;&quot;,&quot;journal&quot;:&quot;&quot;,&quot;volume&quot;:&quot;9(5)&quot;,&quot;title&quot;:&quot;Correlation of Neutrophil to Lymphocyte Ratio and Absolute Neutrophil Count With Outcomes With PD-1 Axis Inhibitors in Patients With Advanced Non-Small-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pmid&quot;:&quot;29803574&quot;,&quot;doi&quot;:&quot;10.1016/j.cllc.2018.04.008&quot;},&quot;user_data&quot;:{&quot;created&quot;:&quot;2020-05-18T21:38:17Z&quot;,&quot;modified&quot;:&quot;2020-05-18T21:49:04Z&quot;,&quot;createdby&quot;:&quot;webapp 4.3.1&quot;,&quot;modifiedby&quot;:&quot;webapp 4.3.1&quot;,&quot;has_annotations&quot;:false,&quot;unread&quot;:true,&quot;last_read&quot;:null},&quot;checked&quot;:false,&quot;atIndex&quot;:49,&quot;item&quot;:{&quot;type&quot;:&quot;article-journal&quot;,&quot;author&quot;:[{&quot;family&quot;:&quot;Zer&quot;,&quot;given&quot;:&quot;Alona&quot;},{&quot;family&quot;:&quot;Sung&quot;,&quot;given&quot;:&quot;Mike R.&quot;},{&quot;family&quot;:&quot;Walia&quot;,&quot;given&quot;:&quot;Preet&quot;},{&quot;family&quot;:&quot;Khoja&quot;,&quot;given&quot;:&quot;Leila&quot;},{&quot;family&quot;:&quot;Maganti&quot;,&quot;given&quot;:&quot;Manjula&quot;},{&quot;family&quot;:&quot;Labbe&quot;,&quot;given&quot;:&quot;Catherine&quot;},{&quot;family&quot;:&quot;Shepherd&quot;,&quot;given&quot;:&quot;Frances A.&quot;},{&quot;family&quot;:&quot;Bradbury&quot;,&quot;given&quot;:&quot;Penelope A.&quot;},{&quot;family&quot;:&quot;Feld&quot;,&quot;given&quot;:&quot;Ronald&quot;},{&quot;family&quot;:&quot;Liu&quot;,&quot;given&quot;:&quot;Geoffrey&quot;},{&quot;family&quot;:&quot;Iazzi&quot;,&quot;given&quot;:&quot;Melissa&quot;},{&quot;family&quot;:&quot;Zawisza&quot;,&quot;given&quot;:&quot;Dianne&quot;},{&quot;family&quot;:&quot;Nouriany&quot;,&quot;given&quot;:&quot;Nazanin&quot;},{&quot;family&quot;:&quot;Leighl&quot;,&quot;given&quot;:&quot;Natasha B.&quot;}],&quot;title&quot;:&quot;Correlation of Neutrophil to Lymphocyte Ratio and Absolute Neutrophil Count With Outcomes With PD-1 Axis Inhibitors in Patients With Advanced Non-Small-Cell Lung Cancer.&quot;,&quot;DOI&quot;:&quot;10.1016/j.cllc.2018.04.008&quot;,&quot;PMID&quot;:&quot;29803574&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issued&quot;:{&quot;year&quot;:2018},&quot;page&quot;:&quot;426-434.e1&quot;,&quot;volume&quot;:&quot;9(5)&quot;,&quot;journalAbbreviation&quot;:&quot;Clin Lung Cancer&quot;,&quot;id&quot;:&quot;c241c548-487b-40a1-aa73-68886a980ff5&quot;,&quot;page-first&quot;:&quot;426&quot;,&quot;container-title-short&quot;:&quot;Clin Lung Cancer&quot;}}]"/>
    <we:property name="-1581671118" value="[{&quot;id&quot;:&quot;9e289965-a50f-4772-ad7a-30de951313ed&quot;,&quot;article&quot;:{&quot;journal_abbrev&quot;:&quot;JAMA Oncol&quot;,&quot;pagination&quot;:&quot;&quot;,&quot;authors&quot;:[&quot;&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doi&quot;:&quot;10.1001/jamaoncol.2017.4771&quot;},&quot;user_data&quot;:{&quot;created&quot;:&quot;2020-05-15T16:42:17Z&quot;,&quot;modified&quot;:&quot;2020-05-15T16:44:08Z&quot;,&quot;createdby&quot;:&quot;webapp 4.3.1&quot;,&quot;modifiedby&quot;:&quot;webapp 4.3.1&quot;,&quot;has_annotations&quot;:false,&quot;unread&quot;:true,&quot;last_read&quot;:null},&quot;checked&quot;:false,&quot;atIndex&quot;:9,&quot;item&quot;:{&quot;type&quot;:&quot;article-journal&quot;,&quot;author&quot;:[{&quot;family&quot;:&quot;&quot;,&quot;given&quot;:&quot;&quot;}],&quot;title&quot;:&quot;Association of the Lung Immune Prognostic Index With Immune Checkpoint Inhibitor Outcomes in Patients With Advanced Non-Small Cell Lung Cancer&quot;,&quot;DOI&quot;:&quot;10.1001/jamaoncol.2017.4771&quot;,&quot;journalAbbreviation&quot;:&quot;JAMA Oncol&quot;,&quot;id&quot;:&quot;9e289965-a50f-4772-ad7a-30de951313ed&quot;,&quot;issued&quot;:{&quot;literal&quot;:&quot;n.d.&quot;},&quot;container-title-short&quot;:&quot;JAMA Oncol&quot;}}]"/>
    <we:property name="-1686973168" value="[{&quot;id&quot;:&quot;05ed7889-78f6-4d59-9208-1674e09562ee&quot;,&quot;article&quot;:{&quot;journal_abbrev&quot;:&quot;Transl Lung Cancer Res&quot;,&quot;pagination&quot;:&quot;1078-1085&quot;,&quot;authors&quot;:[&quot;Juan Ruiz-Bañobre&quot;,&quot;María C Areses-Manrique&quot;,&quot;Joaquín Mosquera-Martínez&quot;,&quot;Alexandra Cortegoso&quot;,&quot;Francisco J Afonso-Afonso&quot;,&quot;Noemí de Dios-Álvarez&quot;,&quot;Natalia Fernández-Núñez&quot;,&quot;Cristina Azpitarte-Raposeiras&quot;,&quot;Margarita Amenedo&quot;,&quot;Lucía Santomé&quot;,&quot;José Luis Fírvida-Pérez&quot;,&quot;Rosario García-Campelo&quot;,&quot;Jorge García-González&quot;,&quot;Joaquín Casal-Rubio&quot;,&quot;Sergio Vázquez&quot;],&quot;publisher&quot;:&quot;&quot;,&quot;abstract&quot;:&quot;The lung immune prognostic index (LIPI) has been proposed as a new categorical blood-based biomarker to select advanced non-small cell lung cancer (NSCLC) patients for anti-programmed cell death-1 (PD-1) or programmed death ligand 1 (PD-L1) therapy. In this study, we investigate for the first time to the best of our knowledge the prognostic and predictive utility of the LIPI in a multicenter nivolumab monotherapy-based cohort. We retrospectively analyzed the influence of the baseline LIPI on overall survival (OS), progression-free survival (PFS), disease control rate (DCR), and overall response rate (ORR) among 153 patients of a cohort of 188 advanced NSCLC patients treated with nivolumab in the second line of therapy or beyond. Worse LIPI was significantly associated with shorter OS in univariate [hazard ratio (HR) =3.12, 95% confidence interval (CI), 2.12–4.60; P&lt;0.0001] and multivariate (HR =3.67, 95% CI, 1.96–6.86; P&lt;0.0001) analyses. Worse LIPI was associated with shorter PFS (HR =1.45, 95% CI, 1.05–2.03; P=0.03), but this correlation did not reach statistical significance in multivariate analysis (HR =1.49, 95% CI, 0.94– 2.38; P=0.09). Worse LIPI was associated with lower DCR in univariate [odds ratio (OR) =0.41, 95% CI, 0.24–0.70; P=0.001] and multivariate (OR =0.44, 95% CI, 0.25–0.78; P=0.005) analyses. This study confirms the utility of the LIPI in prognostication and disease control prediction in advanced NSCLC patients treated with nivolumab in the second line of therapy or beyond.&quot;,&quot;year&quot;:2019,&quot;chapter&quot;:&quot;&quot;,&quot;journal&quot;:&quot;Translational Lung Cancer Research&quot;,&quot;volume&quot;:&quot;8&quot;,&quot;title&quot;:&quot;Evaluation of the lung immune prognostic index in advanced non-small cell lung cancer patients under nivolumab monotherapy&quot;,&quot;issue&quot;:&quot;6&quot;,&quot;issn&quot;:&quot;2226-4477&quot;,&quot;isbn&quot;:&quot;&quot;,&quot;url&quot;:&quot;http://tlcr.amegroups.com/article/view/34128&quot;},&quot;collection_group_id&quot;:&quot;&quot;,&quot;collection_id&quot;:&quot;4e0192db-b678-400e-ba1d-e378d3262964&quot;,&quot;item_type&quot;:&quot;article&quot;,&quot;deleted&quot;:false,&quot;files&quot;:[{&quot;name&quot;:&quot;IO_LIPI_Score_NSCLC.pdf&quot;,&quot;size&quot;:472761,&quot;type&quot;:&quot;article&quot;,&quot;pages&quot;:9,&quot;sha256&quot;:&quot;008de14df1ddd71430ab81bd29ccc9d511c0e691625982f074498ec585487e1e&quot;,&quot;created&quot;:&quot;2020-05-18T15:45:32Z&quot;,&quot;file_type&quot;:&quot;pdf&quot;,&quot;access_method&quot;:&quot;personal_library&quot;,&quot;pdf_text_url&quot;:&quot;https://s3.amazonaws.com/objects.readcube.com/prerendered/008de14df1ddd71430ab81bd29ccc9d511c0e691625982f074498ec585487e1e/pdftext.txt?X-Amz-Algorithm=AWS4-HMAC-SHA256&amp;X-Amz-Credential=AKIAJAWZ5L6BMTSOH3EA%2F20200519%2Fus-east-1%2Fs3%2Faws4_request&amp;X-Amz-Date=20200519T173720Z&amp;X-Amz-Expires=86400&amp;X-Amz-SignedHeaders=host&amp;X-Amz-Signature=3b0918a5050425b85e50df9aace45e074ed0b22cf020a8235d3b8a0f40a0254e&quot;}],&quot;ext_ids&quot;:{&quot;pmid&quot;:&quot;32010585&quot;,&quot;doi&quot;:&quot;10.21037/tlcr.2019.11.07&quot;},&quot;user_data&quot;:{&quot;created&quot;:&quot;2020-05-18T15:45:32Z&quot;,&quot;modified&quot;:&quot;2020-05-18T15:45:32Z&quot;,&quot;createdby&quot;:&quot;webapp 4.3.1&quot;,&quot;modifiedby&quot;:&quot;webapp 4.3.1&quot;,&quot;has_annotations&quot;:false,&quot;unread&quot;:true,&quot;last_read&quot;:null},&quot;checked&quot;:false,&quot;item&quot;:{&quot;type&quot;:&quot;article-journal&quot;,&quot;author&quot;:[{&quot;family&quot;:&quot;Ruiz-Bañobre&quot;,&quot;given&quot;:&quot;Juan&quot;},{&quot;family&quot;:&quot;Areses-Manrique&quot;,&quot;given&quot;:&quot;María C&quot;},{&quot;family&quot;:&quot;Mosquera-Martínez&quot;,&quot;given&quot;:&quot;Joaquín&quot;},{&quot;family&quot;:&quot;Cortegoso&quot;,&quot;given&quot;:&quot;Alexandra&quot;},{&quot;family&quot;:&quot;Afonso-Afonso&quot;,&quot;given&quot;:&quot;Francisco J&quot;},{&quot;family&quot;:&quot;Dios-Álvarez&quot;,&quot;given&quot;:&quot;Noemí de&quot;},{&quot;family&quot;:&quot;Fernández-Núñez&quot;,&quot;given&quot;:&quot;Natalia&quot;},{&quot;family&quot;:&quot;Azpitarte-Raposeiras&quot;,&quot;given&quot;:&quot;Cristina&quot;},{&quot;family&quot;:&quot;Amenedo&quot;,&quot;given&quot;:&quot;Margarita&quot;},{&quot;family&quot;:&quot;Santomé&quot;,&quot;given&quot;:&quot;Lucía&quot;},{&quot;family&quot;:&quot;Fírvida-Pérez&quot;,&quot;given&quot;:&quot;José Luis&quot;},{&quot;family&quot;:&quot;García-Campelo&quot;,&quot;given&quot;:&quot;Rosario&quot;},{&quot;family&quot;:&quot;García-González&quot;,&quot;given&quot;:&quot;Jorge&quot;},{&quot;family&quot;:&quot;Casal-Rubio&quot;,&quot;given&quot;:&quot;Joaquín&quot;},{&quot;family&quot;:&quot;Vázquez&quot;,&quot;given&quot;:&quot;Sergio&quot;}],&quot;title&quot;:&quot;Evaluation of the lung immune prognostic index in advanced non-small cell lung cancer patients under nivolumab monotherapy&quot;,&quot;ISSN&quot;:&quot;2226-4477&quot;,&quot;DOI&quot;:&quot;10.21037/tlcr.2019.11.07&quot;,&quot;PMID&quot;:&quot;32010585&quot;,&quot;abstract&quot;:&quot;The lung immune prognostic index (LIPI) has been proposed as a new categorical blood-based biomarker to select advanced non-small cell lung cancer (NSCLC) patients for anti-programmed cell death-1 (PD-1) or programmed death ligand 1 (PD-L1) therapy. In this study, we investigate for the first time to the best of our knowledge the prognostic and predictive utility of the LIPI in a multicenter nivolumab monotherapy-based cohort. We retrospectively analyzed the influence of the baseline LIPI on overall survival (OS), progression-free survival (PFS), disease control rate (DCR), and overall response rate (ORR) among 153 patients of a cohort of 188 advanced NSCLC patients treated with nivolumab in the second line of therapy or beyond. Worse LIPI was significantly associated with shorter OS in univariate [hazard ratio (HR) =3.12, 95% confidence interval (CI), 2.12–4.60; P&lt;0.0001] and multivariate (HR =3.67, 95% CI, 1.96–6.86; P&lt;0.0001) analyses. Worse LIPI was associated with shorter PFS (HR =1.45, 95% CI, 1.05–2.03; P=0.03), but this correlation did not reach statistical significance in multivariate analysis (HR =1.49, 95% CI, 0.94– 2.38; P=0.09). Worse LIPI was associated with lower DCR in univariate [odds ratio (OR) =0.41, 95% CI, 0.24–0.70; P=0.001] and multivariate (OR =0.44, 95% CI, 0.25–0.78; P=0.005) analyses. This study confirms the utility of the LIPI in prognostication and disease control prediction in advanced NSCLC patients treated with nivolumab in the second line of therapy or beyond.&quot;,&quot;issued&quot;:{&quot;year&quot;:2019},&quot;page&quot;:&quot;1078-1085&quot;,&quot;issue&quot;:&quot;6&quot;,&quot;volume&quot;:&quot;8&quot;,&quot;journalAbbreviation&quot;:&quot;Transl Lung Cancer Res&quot;,&quot;container-title&quot;:&quot;Translational Lung Cancer Research&quot;,&quot;id&quot;:&quot;05ed7889-78f6-4d59-9208-1674e09562ee&quot;,&quot;page-first&quot;:&quot;1078&quot;,&quot;container-title-short&quot;:&quot;Transl Lung Cancer Res&quot;}}]"/>
    <we:property name="-1816098088"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JAWZ5L6BMTSOH3EA%2F20200515%2Fus-east-1%2Fs3%2Faws4_request&amp;X-Amz-Date=20200515T153125Z&amp;X-Amz-Expires=86400&amp;X-Amz-SignedHeaders=host&amp;X-Amz-Signature=b5b0a14e051148c388120d947077191b1f8e5f1915ed3ee8636ba5b18630c628&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JAWZ5L6BMTSOH3EA%2F20200515%2Fus-east-1%2Fs3%2Faws4_request&amp;X-Amz-Date=20200515T153125Z&amp;X-Amz-Expires=86400&amp;X-Amz-SignedHeaders=host&amp;X-Amz-Signature=d4a7d0edb1fe6fc67c314ea272e600e5844000fa3ee6fdbb8acf28236d754c94&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0,&quot;item&quot;:{&quot;type&quot;:&quot;article-journal&quot;,&quot;author&quot;:[{&quot;family&quot;:&quot;Suh&quot;,&quot;given&quot;:&quot;Koung Jin&quot;},{&quot;family&quot;:&quot;Kim&quot;,&quot;given&quot;:&quot;Se Hyun&quot;},{&quot;family&quot;:&quot;Kim&quot;,&quot;given&quot;:&quot;Yu Jung&quot;},{&quot;family&quot;:&quot;Kim&quot;,&quot;given&quot;:&quot;Miso&quot;},{&quot;family&quot;:&quot;Keam&quot;,&quot;given&quot;:&quot;Bhumsuk&quot;},{&quot;family&quot;:&quot;Kim&quot;,&quot;given&quot;:&quot;Tae Min&quot;},{&quot;family&quot;:&quot;Kim&quot;,&quot;given&quot;:&quot;Dong-Wan&quot;},{&quot;family&quot;:&quot;Heo&quot;,&quot;given&quot;:&quot;Dae Seog&quot;},{&quot;family&quot;:&quot;Lee&quot;,&quot;given&quot;:&quot;Jong Seok&quot;}],&quot;title&quot;:&quot;Post-treatment neutrophil-to-lymphocyte ratio at week 6 is prognostic in patients with advanced non-small cell lung cancers treated with anti-PD-1 antibody&quot;,&quot;ISSN&quot;:&quot;0340-7004&quot;,&quot;DOI&quot;:&quot;10.1007/s00262-017-2092-x&quot;,&quot;PMID&quot;:&quot;29204702&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issued&quot;:{&quot;year&quot;:2018},&quot;page&quot;:&quot;459-470&quot;,&quot;issue&quot;:&quot;3&quot;,&quot;volume&quot;:&quot;67&quot;,&quot;journalAbbreviation&quot;:&quot;Cancer Immunol Immunother&quot;,&quot;container-title&quot;:&quot;Cancer Immunology, Immunotherapy&quot;,&quot;id&quot;:&quot;5a9c62ed-44a8-4331-83ec-3f632496e141&quot;,&quot;page-first&quot;:&quot;459&quot;,&quot;container-title-short&quot;:&quot;Cancer Immunol Immunother&quot;}}]"/>
    <we:property name="-1843469612" value="[{&quot;id&quot;:&quot;1ad1efbe-0791-4c3e-a712-5cc7503db85c&quot;,&quot;article&quot;:{&quot;journal_abbrev&quot;:&quot;Cancer Med-us&quot;,&quot;pagination&quot;:&quot;13-20&quot;,&quot;authors&quot;:[&quot;Takayuki Shiroyama&quot;,&quot;Hidekazu Suzuki&quot;,&quot;Motohiro Tamiya&quot;,&quot;Akihiro Tamiya&quot;,&quot;Ayako Tanaka&quot;,&quot;Norio Okamoto&quot;,&quot;Kenji Nakahama&quot;,&quot;Yoshihiko Taniguchi&quot;,&quot;Shun‐ichi Isa&quot;,&quot;Takako Inoue&quot;,&quot;Fumio Imamura&quot;,&quot;Shinji Atagi&quot;,&quot;Tomonori Hirashima&quot;],&quot;publisher&quot;:&quot;&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year&quot;:2018,&quot;chapter&quot;:&quot;&quot;,&quot;journal&quot;:&quot;Cancer Medicine&quot;,&quot;volume&quot;:&quot;7&quot;,&quot;title&quot;:&quot;Pretreatment advanced lung cancer inflammation index (ALI) for predicting early progression in nivolumab‐treated patients with advanced non–small cell lung cancer&quot;,&quot;issue&quot;:&quot;1&quot;,&quot;issn&quot;:&quot;2045-7634&quot;,&quot;isbn&quot;:&quot;&quot;,&quot;url&quot;:&quot;http://onlinelibrary.wiley.com/doi/10.1002/cam4.1234/abstract&quot;},&quot;collection_group_id&quot;:&quot;&quot;,&quot;collection_id&quot;:&quot;4e0192db-b678-400e-ba1d-e378d3262964&quot;,&quot;item_type&quot;:&quot;article&quot;,&quot;deleted&quot;:false,&quot;files&quot;:[{&quot;name&quot;:&quot;IO_NLR_Baseline_Albumin_ALIndex.pdf&quot;,&quot;size&quot;:193543,&quot;type&quot;:&quot;article&quot;,&quot;pages&quot;:8,&quot;sha256&quot;:&quot;4d5b2a9091e803d49dae88cac4069e9fad07348416586f7c95496c6c49dccc76&quot;,&quot;created&quot;:&quot;2020-05-18T20:10:18Z&quot;,&quot;file_type&quot;:&quot;pdf&quot;,&quot;access_method&quot;:&quot;personal_library&quot;,&quot;pdf_text_url&quot;:&quot;https://s3.amazonaws.com/objects.readcube.com/prerendered/4d5b2a9091e803d49dae88cac4069e9fad07348416586f7c95496c6c49dccc76/pdftext.txt?X-Amz-Algorithm=AWS4-HMAC-SHA256&amp;X-Amz-Credential=AKIAJAWZ5L6BMTSOH3EA%2F20200518%2Fus-east-1%2Fs3%2Faws4_request&amp;X-Amz-Date=20200518T212212Z&amp;X-Amz-Expires=86400&amp;X-Amz-SignedHeaders=host&amp;X-Amz-Signature=0c4090ef1dfd5aee25a2793b13a403d9de02c8a8e675de0f3f247aa6dd75c00f&quot;}],&quot;ext_ids&quot;:{&quot;pmid&quot;:&quot;29150906&quot;,&quot;doi&quot;:&quot;10.1002/cam4.1234&quot;},&quot;user_data&quot;:{&quot;created&quot;:&quot;2020-05-18T20:10:18Z&quot;,&quot;modified&quot;:&quot;2020-05-18T20:10:18Z&quot;,&quot;createdby&quot;:&quot;webapp 4.3.1&quot;,&quot;modifiedby&quot;:&quot;webapp 4.3.1&quot;,&quot;has_annotations&quot;:false,&quot;unread&quot;:true,&quot;last_read&quot;:null},&quot;checked&quot;:false,&quot;atIndex&quot;:41,&quot;item&quot;:{&quot;type&quot;:&quot;article-journal&quot;,&quot;author&quot;:[{&quot;family&quot;:&quot;Shiroyama&quot;,&quot;given&quot;:&quot;Takayuki&quot;},{&quot;family&quot;:&quot;Suzuki&quot;,&quot;given&quot;:&quot;Hidekazu&quot;},{&quot;family&quot;:&quot;Tamiya&quot;,&quot;given&quot;:&quot;Motohiro&quot;},{&quot;family&quot;:&quot;Tamiya&quot;,&quot;given&quot;:&quot;Akihiro&quot;},{&quot;family&quot;:&quot;Tanaka&quot;,&quot;given&quot;:&quot;Ayako&quot;},{&quot;family&quot;:&quot;Okamoto&quot;,&quot;given&quot;:&quot;Norio&quot;},{&quot;family&quot;:&quot;Nakahama&quot;,&quot;given&quot;:&quot;Kenji&quot;},{&quot;family&quot;:&quot;Taniguchi&quot;,&quot;given&quot;:&quot;Yoshihiko&quot;},{&quot;family&quot;:&quot;Isa&quot;,&quot;given&quot;:&quot;Shun‐ichi&quot;},{&quot;family&quot;:&quot;Inoue&quot;,&quot;given&quot;:&quot;Takako&quot;},{&quot;family&quot;:&quot;Imamura&quot;,&quot;given&quot;:&quot;Fumio&quot;},{&quot;family&quot;:&quot;Atagi&quot;,&quot;given&quot;:&quot;Shinji&quot;},{&quot;family&quot;:&quot;Hirashima&quot;,&quot;given&quot;:&quot;Tomonori&quot;}],&quot;title&quot;:&quot;Pretreatment advanced lung cancer inflammation index (ALI) for predicting early progression in nivolumab‐treated patients with advanced non–small cell lung cancer&quot;,&quot;ISSN&quot;:&quot;2045-7634&quot;,&quot;DOI&quot;:&quot;10.1002/cam4.1234&quot;,&quot;PMID&quot;:&quot;29150906&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issued&quot;:{&quot;year&quot;:2018},&quot;page&quot;:&quot;13-20&quot;,&quot;issue&quot;:&quot;1&quot;,&quot;volume&quot;:&quot;7&quot;,&quot;journalAbbreviation&quot;:&quot;Cancer Med-us&quot;,&quot;container-title&quot;:&quot;Cancer Medicine&quot;,&quot;id&quot;:&quot;1ad1efbe-0791-4c3e-a712-5cc7503db85c&quot;,&quot;page-first&quot;:&quot;13&quot;,&quot;container-title-short&quot;:&quot;Cancer Med-us&quot;}}]"/>
    <we:property name="-1856797922" value="[{&quot;id&quot;:&quot;e3c68e03-0f5f-4c06-8bef-768ff58bc46f&quot;,&quot;article&quot;:{&quot;journal_abbrev&quot;:&quot;Clin Lung Cancer&quot;,&quot;pagination&quot;:&quot;&quot;,&quot;authors&quot;:[&quot;Arsela Prelaj&quot;,&quot;Sara Elena Rebuzzi&quot;,&quot;Pamela Pizzutilo&quot;,&quot;Massimo Bilancia&quot;,&quot;Michele Montrone&quot;,&quot;Francesco Pesola&quot;,&quot;Vito Longo&quot;,&quot;Gabriella Del Bene&quot;,&quot;Vittoria Lapadula&quot;,&quot;Flavio Cassano&quot;,&quot;Patrizia Petrillo&quot;,&quot;Daniela Bafunno&quot;,&quot;Niccolò Varesano&quot;,&quot;Vito Lamorgese&quot;,&quot;Angelica Mastrandrea&quot;,&quot;Donatella Ricci&quot;,&quot;Annamaria Catino&quot;,&quot;Domenico Galetta&quot;],&quot;publisher&quot;:&quot;&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year&quot;:2020,&quot;chapter&quot;:&quot;&quot;,&quot;journal&quot;:&quot;Clinical lung cancer&quot;,&quot;volume&quot;:&quot;&quot;,&quot;title&quot;:&quot;EPSILoN: A Prognostic Score Using Clinical and Blood Biomarkers in Advanced Non-Small-cell Lung Cancer Treated With Immunotherapy.&quot;,&quot;issue&quot;:&quot;&quot;,&quot;issn&quot;:&quot;1525-7304&quot;,&quot;isbn&quot;:&quot;&quot;,&quot;url&quot;:&quot;https://linkinghub.elsevier.com/retrieve/pii/S1525730419303341&quot;},&quot;collection_group_id&quot;:&quot;&quot;,&quot;collection_id&quot;:&quot;4e0192db-b678-400e-ba1d-e378d3262964&quot;,&quot;item_type&quot;:&quot;article&quot;,&quot;deleted&quot;:false,&quot;files&quot;:[{&quot;name&quot;:&quot;EPSILoN.pdf&quot;,&quot;size&quot;:1537520,&quot;type&quot;:&quot;article&quot;,&quot;pages&quot;:30,&quot;sha256&quot;:&quot;ee0b598980c6610faecdf1109e4845e2a180068ada9b8295a31d88f1c15b1b86&quot;,&quot;created&quot;:&quot;2020-05-15T21:24:25Z&quot;,&quot;file_type&quot;:&quot;pdf&quot;,&quot;access_method&quot;:&quot;personal_library&quot;,&quot;pdf_text_url&quot;:&quot;https://s3.amazonaws.com/objects.readcube.com/prerendered/ee0b598980c6610faecdf1109e4845e2a180068ada9b8295a31d88f1c15b1b86/pdftext.txt?X-Amz-Algorithm=AWS4-HMAC-SHA256&amp;X-Amz-Credential=AKIAJAWZ5L6BMTSOH3EA%2F20200515%2Fus-east-1%2Fs3%2Faws4_request&amp;X-Amz-Date=20200515T214303Z&amp;X-Amz-Expires=86400&amp;X-Amz-SignedHeaders=host&amp;X-Amz-Signature=8ebefd6ec1e490b6b6b35f9a2dcde8555382b2af9f6bef8b1e4214d4e03009c0&quot;}],&quot;ext_ids&quot;:{&quot;pmid&quot;:&quot;32245624&quot;,&quot;doi&quot;:&quot;10.1016/j.cllc.2019.11.017&quot;},&quot;user_data&quot;:{&quot;created&quot;:&quot;2020-05-15T14:45:10Z&quot;,&quot;modified&quot;:&quot;2020-05-15T21:42:06Z&quot;,&quot;createdby&quot;:&quot;webapp 4.3.1&quot;,&quot;last_read&quot;:&quot;2020-05-15T21:42:06Z&quot;,&quot;modifiedby&quot;:&quot;web_reader 13.0.3&quot;,&quot;view_count&quot;:1,&quot;has_annotations&quot;:false,&quot;unread&quot;:false},&quot;checked&quot;:false,&quot;atIndex&quot;:19,&quot;item&quot;:{&quot;type&quot;:&quot;article-journal&quot;,&quot;author&quot;:[{&quot;family&quot;:&quot;Prelaj&quot;,&quot;given&quot;:&quot;Arsela&quot;},{&quot;family&quot;:&quot;Rebuzzi&quot;,&quot;given&quot;:&quot;Sara Elena&quot;},{&quot;family&quot;:&quot;Pizzutilo&quot;,&quot;given&quot;:&quot;Pamela&quot;},{&quot;family&quot;:&quot;Bilancia&quot;,&quot;given&quot;:&quot;Massimo&quot;},{&quot;family&quot;:&quot;Montrone&quot;,&quot;given&quot;:&quot;Michele&quot;},{&quot;family&quot;:&quot;Pesola&quot;,&quot;given&quot;:&quot;Francesco&quot;},{&quot;family&quot;:&quot;Longo&quot;,&quot;given&quot;:&quot;Vito&quot;},{&quot;family&quot;:&quot;Bene&quot;,&quot;given&quot;:&quot;Gabriella Del&quot;},{&quot;family&quot;:&quot;Lapadula&quot;,&quot;given&quot;:&quot;Vittoria&quot;},{&quot;family&quot;:&quot;Cassano&quot;,&quot;given&quot;:&quot;Flavio&quot;},{&quot;family&quot;:&quot;Petrillo&quot;,&quot;given&quot;:&quot;Patrizia&quot;},{&quot;family&quot;:&quot;Bafunno&quot;,&quot;given&quot;:&quot;Daniela&quot;},{&quot;family&quot;:&quot;Varesano&quot;,&quot;given&quot;:&quot;Niccolò&quot;},{&quot;family&quot;:&quot;Lamorgese&quot;,&quot;given&quot;:&quot;Vito&quot;},{&quot;family&quot;:&quot;Mastrandrea&quot;,&quot;given&quot;:&quot;Angelica&quot;},{&quot;family&quot;:&quot;Ricci&quot;,&quot;given&quot;:&quot;Donatella&quot;},{&quot;family&quot;:&quot;Catino&quot;,&quot;given&quot;:&quot;Annamaria&quot;},{&quot;family&quot;:&quot;Galetta&quot;,&quot;given&quot;:&quot;Domenico&quot;}],&quot;title&quot;:&quot;EPSILoN: A Prognostic Score Using Clinical and Blood Biomarkers in Advanced Non-Small-cell Lung Cancer Treated With Immunotherapy.&quot;,&quot;ISSN&quot;:&quot;1525-7304&quot;,&quot;DOI&quot;:&quot;10.1016/j.cllc.2019.11.017&quot;,&quot;PMID&quot;:&quot;32245624&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issued&quot;:{&quot;year&quot;:2020},&quot;journalAbbreviation&quot;:&quot;Clin Lung Cancer&quot;,&quot;container-title&quot;:&quot;Clinical lung cancer&quot;,&quot;id&quot;:&quot;e3c68e03-0f5f-4c06-8bef-768ff58bc46f&quot;,&quot;container-title-short&quot;:&quot;Clin Lung Cancer&quot;}}]"/>
    <we:property name="-2093459192" value="[{&quot;id&quot;:&quot;9d8fab2e-1689-4fb0-bf56-20807cf4d291&quot;,&quot;article&quot;:{&quot;journal_abbrev&quot;:&quot;Clin Lung Cancer&quot;,&quot;pagination&quot;:&quot;280-288.e4&quot;,&quot;authors&quot;:[&quot;Wungki Park&quot;,&quot;Deukwoo Kwon&quot;,&quot;Diana Saravia&quot;,&quot;Amrita Desai&quot;,&quot;Fernando Vargas&quot;,&quot;Mohamed El Dinali&quot;,&quot;Jessica Warsch&quot;,&quot;Roy Elias&quot;,&quot;Young Kwang Chae&quot;,&quot;Dae Won Kim&quot;,&quot;Sean Warsch&quot;,&quot;Adrian Ishkanian&quot;,&quot;Chukwuemeka Ikpeazu&quot;,&quot;Raja Mudad&quot;,&quot;Gilberto Lopes&quot;,&quot;Mohammad Jahanzeb&quot;],&quot;publisher&quot;:&quot;&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year&quot;:2017,&quot;chapter&quot;:&quot;&quot;,&quot;journal&quot;:&quot;Clinical Lung Cancer&quot;,&quot;volume&quot;:&quot;19&quot;,&quot;title&quot;:&quot;Developing a Predictive Model for Clinical Outcomes of Advanced Non-Small Cell Lung Cancer Patients Treated With Nivolumab&quot;,&quot;issue&quot;:&quot;3&quot;,&quot;issn&quot;:&quot;1525-7304&quot;,&quot;isbn&quot;:&quot;&quot;,&quot;url&quot;:&quot;https://www.sciencedirect.com/science/article/pii/S1525730417303467&quot;},&quot;collection_group_id&quot;:&quot;&quot;,&quot;collection_id&quot;:&quot;4e0192db-b678-400e-ba1d-e378d3262964&quot;,&quot;item_type&quot;:&quot;article&quot;,&quot;deleted&quot;:false,&quot;files&quot;:[{&quot;name&quot;:&quot;NLR iSEND CLC 2018.pdf&quot;,&quot;size&quot;:1166377,&quot;type&quot;:&quot;article&quot;,&quot;pages&quot;:13,&quot;sha256&quot;:&quot;60b81c05aa2da3999523667e48c4e780a2f1431444f3be13260d91820be9077c&quot;,&quot;created&quot;:&quot;2020-05-15T14:32:23Z&quot;,&quot;file_type&quot;:&quot;pdf&quot;,&quot;access_method&quot;:&quot;personal_library&quot;,&quot;pdf_text_url&quot;:&quot;https://s3.amazonaws.com/objects.readcube.com/prerendered/60b81c05aa2da3999523667e48c4e780a2f1431444f3be13260d91820be9077c/pdftext.txt?X-Amz-Algorithm=AWS4-HMAC-SHA256&amp;X-Amz-Credential=AKIAJAWZ5L6BMTSOH3EA%2F20200515%2Fus-east-1%2Fs3%2Faws4_request&amp;X-Amz-Date=20200515T172358Z&amp;X-Amz-Expires=86400&amp;X-Amz-SignedHeaders=host&amp;X-Amz-Signature=0a67ca51e38a362e151f94824a1a4dcb97948ceb543dc1397ad97f6077aa5967&quot;}],&quot;ext_ids&quot;:{&quot;pmid&quot;:&quot;29336998&quot;,&quot;doi&quot;:&quot;10.1016/j.cllc.2017.12.007&quot;},&quot;user_data&quot;:{&quot;created&quot;:&quot;2020-05-15T14:32:23Z&quot;,&quot;modified&quot;:&quot;2020-05-15T17:14:45Z&quot;,&quot;createdby&quot;:&quot;webapp 4.3.1&quot;,&quot;last_read&quot;:&quot;2020-05-15T17:14:45Z&quot;,&quot;modifiedby&quot;:&quot;web_reader 13.0.3&quot;,&quot;view_count&quot;:1,&quot;has_annotations&quot;:false,&quot;unread&quot;:false},&quot;checked&quot;:false,&quot;atIndex&quot;:15,&quot;item&quot;:{&quot;type&quot;:&quot;article-journal&quot;,&quot;author&quot;:[{&quot;family&quot;:&quot;Park&quot;,&quot;given&quot;:&quot;Wungki&quot;},{&quot;family&quot;:&quot;Kwon&quot;,&quot;given&quot;:&quot;Deukwoo&quot;},{&quot;family&quot;:&quot;Saravia&quot;,&quot;given&quot;:&quot;Diana&quot;},{&quot;family&quot;:&quot;Desai&quot;,&quot;given&quot;:&quot;Amrita&quot;},{&quot;family&quot;:&quot;Vargas&quot;,&quot;given&quot;:&quot;Fernando&quot;},{&quot;family&quot;:&quot;Dinali&quot;,&quot;given&quot;:&quot;Mohamed El&quot;},{&quot;family&quot;:&quot;Warsch&quot;,&quot;given&quot;:&quot;Jessica&quot;},{&quot;family&quot;:&quot;Elias&quot;,&quot;given&quot;:&quot;Roy&quot;},{&quot;family&quot;:&quot;Chae&quot;,&quot;given&quot;:&quot;Young Kwang&quot;},{&quot;family&quot;:&quot;Kim&quot;,&quot;given&quot;:&quot;Dae Won&quot;},{&quot;family&quot;:&quot;Warsch&quot;,&quot;given&quot;:&quot;Sean&quot;},{&quot;family&quot;:&quot;Ishkanian&quot;,&quot;given&quot;:&quot;Adrian&quot;},{&quot;family&quot;:&quot;Ikpeazu&quot;,&quot;given&quot;:&quot;Chukwuemeka&quot;},{&quot;family&quot;:&quot;Mudad&quot;,&quot;given&quot;:&quot;Raja&quot;},{&quot;family&quot;:&quot;Lopes&quot;,&quot;given&quot;:&quot;Gilberto&quot;},{&quot;family&quot;:&quot;Jahanzeb&quot;,&quot;given&quot;:&quot;Mohammad&quot;}],&quot;title&quot;:&quot;Developing a Predictive Model for Clinical Outcomes of Advanced Non-Small Cell Lung Cancer Patients Treated With Nivolumab&quot;,&quot;ISSN&quot;:&quot;1525-7304&quot;,&quot;DOI&quot;:&quot;10.1016/j.cllc.2017.12.007&quot;,&quot;PMID&quot;:&quot;29336998&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issued&quot;:{&quot;year&quot;:2017},&quot;page&quot;:&quot;280-288.e4&quot;,&quot;issue&quot;:&quot;3&quot;,&quot;volume&quot;:&quot;19&quot;,&quot;journalAbbreviation&quot;:&quot;Clin Lung Cancer&quot;,&quot;container-title&quot;:&quot;Clinical Lung Cancer&quot;,&quot;id&quot;:&quot;9d8fab2e-1689-4fb0-bf56-20807cf4d291&quot;,&quot;page-first&quot;:&quot;280&quot;,&quot;container-title-short&quot;:&quot;Clin Lung Cancer&quot;}}]"/>
    <we:property name="-2097854960" value="[{&quot;id&quot;:&quot;c231b7b3-1096-4f84-967b-88d935fa9129&quot;,&quot;article&quot;:{&quot;journal_abbrev&quot;:&quot;Jama Oncol&quot;,&quot;pagination&quot;:&quot;1481&quot;,&quot;authors&quot;:[&quot;Dickran Kazandjian&quot;,&quot;Yutao Gong&quot;,&quot;Patricia Keegan&quot;,&quot;Richard Pazdur&quot;,&quot;Gideon M Blumenthal&quot;],&quot;publisher&quot;:&quot;&quot;,&quot;abstract&quot;:&quot;Previous studies have suggested the importance of the baseline derived neutrophil to lymphocyte ratio (dNLR) and lactate dehydrogenase (LDH) level as prognostic markers. The lung immune prognostic index (LIPI) was shown to be associated with progression-free survival (PFS) and overall survival (OS) among patients with metastatic non-small cell lung cancer (mNSCLC) treated with immune checkpoint inhibitors (ICIs) but not cytotoxic chemotherapy (CCT).&quot;,&quot;year&quot;:2019,&quot;chapter&quot;:&quot;&quot;,&quot;journal&quot;:&quot;JAMA Oncology&quot;,&quot;volume&quot;:&quot;5&quot;,&quot;title&quot;:&quot;Prognostic Value of the Lung Immune Prognostic Index for Patients Treated for Metastatic Non–Small Cell Lung Cancer&quot;,&quot;issue&quot;:&quot;10&quot;,&quot;issn&quot;:&quot;2374-2437&quot;,&quot;isbn&quot;:&quot;&quot;,&quot;url&quot;:&quot;https://jamanetwork.com/journals/jamaoncology/fullarticle/2738768&quot;},&quot;collection_group_id&quot;:&quot;&quot;,&quot;collection_id&quot;:&quot;4e0192db-b678-400e-ba1d-e378d3262964&quot;,&quot;item_type&quot;:&quot;article&quot;,&quot;deleted&quot;:false,&quot;files&quot;:[],&quot;ext_ids&quot;:{&quot;pmid&quot;:&quot;31343662&quot;,&quot;doi&quot;:&quot;10.1001/jamaoncol.2019.1747&quot;},&quot;user_data&quot;:{&quot;created&quot;:&quot;2020-05-15T14:50:55Z&quot;,&quot;modified&quot;:&quot;2020-05-15T14:50:55Z&quot;,&quot;createdby&quot;:&quot;webapp 4.3.1&quot;,&quot;modifiedby&quot;:&quot;webapp 4.3.1&quot;,&quot;has_annotations&quot;:false,&quot;unread&quot;:true,&quot;last_read&quot;:null},&quot;checked&quot;:false,&quot;atIndex&quot;:23,&quot;item&quot;:{&quot;type&quot;:&quot;article-journal&quot;,&quot;author&quot;:[{&quot;family&quot;:&quot;Kazandjian&quot;,&quot;given&quot;:&quot;Dickran&quot;},{&quot;family&quot;:&quot;Gong&quot;,&quot;given&quot;:&quot;Yutao&quot;},{&quot;family&quot;:&quot;Keegan&quot;,&quot;given&quot;:&quot;Patricia&quot;},{&quot;family&quot;:&quot;Pazdur&quot;,&quot;given&quot;:&quot;Richard&quot;},{&quot;family&quot;:&quot;Blumenthal&quot;,&quot;given&quot;:&quot;Gideon M&quot;}],&quot;title&quot;:&quot;Prognostic Value of the Lung Immune Prognostic Index for Patients Treated for Metastatic Non–Small Cell Lung Cancer&quot;,&quot;ISSN&quot;:&quot;2374-2437&quot;,&quot;DOI&quot;:&quot;10.1001/jamaoncol.2019.1747&quot;,&quot;PMID&quot;:&quot;31343662&quot;,&quot;abstract&quot;:&quot;Previous studies have suggested the importance of the baseline derived neutrophil to lymphocyte ratio (dNLR) and lactate dehydrogenase (LDH) level as prognostic markers. The lung immune prognostic index (LIPI) was shown to be associated with progression-free survival (PFS) and overall survival (OS) among patients with metastatic non-small cell lung cancer (mNSCLC) treated with immune checkpoint inhibitors (ICIs) but not cytotoxic chemotherapy (CCT).&quot;,&quot;issued&quot;:{&quot;year&quot;:2019},&quot;page&quot;:&quot;1481&quot;,&quot;issue&quot;:&quot;10&quot;,&quot;volume&quot;:&quot;5&quot;,&quot;journalAbbreviation&quot;:&quot;Jama Oncol&quot;,&quot;container-title&quot;:&quot;JAMA Oncology&quot;,&quot;id&quot;:&quot;c231b7b3-1096-4f84-967b-88d935fa9129&quot;,&quot;page-first&quot;:&quot;1481&quot;,&quot;container-title-short&quot;:&quot;Jama Oncol&quot;}}]"/>
    <we:property name="-261683627" value="[{&quot;id&quot;:&quot;8ae86fbe-e0fb-4f22-b59a-15961ebe6ec4&quot;,&quot;article&quot;:{&quot;journal_abbrev&quot;:&quot;Cancer Med-us&quot;,&quot;pagination&quot;:&quot;1467-1473&quot;,&quot;authors&quot;:[&quot;Zhibo Zhang&quot;,&quot;Ye Li&quot;,&quot;Xiang Yan&quot;,&quot;Qi Song&quot;,&quot;Guoqiang Wang&quot;,&quot;Yi Hu&quot;,&quot;Shunchang Jiao&quot;,&quot;Jinliang Wang&quot;],&quot;publisher&quot;:&quot;&quot;,&quot;abstract&quot;:&quot;The main aim of this study is to investigate whether baseline lactate dehydrogenase (LDH) is associated with the clinical outcome of non small‐cell lung cancer (NSCLC) patients treated with immune checkpoint inhibitors (ICIs). We searched Pubmed, the Cochrane Central library and Embase for peripheral blood biomarker of LDH in advanced NSCLC patients treated with ICIs. We extracted the hazard ratio (HR) with 95% confidence interval (CI) for the progression free survival (PFS) and overall survival (OS) and performed meta‐analysis of HR. Pooled estimates of treatment outcomes were calculated by stata 15.1. Six studies with 1136 patients were included in this study. The pooled results of univariate analysis suggested that an elevated pretreatment LDH level was correlated with significant shorter PFS (HR = 1.53, 95% CI 1.27‐1.83, P &lt; 0.001) and OS (HR = 2.11, 95% CI 1.43‐3.11, P &lt; 0.001). The association remained significant in the multivariate analysis that elevated pretreatment LDH level was associated with poor PFS (HR = 1.62, 95% CI 1.26‐2.08, P &lt; 0.001) and OS (HR = 2.38, 95% CI 1.37‐4.12, P = 0.002). A high pretreatment LDH level was significantly correlated with shorter PFS and OS. Pretreatment LDH may serve as a predictive biomarker for advanced NSCLC patients treated with ICIs. Immunotherapy renovates the standard treatment for advanced NSCLC patients, necessitating further investigation into biomarkers to predict its clinical benefits. Compared to genomic characteristics, pretreatment LDH is a readily and cost‐effective index. This meta‐analysis involving six studies with 1136 cases delineates the predicting efficacy of LDH that associates with PFS and OS in NSCLC patients treated with ICIs.&quot;,&quot;year&quot;:2019,&quot;chapter&quot;:&quot;&quot;,&quot;journal&quot;:&quot;Cancer Medicine&quot;,&quot;volume&quot;:&quot;8&quot;,&quot;title&quot;:&quot;Pretreatment lactate dehydrogenase may predict outcome of advanced non small‐cell lung cancer patients treated with immune checkpoint inhibitors: A meta‐analysis&quot;,&quot;issue&quot;:&quot;4&quot;,&quot;issn&quot;:&quot;2045-7634&quot;,&quot;isbn&quot;:&quot;&quot;,&quot;url&quot;:&quot;https://onlinelibrary.wiley.com/doi/abs/10.1002/cam4.2024&quot;},&quot;collection_group_id&quot;:&quot;&quot;,&quot;collection_id&quot;:&quot;4e0192db-b678-400e-ba1d-e378d3262964&quot;,&quot;item_type&quot;:&quot;article&quot;,&quot;deleted&quot;:false,&quot;files&quot;:[{&quot;name&quot;:&quot;onlinelibrary.wiley.com 5/20/2020, 5:11:07 PM.pdf&quot;,&quot;size&quot;:229197,&quot;type&quot;:&quot;article&quot;,&quot;pages&quot;:7,&quot;sha256&quot;:&quot;ba7db715d310c23a18a25088a71aacb6a824cb2e3267f9856ad9905ae1d1b483&quot;,&quot;created&quot;:&quot;2020-05-20T21:11:39Z&quot;,&quot;file_type&quot;:&quot;pdf&quot;,&quot;source_url&quot;:&quot;onlinelibrary.wiley.com%205%2F20%2F2020%2C%205%3A11%3A07%20PM.pdf&quot;,&quot;access_method&quot;:&quot;personal_library&quot;,&quot;pdf_text_url&quot;:&quot;https://s3.amazonaws.com/objects.readcube.com/prerendered/ba7db715d310c23a18a25088a71aacb6a824cb2e3267f9856ad9905ae1d1b483/pdftext.txt?X-Amz-Algorithm=AWS4-HMAC-SHA256&amp;X-Amz-Credential=AKIAJAWZ5L6BMTSOH3EA%2F20200520%2Fus-east-1%2Fs3%2Faws4_request&amp;X-Amz-Date=20200520T211442Z&amp;X-Amz-Expires=86400&amp;X-Amz-SignedHeaders=host&amp;X-Amz-Signature=1f86a0705f5caee59d0f2043ff347017069d1b673425257dc492b69c4ee13480&quot;}],&quot;ext_ids&quot;:{&quot;pmid&quot;:&quot;30848091&quot;,&quot;doi&quot;:&quot;10.1002/cam4.2024&quot;},&quot;user_data&quot;:{&quot;created&quot;:&quot;2020-05-20T21:11:39Z&quot;,&quot;modified&quot;:&quot;2020-05-20T21:11:39Z&quot;,&quot;createdby&quot;:&quot;browser_extension_aa chrome-v2.67&quot;,&quot;modifiedby&quot;:&quot;browser_extension_aa chrome-v2.67&quot;,&quot;has_annotations&quot;:false,&quot;unread&quot;:true,&quot;last_read&quot;:null},&quot;checked&quot;:false,&quot;atIndex&quot;:69,&quot;item&quot;:{&quot;type&quot;:&quot;article-journal&quot;,&quot;author&quot;:[{&quot;family&quot;:&quot;Zhang&quot;,&quot;given&quot;:&quot;Zhibo&quot;},{&quot;family&quot;:&quot;Li&quot;,&quot;given&quot;:&quot;Ye&quot;},{&quot;family&quot;:&quot;Yan&quot;,&quot;given&quot;:&quot;Xiang&quot;},{&quot;family&quot;:&quot;Song&quot;,&quot;given&quot;:&quot;Qi&quot;},{&quot;family&quot;:&quot;Wang&quot;,&quot;given&quot;:&quot;Guoqiang&quot;},{&quot;family&quot;:&quot;Hu&quot;,&quot;given&quot;:&quot;Yi&quot;},{&quot;family&quot;:&quot;Jiao&quot;,&quot;given&quot;:&quot;Shunchang&quot;},{&quot;family&quot;:&quot;Wang&quot;,&quot;given&quot;:&quot;Jinliang&quot;}],&quot;title&quot;:&quot;Pretreatment lactate dehydrogenase may predict outcome of advanced non small‐cell lung cancer patients treated with immune checkpoint inhibitors: A meta‐analysis&quot;,&quot;ISSN&quot;:&quot;2045-7634&quot;,&quot;DOI&quot;:&quot;10.1002/cam4.2024&quot;,&quot;PMID&quot;:&quot;30848091&quot;,&quot;abstract&quot;:&quot;The main aim of this study is to investigate whether baseline lactate dehydrogenase (LDH) is associated with the clinical outcome of non small‐cell lung cancer (NSCLC) patients treated with immune checkpoint inhibitors (ICIs). We searched Pubmed, the Cochrane Central library and Embase for peripheral blood biomarker of LDH in advanced NSCLC patients treated with ICIs. We extracted the hazard ratio (HR) with 95% confidence interval (CI) for the progression free survival (PFS) and overall survival (OS) and performed meta‐analysis of HR. Pooled estimates of treatment outcomes were calculated by stata 15.1. Six studies with 1136 patients were included in this study. The pooled results of univariate analysis suggested that an elevated pretreatment LDH level was correlated with significant shorter PFS (HR = 1.53, 95% CI 1.27‐1.83, P &lt; 0.001) and OS (HR = 2.11, 95% CI 1.43‐3.11, P &lt; 0.001). The association remained significant in the multivariate analysis that elevated pretreatment LDH level was associated with poor PFS (HR = 1.62, 95% CI 1.26‐2.08, P &lt; 0.001) and OS (HR = 2.38, 95% CI 1.37‐4.12, P = 0.002). A high pretreatment LDH level was significantly correlated with shorter PFS and OS. Pretreatment LDH may serve as a predictive biomarker for advanced NSCLC patients treated with ICIs. Immunotherapy renovates the standard treatment for advanced NSCLC patients, necessitating further investigation into biomarkers to predict its clinical benefits. Compared to genomic characteristics, pretreatment LDH is a readily and cost‐effective index. This meta‐analysis involving six studies with 1136 cases delineates the predicting efficacy of LDH that associates with PFS and OS in NSCLC patients treated with ICIs.&quot;,&quot;issued&quot;:{&quot;year&quot;:2019},&quot;page&quot;:&quot;1467-1473&quot;,&quot;issue&quot;:&quot;4&quot;,&quot;volume&quot;:&quot;8&quot;,&quot;journalAbbreviation&quot;:&quot;Cancer Med-us&quot;,&quot;container-title&quot;:&quot;Cancer Medicine&quot;,&quot;id&quot;:&quot;8ae86fbe-e0fb-4f22-b59a-15961ebe6ec4&quot;,&quot;page-first&quot;:&quot;1467&quot;,&quot;container-title-short&quot;:&quot;Cancer Med-us&quot;}}]"/>
    <we:property name="-29264583" value="[{&quot;id&quot;:&quot;c241c548-487b-40a1-aa73-68886a980ff5&quot;,&quot;article&quot;:{&quot;journal_abbrev&quot;:&quot;Clin Lung Cancer&quot;,&quot;pagination&quot;:&quot;426-434.e1&quot;,&quot;authors&quot;:[&quot;Alona Zer&quot;,&quot;Mike R. Sung&quot;,&quot;Preet Walia&quot;,&quot;Leila Khoja&quot;,&quot;Manjula Maganti&quot;,&quot;Catherine Labbe&quot;,&quot;Frances A. Shepherd&quot;,&quot;Penelope A. Bradbury&quot;,&quot;Ronald Feld&quot;,&quot;Geoffrey Liu&quot;,&quot;Melissa Iazzi&quot;,&quot;Dianne Zawisza&quot;,&quot;Nazanin Nouriany&quot;,&quot;Natasha B. Leighl&quot;],&quot;publisher&quot;:&quot;&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year&quot;:2018,&quot;chapter&quot;:&quot;&quot;,&quot;journal&quot;:&quot;&quot;,&quot;volume&quot;:&quot;9(5)&quot;,&quot;title&quot;:&quot;Correlation of Neutrophil to Lymphocyte Ratio and Absolute Neutrophil Count With Outcomes With PD-1 Axis Inhibitors in Patients With Advanced Non-Small-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pmid&quot;:&quot;29803574&quot;,&quot;doi&quot;:&quot;10.1016/j.cllc.2018.04.008&quot;},&quot;user_data&quot;:{&quot;created&quot;:&quot;2020-05-18T21:38:17Z&quot;,&quot;modified&quot;:&quot;2020-05-18T21:49:04Z&quot;,&quot;createdby&quot;:&quot;webapp 4.3.1&quot;,&quot;modifiedby&quot;:&quot;webapp 4.3.1&quot;,&quot;has_annotations&quot;:false,&quot;unread&quot;:true,&quot;last_read&quot;:null},&quot;checked&quot;:false,&quot;item&quot;:{&quot;type&quot;:&quot;article-journal&quot;,&quot;author&quot;:[{&quot;family&quot;:&quot;Zer&quot;,&quot;given&quot;:&quot;Alona&quot;},{&quot;family&quot;:&quot;Sung&quot;,&quot;given&quot;:&quot;Mike R.&quot;},{&quot;family&quot;:&quot;Walia&quot;,&quot;given&quot;:&quot;Preet&quot;},{&quot;family&quot;:&quot;Khoja&quot;,&quot;given&quot;:&quot;Leila&quot;},{&quot;family&quot;:&quot;Maganti&quot;,&quot;given&quot;:&quot;Manjula&quot;},{&quot;family&quot;:&quot;Labbe&quot;,&quot;given&quot;:&quot;Catherine&quot;},{&quot;family&quot;:&quot;Shepherd&quot;,&quot;given&quot;:&quot;Frances A.&quot;},{&quot;family&quot;:&quot;Bradbury&quot;,&quot;given&quot;:&quot;Penelope A.&quot;},{&quot;family&quot;:&quot;Feld&quot;,&quot;given&quot;:&quot;Ronald&quot;},{&quot;family&quot;:&quot;Liu&quot;,&quot;given&quot;:&quot;Geoffrey&quot;},{&quot;family&quot;:&quot;Iazzi&quot;,&quot;given&quot;:&quot;Melissa&quot;},{&quot;family&quot;:&quot;Zawisza&quot;,&quot;given&quot;:&quot;Dianne&quot;},{&quot;family&quot;:&quot;Nouriany&quot;,&quot;given&quot;:&quot;Nazanin&quot;},{&quot;family&quot;:&quot;Leighl&quot;,&quot;given&quot;:&quot;Natasha B.&quot;}],&quot;title&quot;:&quot;Correlation of Neutrophil to Lymphocyte Ratio and Absolute Neutrophil Count With Outcomes With PD-1 Axis Inhibitors in Patients With Advanced Non-Small-Cell Lung Cancer.&quot;,&quot;DOI&quot;:&quot;10.1016/j.cllc.2018.04.008&quot;,&quot;PMID&quot;:&quot;29803574&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issued&quot;:{&quot;year&quot;:2018},&quot;page&quot;:&quot;426-434.e1&quot;,&quot;volume&quot;:&quot;9(5)&quot;,&quot;journalAbbreviation&quot;:&quot;Clin Lung Cancer&quot;,&quot;id&quot;:&quot;c241c548-487b-40a1-aa73-68886a980ff5&quot;,&quot;page-first&quot;:&quot;426&quot;,&quot;container-title-short&quot;:&quot;Clin Lung Cancer&quot;}}]"/>
    <we:property name="-337463547" value="[{&quot;id&quot;:&quot;69907a05-822b-4415-9bab-79c27ff9d661&quot;,&quot;article&quot;:{&quot;journal_abbrev&quot;:&quot;Plos One&quot;,&quot;pagination&quot;:&quot;e0193018&quot;,&quot;authors&quot;:[&quot;Tatsunori Kiriu&quot;,&quot;Masatsugu Yamamoto&quot;,&quot;Tatsuya Nagano&quot;,&quot;Daisuke Hazama&quot;,&quot;Reina Sekiya&quot;,&quot;Masahiro Katsurada&quot;,&quot;Daisuke Tamura&quot;,&quot;Motoko Tachihara&quot;,&quot;Kazuyuki Kobayashi&quot;,&quot;Yoshihiro Nishimura&quot;],&quot;publisher&quot;:&quot;&quot;,&quot;abstract&quot;:&quot;Nivolumab improves the survival of advanced non-small cell lung cancer (NSCLC), but a significant number of patients still fail to benefit from this treatment. In this study, we evaluated the efficacy of the time-series behavior of neutrophil-to-lymphocyte ratio (NLR) in a complete blood count from advanced NSCLC patients as a predictive marker of the anticancer effect of nivolumab. We performed a retrospective review of medical records and collected data on patients with advanced NSCLC treated with nivolumab as second- and further-line treatments from December 2015 to March 2017. The NLRs were calculated before each treatment cycle for four cycles. These parameters were tested for its association with the overall survival (OS), progression-free survival (PFS) and time to treatment failure (TTF). Nineteen patients were treated with nivolumab. Stratified by the response to nivolumab, the median OS was 2.8 months in progressive disease (PD) and 14.0 months in non-PD (p = 0.002). Before discontinuation of PD or toxicity, an NLR is rising from baseline in 5 out of 7 patients with PD and all of 4 patients with discontinuation due to toxicity. Patients with an &gt;30% increase in NLR were associated with a significantly shorter TTF compared with those with stable or decrease in NLR both after first cycle (p = 0.014) and second cycle (p &lt; 0.001). The NLR is suggested to be useful not only as a prognostic marker but also as a predictive marker for treatment with nivolumab. Further prospective study is warranted to develop a predictive algorithm to detect PD cases as early as possible by focusing the time-series behavior of NLR.&quot;,&quot;year&quot;:2018,&quot;chapter&quot;:&quot;&quot;,&quot;journal&quot;:&quot;PLOS ONE&quot;,&quot;volume&quot;:&quot;13&quot;,&quot;title&quot;:&quot;The time-series behavior of neutrophil-to-lymphocyte ratio is useful as a predictive marker in non-small cell lung cancer&quot;,&quot;issue&quot;:&quot;2&quot;,&quot;issn&quot;:&quot;&quot;,&quot;isbn&quot;:&quot;&quot;,&quot;url&quot;:&quot;http://journals.plos.org/plosone/article?id=10.1371/journal.pone.0193018&quot;},&quot;collection_group_id&quot;:&quot;&quot;,&quot;collection_id&quot;:&quot;4e0192db-b678-400e-ba1d-e378d3262964&quot;,&quot;item_type&quot;:&quot;article&quot;,&quot;deleted&quot;:false,&quot;files&quot;:[{&quot;name&quot;:&quot;IO_NLR_Time_Series_NSCLC.pdf&quot;,&quot;size&quot;:2045047,&quot;type&quot;:&quot;article&quot;,&quot;pages&quot;:13,&quot;sha256&quot;:&quot;368d0432f977bda0900d43c3afac042e8b13a9c67ece4fe73e88c90108b5d4d7&quot;,&quot;created&quot;:&quot;2020-05-18T15:11:06Z&quot;,&quot;file_type&quot;:&quot;pdf&quot;,&quot;access_method&quot;:&quot;personal_library&quot;,&quot;pdf_text_url&quot;:&quot;https://s3.amazonaws.com/objects.readcube.com/prerendered/368d0432f977bda0900d43c3afac042e8b13a9c67ece4fe73e88c90108b5d4d7/pdftext.txt?X-Amz-Algorithm=AWS4-HMAC-SHA256&amp;X-Amz-Credential=AKIAJAWZ5L6BMTSOH3EA%2F20200518%2Fus-east-1%2Fs3%2Faws4_request&amp;X-Amz-Date=20200518T151211Z&amp;X-Amz-Expires=86400&amp;X-Amz-SignedHeaders=host&amp;X-Amz-Signature=f79a6f090bcc0cb47026f03f87810fe442705baa28ddf65bd786b94b3088f27e&quot;}],&quot;ext_ids&quot;:{&quot;pmid&quot;:&quot;29447258&quot;,&quot;doi&quot;:&quot;10.1371/journal.pone.0193018&quot;},&quot;user_data&quot;:{&quot;created&quot;:&quot;2020-05-18T15:11:06Z&quot;,&quot;modified&quot;:&quot;2020-05-18T15:11:06Z&quot;,&quot;createdby&quot;:&quot;webapp 4.3.1&quot;,&quot;modifiedby&quot;:&quot;webapp 4.3.1&quot;,&quot;has_annotations&quot;:false,&quot;unread&quot;:true,&quot;last_read&quot;:null},&quot;checked&quot;:false,&quot;atIndex&quot;:21,&quot;item&quot;:{&quot;type&quot;:&quot;article-journal&quot;,&quot;author&quot;:[{&quot;family&quot;:&quot;Kiriu&quot;,&quot;given&quot;:&quot;Tatsunori&quot;},{&quot;family&quot;:&quot;Yamamoto&quot;,&quot;given&quot;:&quot;Masatsugu&quot;},{&quot;family&quot;:&quot;Nagano&quot;,&quot;given&quot;:&quot;Tatsuya&quot;},{&quot;family&quot;:&quot;Hazama&quot;,&quot;given&quot;:&quot;Daisuke&quot;},{&quot;family&quot;:&quot;Sekiya&quot;,&quot;given&quot;:&quot;Reina&quot;},{&quot;family&quot;:&quot;Katsurada&quot;,&quot;given&quot;:&quot;Masahiro&quot;},{&quot;family&quot;:&quot;Tamura&quot;,&quot;given&quot;:&quot;Daisuke&quot;},{&quot;family&quot;:&quot;Tachihara&quot;,&quot;given&quot;:&quot;Motoko&quot;},{&quot;family&quot;:&quot;Kobayashi&quot;,&quot;given&quot;:&quot;Kazuyuki&quot;},{&quot;family&quot;:&quot;Nishimura&quot;,&quot;given&quot;:&quot;Yoshihiro&quot;}],&quot;title&quot;:&quot;The time-series behavior of neutrophil-to-lymphocyte ratio is useful as a predictive marker in non-small cell lung cancer&quot;,&quot;DOI&quot;:&quot;10.1371/journal.pone.0193018&quot;,&quot;PMID&quot;:&quot;29447258&quot;,&quot;abstract&quot;:&quot;Nivolumab improves the survival of advanced non-small cell lung cancer (NSCLC), but a significant number of patients still fail to benefit from this treatment. In this study, we evaluated the efficacy of the time-series behavior of neutrophil-to-lymphocyte ratio (NLR) in a complete blood count from advanced NSCLC patients as a predictive marker of the anticancer effect of nivolumab. We performed a retrospective review of medical records and collected data on patients with advanced NSCLC treated with nivolumab as second- and further-line treatments from December 2015 to March 2017. The NLRs were calculated before each treatment cycle for four cycles. These parameters were tested for its association with the overall survival (OS), progression-free survival (PFS) and time to treatment failure (TTF). Nineteen patients were treated with nivolumab. Stratified by the response to nivolumab, the median OS was 2.8 months in progressive disease (PD) and 14.0 months in non-PD (p = 0.002). Before discontinuation of PD or toxicity, an NLR is rising from baseline in 5 out of 7 patients with PD and all of 4 patients with discontinuation due to toxicity. Patients with an &gt;30% increase in NLR were associated with a significantly shorter TTF compared with those with stable or decrease in NLR both after first cycle (p = 0.014) and second cycle (p &lt; 0.001). The NLR is suggested to be useful not only as a prognostic marker but also as a predictive marker for treatment with nivolumab. Further prospective study is warranted to develop a predictive algorithm to detect PD cases as early as possible by focusing the time-series behavior of NLR.&quot;,&quot;issued&quot;:{&quot;year&quot;:2018},&quot;page&quot;:&quot;e0193018&quot;,&quot;issue&quot;:&quot;2&quot;,&quot;volume&quot;:&quot;13&quot;,&quot;journalAbbreviation&quot;:&quot;Plos One&quot;,&quot;container-title&quot;:&quot;PLOS ONE&quot;,&quot;id&quot;:&quot;69907a05-822b-4415-9bab-79c27ff9d661&quot;,&quot;page-first&quot;:&quot;e0193018&quot;,&quot;container-title-short&quot;:&quot;Plos One&quot;}}]"/>
    <we:property name="-550771053" value="[{&quot;id&quot;:&quot;1776ab4e-9167-4d24-a331-b472d63b2ebb&quot;,&quot;article&quot;:{&quot;journal_abbrev&quot;:&quot;Thorac Cancer&quot;,&quot;pagination&quot;:&quot;1291-1299&quot;,&quot;authors&quot;:[&quot;Takayuki Takeda&quot;,&quot;Mayumi Takeuchi&quot;,&quot;Masahiko Saitoh&quot;,&quot;Sorou Takeda&quot;],&quot;publisher&quot;:&quot;&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year&quot;:2018,&quot;chapter&quot;:&quot;&quot;,&quot;journal&quot;:&quot;Thoracic Cancer&quot;,&quot;volume&quot;:&quot;9&quot;,&quot;title&quot;:&quot;Neutrophil-to-lymphocyte ratio after four weeks of nivolumab administration as a predictive marker in patients with pretreated non-small-cell lung cancer&quot;,&quot;issue&quot;:&quot;10&quot;,&quot;issn&quot;:&quot;1759-7706&quot;,&quot;isbn&quot;:&quot;&quot;,&quot;url&quot;:&quot;http://doi.wiley.com/10.1111/1759-7714.12838&quot;},&quot;collection_group_id&quot;:&quot;&quot;,&quot;collection_id&quot;:&quot;4e0192db-b678-400e-ba1d-e378d3262964&quot;,&quot;item_type&quot;:&quot;article&quot;,&quot;deleted&quot;:false,&quot;files&quot;:[{&quot;name&quot;:&quot;Neutrophil‐to‐lymphocyte ratio after four weeks of nivolumab administration as a predictive marker in patients with pretreated non‐small‐cell lung cancer.pdf&quot;,&quot;size&quot;:244419,&quot;type&quot;:&quot;article&quot;,&quot;pages&quot;:9,&quot;sha256&quot;:&quot;8e33e0c23535c849e1478a0600bbca7cb4ede9ea97c6d3c444ea1ac26437b9db&quot;,&quot;created&quot;:&quot;2020-05-15T16:21:54Z&quot;,&quot;file_type&quot;:&quot;pdf&quot;,&quot;access_method&quot;:&quot;open_access&quot;,&quot;pdf_text_url&quot;:&quot;https://s3.amazonaws.com/objects.readcube.com/prerendered/8e33e0c23535c849e1478a0600bbca7cb4ede9ea97c6d3c444ea1ac26437b9db/pdftext.txt?X-Amz-Algorithm=AWS4-HMAC-SHA256&amp;X-Amz-Credential=AKIAJAWZ5L6BMTSOH3EA%2F20200515%2Fus-east-1%2Fs3%2Faws4_request&amp;X-Amz-Date=20200515T162154Z&amp;X-Amz-Expires=86400&amp;X-Amz-SignedHeaders=host&amp;X-Amz-Signature=7beb8049600e1222d9c9251d4514d75e060843fc1ef7753ef3876659d9ae4b0b&quot;}],&quot;ext_ids&quot;:{&quot;pmid&quot;:&quot;30126063&quot;,&quot;doi&quot;:&quot;10.1111/1759-7714.12838&quot;},&quot;user_data&quot;:{&quot;created&quot;:&quot;2020-05-15T14:59:05Z&quot;,&quot;modified&quot;:&quot;2020-05-15T16:21:54Z&quot;,&quot;createdby&quot;:&quot;webapp 4.3.1&quot;,&quot;modifiedby&quot;:&quot;smartcite_word 1.11.0&quot;,&quot;annotations&quot;:[],&quot;unread&quot;:true,&quot;last_read&quot;:null},&quot;atIndex&quot;:5,&quot;item&quot;:{&quot;type&quot;:&quot;article-journal&quot;,&quot;author&quot;:[{&quot;family&quot;:&quot;Takeda&quot;,&quot;given&quot;:&quot;Takayuki&quot;},{&quot;family&quot;:&quot;Takeuchi&quot;,&quot;given&quot;:&quot;Mayumi&quot;},{&quot;family&quot;:&quot;Saitoh&quot;,&quot;given&quot;:&quot;Masahiko&quot;},{&quot;family&quot;:&quot;Takeda&quot;,&quot;given&quot;:&quot;Sorou&quot;}],&quot;title&quot;:&quot;Neutrophil-to-lymphocyte ratio after four weeks of nivolumab administration as a predictive marker in patients with pretreated non-small-cell lung cancer&quot;,&quot;ISSN&quot;:&quot;1759-7706&quot;,&quot;DOI&quot;:&quot;10.1111/1759-7714.12838&quot;,&quot;PMID&quot;:&quot;30126063&quot;,&quot;abstract&quot;:&quot;Although phase III trials have shown improved overall and progression-free survival (PFS) using nivolumab compared to docetaxel in patients with non-small-cell lung cancer, the progressive disease ratio of nivolumab is higher than docetaxel. Furthermore, nonconventional response patterns of nivolumab make it difficult to determine the time point for nivolumab discontinuation. Therefore, a method to detect non-responders to nivolumab at an early time point is crucial. This retrospective study was conducted to identify immunological and nutritional markers, including neutrophil-to-lymphocyte ratios (NLR), which would predict the efficacy of nivolumab treatment. Because the expression of these markers fluctuates dramatically during treatment, repeat evaluation was performed.&quot;,&quot;issued&quot;:{&quot;year&quot;:2018},&quot;page&quot;:&quot;1291-1299&quot;,&quot;issue&quot;:&quot;10&quot;,&quot;volume&quot;:&quot;9&quot;,&quot;journalAbbreviation&quot;:&quot;Thorac Cancer&quot;,&quot;container-title&quot;:&quot;Thoracic Cancer&quot;,&quot;id&quot;:&quot;1776ab4e-9167-4d24-a331-b472d63b2ebb&quot;,&quot;page-first&quot;:&quot;1291&quot;,&quot;container-title-short&quot;:&quot;Thorac Cancer&quot;}}]"/>
    <we:property name="-636028720" value="[{&quot;id&quot;:&quot;1ad1efbe-0791-4c3e-a712-5cc7503db85c&quot;,&quot;article&quot;:{&quot;journal_abbrev&quot;:&quot;Cancer Med-us&quot;,&quot;pagination&quot;:&quot;13-20&quot;,&quot;authors&quot;:[&quot;Takayuki Shiroyama&quot;,&quot;Hidekazu Suzuki&quot;,&quot;Motohiro Tamiya&quot;,&quot;Akihiro Tamiya&quot;,&quot;Ayako Tanaka&quot;,&quot;Norio Okamoto&quot;,&quot;Kenji Nakahama&quot;,&quot;Yoshihiko Taniguchi&quot;,&quot;Shun‐ichi Isa&quot;,&quot;Takako Inoue&quot;,&quot;Fumio Imamura&quot;,&quot;Shinji Atagi&quot;,&quot;Tomonori Hirashima&quot;],&quot;publisher&quot;:&quot;&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year&quot;:2018,&quot;chapter&quot;:&quot;&quot;,&quot;journal&quot;:&quot;Cancer Medicine&quot;,&quot;volume&quot;:&quot;7&quot;,&quot;title&quot;:&quot;Pretreatment advanced lung cancer inflammation index (ALI) for predicting early progression in nivolumab‐treated patients with advanced non–small cell lung cancer&quot;,&quot;issue&quot;:&quot;1&quot;,&quot;issn&quot;:&quot;2045-7634&quot;,&quot;isbn&quot;:&quot;&quot;,&quot;url&quot;:&quot;http://onlinelibrary.wiley.com/doi/10.1002/cam4.1234/abstract&quot;},&quot;collection_group_id&quot;:&quot;&quot;,&quot;collection_id&quot;:&quot;4e0192db-b678-400e-ba1d-e378d3262964&quot;,&quot;item_type&quot;:&quot;article&quot;,&quot;deleted&quot;:false,&quot;files&quot;:[{&quot;name&quot;:&quot;IO_NLR_Baseline_Albumin_ALIndex.pdf&quot;,&quot;size&quot;:193543,&quot;type&quot;:&quot;article&quot;,&quot;pages&quot;:8,&quot;sha256&quot;:&quot;4d5b2a9091e803d49dae88cac4069e9fad07348416586f7c95496c6c49dccc76&quot;,&quot;created&quot;:&quot;2020-05-18T20:10:18Z&quot;,&quot;file_type&quot;:&quot;pdf&quot;,&quot;access_method&quot;:&quot;personal_library&quot;,&quot;pdf_text_url&quot;:&quot;https://s3.amazonaws.com/objects.readcube.com/prerendered/4d5b2a9091e803d49dae88cac4069e9fad07348416586f7c95496c6c49dccc76/pdftext.txt?X-Amz-Algorithm=AWS4-HMAC-SHA256&amp;X-Amz-Credential=AKIAJAWZ5L6BMTSOH3EA%2F20200518%2Fus-east-1%2Fs3%2Faws4_request&amp;X-Amz-Date=20200518T212212Z&amp;X-Amz-Expires=86400&amp;X-Amz-SignedHeaders=host&amp;X-Amz-Signature=0c4090ef1dfd5aee25a2793b13a403d9de02c8a8e675de0f3f247aa6dd75c00f&quot;}],&quot;ext_ids&quot;:{&quot;pmid&quot;:&quot;29150906&quot;,&quot;doi&quot;:&quot;10.1002/cam4.1234&quot;},&quot;user_data&quot;:{&quot;created&quot;:&quot;2020-05-18T20:10:18Z&quot;,&quot;modified&quot;:&quot;2020-05-18T20:10:18Z&quot;,&quot;createdby&quot;:&quot;webapp 4.3.1&quot;,&quot;modifiedby&quot;:&quot;webapp 4.3.1&quot;,&quot;has_annotations&quot;:false,&quot;unread&quot;:true,&quot;last_read&quot;:null},&quot;checked&quot;:false,&quot;atIndex&quot;:41,&quot;item&quot;:{&quot;type&quot;:&quot;article-journal&quot;,&quot;author&quot;:[{&quot;family&quot;:&quot;Shiroyama&quot;,&quot;given&quot;:&quot;Takayuki&quot;},{&quot;family&quot;:&quot;Suzuki&quot;,&quot;given&quot;:&quot;Hidekazu&quot;},{&quot;family&quot;:&quot;Tamiya&quot;,&quot;given&quot;:&quot;Motohiro&quot;},{&quot;family&quot;:&quot;Tamiya&quot;,&quot;given&quot;:&quot;Akihiro&quot;},{&quot;family&quot;:&quot;Tanaka&quot;,&quot;given&quot;:&quot;Ayako&quot;},{&quot;family&quot;:&quot;Okamoto&quot;,&quot;given&quot;:&quot;Norio&quot;},{&quot;family&quot;:&quot;Nakahama&quot;,&quot;given&quot;:&quot;Kenji&quot;},{&quot;family&quot;:&quot;Taniguchi&quot;,&quot;given&quot;:&quot;Yoshihiko&quot;},{&quot;family&quot;:&quot;Isa&quot;,&quot;given&quot;:&quot;Shun‐ichi&quot;},{&quot;family&quot;:&quot;Inoue&quot;,&quot;given&quot;:&quot;Takako&quot;},{&quot;family&quot;:&quot;Imamura&quot;,&quot;given&quot;:&quot;Fumio&quot;},{&quot;family&quot;:&quot;Atagi&quot;,&quot;given&quot;:&quot;Shinji&quot;},{&quot;family&quot;:&quot;Hirashima&quot;,&quot;given&quot;:&quot;Tomonori&quot;}],&quot;title&quot;:&quot;Pretreatment advanced lung cancer inflammation index (ALI) for predicting early progression in nivolumab‐treated patients with advanced non–small cell lung cancer&quot;,&quot;ISSN&quot;:&quot;2045-7634&quot;,&quot;DOI&quot;:&quot;10.1002/cam4.1234&quot;,&quot;PMID&quot;:&quot;29150906&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issued&quot;:{&quot;year&quot;:2018},&quot;page&quot;:&quot;13-20&quot;,&quot;issue&quot;:&quot;1&quot;,&quot;volume&quot;:&quot;7&quot;,&quot;journalAbbreviation&quot;:&quot;Cancer Med-us&quot;,&quot;container-title&quot;:&quot;Cancer Medicine&quot;,&quot;id&quot;:&quot;1ad1efbe-0791-4c3e-a712-5cc7503db85c&quot;,&quot;page-first&quot;:&quot;13&quot;,&quot;container-title-short&quot;:&quot;Cancer Med-us&quot;}}]"/>
    <we:property name="-685912312" value="[{&quot;id&quot;:&quot;692641f5-f457-41e0-a2ec-70810041ff03&quot;,&quot;article&quot;:{&quot;journal_abbrev&quot;:&quot;Cancer Biomark&quot;,&quot;pagination&quot;:&quot;467-476&quot;,&quot;authors&quot;:[&quot;Minglei Zhuo&quot;,&quot;Hanxiao Chen&quot;,&quot;Tianzhuo Zhang&quot;,&quot;Xue Yang&quot;,&quot;Jia Zhong&quot;,&quot;Yuyan Wang&quot;,&quot;Tongtong An&quot;,&quot;Meina Wu&quot;,&quot;Ziping Wang&quot;,&quot;Jing Huang&quot;,&quot;Jun Zhao&quot;],&quot;publisher&quot;:&quot;&quot;,&quot;abstract&quot;:&quot;The PD-L1 antibody atezolizumab has shown promising efficacy in patients with advanced non-small cell lung cancer. But the predictive marker of clinical benefit has not been identified.&quot;,&quot;year&quot;:2018,&quot;chapter&quot;:&quot;&quot;,&quot;journal&quot;:&quot;Cancer Biomarkers&quot;,&quot;volume&quot;:&quot;22&quot;,&quot;title&quot;:&quot;The potential predictive value of circulating immune cell ratio and tumor marker in atezolizumab treated advanced non-small cell lung cancer patients&quot;,&quot;issue&quot;:&quot;3&quot;,&quot;issn&quot;:&quot;1574-0153&quot;,&quot;isbn&quot;:&quot;&quot;,&quot;url&quot;:&quot;https://www.medra.org/servlet/aliasResolver?alias=iospress&amp;doi=10.3233/CBM-171089&quot;},&quot;collection_group_id&quot;:&quot;&quot;,&quot;collection_id&quot;:&quot;4e0192db-b678-400e-ba1d-e378d3262964&quot;,&quot;item_type&quot;:&quot;article&quot;,&quot;deleted&quot;:false,&quot;files&quot;:[],&quot;ext_ids&quot;:{&quot;pmid&quot;:&quot;29758930&quot;,&quot;doi&quot;:&quot;10.3233/cbm-171089&quot;},&quot;user_data&quot;:{&quot;created&quot;:&quot;2020-05-15T15:02:15Z&quot;,&quot;modified&quot;:&quot;2020-05-15T15:02:15Z&quot;,&quot;createdby&quot;:&quot;webapp 4.3.1&quot;,&quot;modifiedby&quot;:&quot;webapp 4.3.1&quot;,&quot;has_annotations&quot;:false,&quot;unread&quot;:true,&quot;last_read&quot;:null},&quot;checked&quot;:false,&quot;atIndex&quot;:13,&quot;item&quot;:{&quot;type&quot;:&quot;article-journal&quot;,&quot;author&quot;:[{&quot;family&quot;:&quot;Zhuo&quot;,&quot;given&quot;:&quot;Minglei&quot;},{&quot;family&quot;:&quot;Chen&quot;,&quot;given&quot;:&quot;Hanxiao&quot;},{&quot;family&quot;:&quot;Zhang&quot;,&quot;given&quot;:&quot;Tianzhuo&quot;},{&quot;family&quot;:&quot;Yang&quot;,&quot;given&quot;:&quot;Xue&quot;},{&quot;family&quot;:&quot;Zhong&quot;,&quot;given&quot;:&quot;Jia&quot;},{&quot;family&quot;:&quot;Wang&quot;,&quot;given&quot;:&quot;Yuyan&quot;},{&quot;family&quot;:&quot;An&quot;,&quot;given&quot;:&quot;Tongtong&quot;},{&quot;family&quot;:&quot;Wu&quot;,&quot;given&quot;:&quot;Meina&quot;},{&quot;family&quot;:&quot;Wang&quot;,&quot;given&quot;:&quot;Ziping&quot;},{&quot;family&quot;:&quot;Huang&quot;,&quot;given&quot;:&quot;Jing&quot;},{&quot;family&quot;:&quot;Zhao&quot;,&quot;given&quot;:&quot;Jun&quot;}],&quot;title&quot;:&quot;The potential predictive value of circulating immune cell ratio and tumor marker in atezolizumab treated advanced non-small cell lung cancer patients&quot;,&quot;ISSN&quot;:&quot;1574-0153&quot;,&quot;DOI&quot;:&quot;10.3233/cbm-171089&quot;,&quot;PMID&quot;:&quot;29758930&quot;,&quot;abstract&quot;:&quot;The PD-L1 antibody atezolizumab has shown promising efficacy in patients with advanced non-small cell lung cancer. But the predictive marker of clinical benefit has not been identified.&quot;,&quot;issued&quot;:{&quot;year&quot;:2018},&quot;page&quot;:&quot;467-476&quot;,&quot;issue&quot;:&quot;3&quot;,&quot;volume&quot;:&quot;22&quot;,&quot;journalAbbreviation&quot;:&quot;Cancer Biomark&quot;,&quot;container-title&quot;:&quot;Cancer Biomarkers&quot;,&quot;id&quot;:&quot;692641f5-f457-41e0-a2ec-70810041ff03&quot;,&quot;page-first&quot;:&quot;467&quot;,&quot;container-title-short&quot;:&quot;Cancer Biomark&quot;}}]"/>
    <we:property name="-720746714" value="[{&quot;id&quot;:&quot;9e289965-a50f-4772-ad7a-30de951313ed&quot;,&quot;article&quot;:{&quot;journal_abbrev&quot;:&quot;JAMA Oncol&quot;,&quot;pagination&quot;:&quot;&quot;,&quot;authors&quot;:[&quot;Laura Mezquita&quot;,&quot;Edouard Auclin&quot;,&quot;Roberto Ferrara&quot;,&quot;Melinda Charrier&quot;,&quot;Jordi Remon&quot;,&quot;David Planchard&quot;,&quot;Santiago Ponce&quot;,&quot;Luis Paz Ares&quot;,&quot;Laura Leroy&quot;,&quot;Clarisse Audigier-Valette&quot;,&quot;Enriqueta Felip&quot;,&quot;Jorge Zerón-Medina&quot;,&quot;Pilar Garrido&quot;,&quot;Solenn Brosseau&quot;,&quot;Gérard Zalcman&quot;,&quot;Julien Mazieres&quot;,&quot;Caroline Caramela&quot;,&quot;Jihene Lahmar&quot;,&quot;Julien Adam&quot;,&quot;Nathalie Chaput&quot;,&quot;Jean Charles Soria&quot;,&quot;Benjamin Besse&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name&quot;:&quot;Association of the Lung Immune Prognostic Index With Immune Checkpoint Inhibitor Outcomes in Patients With Advanced Non–Small Cell Lung Cancer.pdf&quot;,&quot;size&quot;:312269,&quot;type&quot;:&quot;article&quot;,&quot;pages&quot;:21,&quot;sha256&quot;:&quot;7be9f86a8729eeb35eebf5491fe55ab28d7f578aeeb2fc660846a4146e78ffe9&quot;,&quot;created&quot;:&quot;2020-05-15T16:49:16Z&quot;,&quot;file_type&quot;:&quot;pdf&quot;,&quot;access_method&quot;:&quot;personal_library&quot;,&quot;pdf_text_url&quot;:&quot;https://s3.amazonaws.com/objects.readcube.com/prerendered/7be9f86a8729eeb35eebf5491fe55ab28d7f578aeeb2fc660846a4146e78ffe9/pdftext.txt?X-Amz-Algorithm=AWS4-HMAC-SHA256&amp;X-Amz-Credential=AKIAJAWZ5L6BMTSOH3EA%2F20200515%2Fus-east-1%2Fs3%2Faws4_request&amp;X-Amz-Date=20200515T205031Z&amp;X-Amz-Expires=86400&amp;X-Amz-SignedHeaders=host&amp;X-Amz-Signature=14ace62aa0be786ced9bad6bd1beb0acafaaa48f7b8da87826a5e3b516f85d84&quot;}],&quot;ext_ids&quot;:{&quot;pmid&quot;:&quot;29327044&quot;,&quot;doi&quot;:&quot;10.1001/jamaoncol.2017.4771&quot;},&quot;user_data&quot;:{&quot;created&quot;:&quot;2020-05-15T16:42:17Z&quot;,&quot;modified&quot;:&quot;2020-05-15T17:01:40Z&quot;,&quot;createdby&quot;:&quot;webapp 4.3.1&quot;,&quot;last_read&quot;:&quot;2020-05-15T16:52:09Z&quot;,&quot;modifiedby&quot;:&quot;webapp 4.3.1&quot;,&quot;view_count&quot;:3,&quot;has_annotations&quot;:false,&quot;unread&quot;:false},&quot;checked&quot;:false,&quot;atIndex&quot;:15,&quot;item&quot;:{&quot;type&quot;:&quot;article-journal&quot;,&quot;author&quot;:[{&quot;family&quot;:&quot;Mezquita&quot;,&quot;given&quot;:&quot;Laura&quot;},{&quot;family&quot;:&quot;Auclin&quot;,&quot;given&quot;:&quot;Edouard&quot;},{&quot;family&quot;:&quot;Ferrara&quot;,&quot;given&quot;:&quot;Roberto&quot;},{&quot;family&quot;:&quot;Charrier&quot;,&quot;given&quot;:&quot;Melinda&quot;},{&quot;family&quot;:&quot;Remon&quot;,&quot;given&quot;:&quot;Jordi&quot;},{&quot;family&quot;:&quot;Planchard&quot;,&quot;given&quot;:&quot;David&quot;},{&quot;family&quot;:&quot;Ponce&quot;,&quot;given&quot;:&quot;Santiago&quot;},{&quot;family&quot;:&quot;Ares&quot;,&quot;given&quot;:&quot;Luis Paz&quot;},{&quot;family&quot;:&quot;Leroy&quot;,&quot;given&quot;:&quot;Laura&quot;},{&quot;family&quot;:&quot;Audigier-Valette&quot;,&quot;given&quot;:&quot;Clarisse&quot;},{&quot;family&quot;:&quot;Felip&quot;,&quot;given&quot;:&quot;Enriqueta&quot;},{&quot;family&quot;:&quot;Zerón-Medina&quot;,&quot;given&quot;:&quot;Jorge&quot;},{&quot;family&quot;:&quot;Garrido&quot;,&quot;given&quot;:&quot;Pilar&quot;},{&quot;family&quot;:&quot;Brosseau&quot;,&quot;given&quot;:&quot;Solenn&quot;},{&quot;family&quot;:&quot;Zalcman&quot;,&quot;given&quot;:&quot;Gérard&quot;},{&quot;family&quot;:&quot;Mazieres&quot;,&quot;given&quot;:&quot;Julien&quot;},{&quot;family&quot;:&quot;Caramela&quot;,&quot;given&quot;:&quot;Caroline&quot;},{&quot;family&quot;:&quot;Lahmar&quot;,&quot;given&quot;:&quot;Jihene&quot;},{&quot;family&quot;:&quot;Adam&quot;,&quot;given&quot;:&quot;Julien&quot;},{&quot;family&quot;:&quot;Chaput&quot;,&quot;given&quot;:&quot;Nathalie&quot;},{&quot;family&quot;:&quot;Soria&quot;,&quot;given&quot;:&quot;Jean Charles&quot;},{&quot;family&quot;:&quot;Besse&quot;,&quot;given&quot;:&quot;Benjamin&quot;}],&quot;title&quot;:&quot;Association of the Lung Immune Prognostic Index With Immune Checkpoint Inhibitor Outcomes in Patients With Advanced Non-Small Cell Lung Cancer&quot;,&quot;DOI&quot;:&quot;10.1001/jamaoncol.2017.4771&quot;,&quot;PMID&quot;:&quot;29327044&quot;,&quot;journalAbbreviation&quot;:&quot;JAMA Oncol&quot;,&quot;id&quot;:&quot;9e289965-a50f-4772-ad7a-30de951313ed&quot;,&quot;issued&quot;:{&quot;literal&quot;:&quot;n.d.&quot;},&quot;container-title-short&quot;:&quot;JAMA Oncol&quot;}}]"/>
    <we:property name="-963580437" value="[{&quot;id&quot;:&quot;e3c68e03-0f5f-4c06-8bef-768ff58bc46f&quot;,&quot;article&quot;:{&quot;journal_abbrev&quot;:&quot;Clin Lung Cancer&quot;,&quot;pagination&quot;:&quot;&quot;,&quot;authors&quot;:[&quot;Arsela Prelaj&quot;,&quot;Sara Elena Rebuzzi&quot;,&quot;Pamela Pizzutilo&quot;,&quot;Massimo Bilancia&quot;,&quot;Michele Montrone&quot;,&quot;Francesco Pesola&quot;,&quot;Vito Longo&quot;,&quot;Gabriella Del Bene&quot;,&quot;Vittoria Lapadula&quot;,&quot;Flavio Cassano&quot;,&quot;Patrizia Petrillo&quot;,&quot;Daniela Bafunno&quot;,&quot;Niccolò Varesano&quot;,&quot;Vito Lamorgese&quot;,&quot;Angelica Mastrandrea&quot;,&quot;Donatella Ricci&quot;,&quot;Annamaria Catino&quot;,&quot;Domenico Galetta&quot;],&quot;publisher&quot;:&quot;&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year&quot;:2020,&quot;chapter&quot;:&quot;&quot;,&quot;journal&quot;:&quot;Clinical lung cancer&quot;,&quot;volume&quot;:&quot;&quot;,&quot;title&quot;:&quot;EPSILoN: A Prognostic Score Using Clinical and Blood Biomarkers in Advanced Non-Small-cell Lung Cancer Treated With Immunotherapy.&quot;,&quot;issue&quot;:&quot;&quot;,&quot;issn&quot;:&quot;1525-7304&quot;,&quot;isbn&quot;:&quot;&quot;,&quot;url&quot;:&quot;https://linkinghub.elsevier.com/retrieve/pii/S1525730419303341&quot;},&quot;collection_group_id&quot;:&quot;&quot;,&quot;collection_id&quot;:&quot;4e0192db-b678-400e-ba1d-e378d3262964&quot;,&quot;item_type&quot;:&quot;article&quot;,&quot;deleted&quot;:false,&quot;files&quot;:[{&quot;name&quot;:&quot;EPSILoN.pdf&quot;,&quot;size&quot;:1537520,&quot;type&quot;:&quot;article&quot;,&quot;pages&quot;:30,&quot;sha256&quot;:&quot;ee0b598980c6610faecdf1109e4845e2a180068ada9b8295a31d88f1c15b1b86&quot;,&quot;created&quot;:&quot;2020-05-15T21:24:25Z&quot;,&quot;file_type&quot;:&quot;pdf&quot;,&quot;access_method&quot;:&quot;personal_library&quot;,&quot;pdf_text_url&quot;:&quot;https://s3.amazonaws.com/objects.readcube.com/prerendered/ee0b598980c6610faecdf1109e4845e2a180068ada9b8295a31d88f1c15b1b86/pdftext.txt?X-Amz-Algorithm=AWS4-HMAC-SHA256&amp;X-Amz-Credential=AKIAJAWZ5L6BMTSOH3EA%2F20200515%2Fus-east-1%2Fs3%2Faws4_request&amp;X-Amz-Date=20200515T214303Z&amp;X-Amz-Expires=86400&amp;X-Amz-SignedHeaders=host&amp;X-Amz-Signature=8ebefd6ec1e490b6b6b35f9a2dcde8555382b2af9f6bef8b1e4214d4e03009c0&quot;}],&quot;ext_ids&quot;:{&quot;pmid&quot;:&quot;32245624&quot;,&quot;doi&quot;:&quot;10.1016/j.cllc.2019.11.017&quot;},&quot;user_data&quot;:{&quot;created&quot;:&quot;2020-05-15T14:45:10Z&quot;,&quot;modified&quot;:&quot;2020-05-15T21:42:06Z&quot;,&quot;createdby&quot;:&quot;webapp 4.3.1&quot;,&quot;last_read&quot;:&quot;2020-05-15T21:42:06Z&quot;,&quot;modifiedby&quot;:&quot;web_reader 13.0.3&quot;,&quot;view_count&quot;:1,&quot;has_annotations&quot;:false,&quot;unread&quot;:false},&quot;checked&quot;:false,&quot;atIndex&quot;:19,&quot;item&quot;:{&quot;type&quot;:&quot;article-journal&quot;,&quot;author&quot;:[{&quot;family&quot;:&quot;Prelaj&quot;,&quot;given&quot;:&quot;Arsela&quot;},{&quot;family&quot;:&quot;Rebuzzi&quot;,&quot;given&quot;:&quot;Sara Elena&quot;},{&quot;family&quot;:&quot;Pizzutilo&quot;,&quot;given&quot;:&quot;Pamela&quot;},{&quot;family&quot;:&quot;Bilancia&quot;,&quot;given&quot;:&quot;Massimo&quot;},{&quot;family&quot;:&quot;Montrone&quot;,&quot;given&quot;:&quot;Michele&quot;},{&quot;family&quot;:&quot;Pesola&quot;,&quot;given&quot;:&quot;Francesco&quot;},{&quot;family&quot;:&quot;Longo&quot;,&quot;given&quot;:&quot;Vito&quot;},{&quot;family&quot;:&quot;Bene&quot;,&quot;given&quot;:&quot;Gabriella Del&quot;},{&quot;family&quot;:&quot;Lapadula&quot;,&quot;given&quot;:&quot;Vittoria&quot;},{&quot;family&quot;:&quot;Cassano&quot;,&quot;given&quot;:&quot;Flavio&quot;},{&quot;family&quot;:&quot;Petrillo&quot;,&quot;given&quot;:&quot;Patrizia&quot;},{&quot;family&quot;:&quot;Bafunno&quot;,&quot;given&quot;:&quot;Daniela&quot;},{&quot;family&quot;:&quot;Varesano&quot;,&quot;given&quot;:&quot;Niccolò&quot;},{&quot;family&quot;:&quot;Lamorgese&quot;,&quot;given&quot;:&quot;Vito&quot;},{&quot;family&quot;:&quot;Mastrandrea&quot;,&quot;given&quot;:&quot;Angelica&quot;},{&quot;family&quot;:&quot;Ricci&quot;,&quot;given&quot;:&quot;Donatella&quot;},{&quot;family&quot;:&quot;Catino&quot;,&quot;given&quot;:&quot;Annamaria&quot;},{&quot;family&quot;:&quot;Galetta&quot;,&quot;given&quot;:&quot;Domenico&quot;}],&quot;title&quot;:&quot;EPSILoN: A Prognostic Score Using Clinical and Blood Biomarkers in Advanced Non-Small-cell Lung Cancer Treated With Immunotherapy.&quot;,&quot;ISSN&quot;:&quot;1525-7304&quot;,&quot;DOI&quot;:&quot;10.1016/j.cllc.2019.11.017&quot;,&quot;PMID&quot;:&quot;32245624&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issued&quot;:{&quot;year&quot;:2020},&quot;journalAbbreviation&quot;:&quot;Clin Lung Cancer&quot;,&quot;container-title&quot;:&quot;Clinical lung cancer&quot;,&quot;id&quot;:&quot;e3c68e03-0f5f-4c06-8bef-768ff58bc46f&quot;,&quot;container-title-short&quot;:&quot;Clin Lung Cancer&quot;}}]"/>
    <we:property name="style" value="{&quot;url&quot;:&quot;https://smartcite.readcube.com/styles/nature&quot;,&quot;title&quot;:&quot;Nature&quot;}"/>
    <we:property name="-1254815620" value="[{&quot;id&quot;:&quot;9d8fab2e-1689-4fb0-bf56-20807cf4d291&quot;,&quot;article&quot;:{&quot;journal_abbrev&quot;:&quot;Clin Lung Cancer&quot;,&quot;pagination&quot;:&quot;280-288.e4&quot;,&quot;authors&quot;:[&quot;Wungki Park&quot;,&quot;Deukwoo Kwon&quot;,&quot;Diana Saravia&quot;,&quot;Amrita Desai&quot;,&quot;Fernando Vargas&quot;,&quot;Mohamed El Dinali&quot;,&quot;Jessica Warsch&quot;,&quot;Roy Elias&quot;,&quot;Young Kwang Chae&quot;,&quot;Dae Won Kim&quot;,&quot;Sean Warsch&quot;,&quot;Adrian Ishkanian&quot;,&quot;Chukwuemeka Ikpeazu&quot;,&quot;Raja Mudad&quot;,&quot;Gilberto Lopes&quot;,&quot;Mohammad Jahanzeb&quot;],&quot;publisher&quot;:&quot;&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year&quot;:2017,&quot;chapter&quot;:&quot;&quot;,&quot;journal&quot;:&quot;Clinical Lung Cancer&quot;,&quot;volume&quot;:&quot;19&quot;,&quot;title&quot;:&quot;Developing a Predictive Model for Clinical Outcomes of Advanced Non-Small Cell Lung Cancer Patients Treated With Nivolumab&quot;,&quot;issue&quot;:&quot;3&quot;,&quot;issn&quot;:&quot;1525-7304&quot;,&quot;isbn&quot;:&quot;&quot;,&quot;url&quot;:&quot;https://www.sciencedirect.com/science/article/pii/S1525730417303467&quot;},&quot;collection_group_id&quot;:&quot;&quot;,&quot;collection_id&quot;:&quot;4e0192db-b678-400e-ba1d-e378d3262964&quot;,&quot;item_type&quot;:&quot;article&quot;,&quot;deleted&quot;:false,&quot;files&quot;:[{&quot;name&quot;:&quot;NLR iSEND CLC 2018.pdf&quot;,&quot;size&quot;:1166377,&quot;type&quot;:&quot;article&quot;,&quot;pages&quot;:13,&quot;sha256&quot;:&quot;60b81c05aa2da3999523667e48c4e780a2f1431444f3be13260d91820be9077c&quot;,&quot;created&quot;:&quot;2020-05-15T14:32:23Z&quot;,&quot;file_type&quot;:&quot;pdf&quot;,&quot;access_method&quot;:&quot;personal_library&quot;,&quot;pdf_text_url&quot;:&quot;https://s3.amazonaws.com/objects.readcube.com/prerendered/60b81c05aa2da3999523667e48c4e780a2f1431444f3be13260d91820be9077c/pdftext.txt?X-Amz-Algorithm=AWS4-HMAC-SHA256&amp;X-Amz-Credential=AKIAJAWZ5L6BMTSOH3EA%2F20200515%2Fus-east-1%2Fs3%2Faws4_request&amp;X-Amz-Date=20200515T172358Z&amp;X-Amz-Expires=86400&amp;X-Amz-SignedHeaders=host&amp;X-Amz-Signature=0a67ca51e38a362e151f94824a1a4dcb97948ceb543dc1397ad97f6077aa5967&quot;}],&quot;ext_ids&quot;:{&quot;pmid&quot;:&quot;29336998&quot;,&quot;doi&quot;:&quot;10.1016/j.cllc.2017.12.007&quot;},&quot;user_data&quot;:{&quot;created&quot;:&quot;2020-05-15T14:32:23Z&quot;,&quot;modified&quot;:&quot;2020-05-15T17:14:45Z&quot;,&quot;createdby&quot;:&quot;webapp 4.3.1&quot;,&quot;last_read&quot;:&quot;2020-05-15T17:14:45Z&quot;,&quot;modifiedby&quot;:&quot;web_reader 13.0.3&quot;,&quot;view_count&quot;:1,&quot;has_annotations&quot;:false,&quot;unread&quot;:false},&quot;checked&quot;:false,&quot;atIndex&quot;:15,&quot;item&quot;:{&quot;type&quot;:&quot;article-journal&quot;,&quot;author&quot;:[{&quot;family&quot;:&quot;Park&quot;,&quot;given&quot;:&quot;Wungki&quot;},{&quot;family&quot;:&quot;Kwon&quot;,&quot;given&quot;:&quot;Deukwoo&quot;},{&quot;family&quot;:&quot;Saravia&quot;,&quot;given&quot;:&quot;Diana&quot;},{&quot;family&quot;:&quot;Desai&quot;,&quot;given&quot;:&quot;Amrita&quot;},{&quot;family&quot;:&quot;Vargas&quot;,&quot;given&quot;:&quot;Fernando&quot;},{&quot;family&quot;:&quot;Dinali&quot;,&quot;given&quot;:&quot;Mohamed El&quot;},{&quot;family&quot;:&quot;Warsch&quot;,&quot;given&quot;:&quot;Jessica&quot;},{&quot;family&quot;:&quot;Elias&quot;,&quot;given&quot;:&quot;Roy&quot;},{&quot;family&quot;:&quot;Chae&quot;,&quot;given&quot;:&quot;Young Kwang&quot;},{&quot;family&quot;:&quot;Kim&quot;,&quot;given&quot;:&quot;Dae Won&quot;},{&quot;family&quot;:&quot;Warsch&quot;,&quot;given&quot;:&quot;Sean&quot;},{&quot;family&quot;:&quot;Ishkanian&quot;,&quot;given&quot;:&quot;Adrian&quot;},{&quot;family&quot;:&quot;Ikpeazu&quot;,&quot;given&quot;:&quot;Chukwuemeka&quot;},{&quot;family&quot;:&quot;Mudad&quot;,&quot;given&quot;:&quot;Raja&quot;},{&quot;family&quot;:&quot;Lopes&quot;,&quot;given&quot;:&quot;Gilberto&quot;},{&quot;family&quot;:&quot;Jahanzeb&quot;,&quot;given&quot;:&quot;Mohammad&quot;}],&quot;title&quot;:&quot;Developing a Predictive Model for Clinical Outcomes of Advanced Non-Small Cell Lung Cancer Patients Treated With Nivolumab&quot;,&quot;ISSN&quot;:&quot;1525-7304&quot;,&quot;DOI&quot;:&quot;10.1016/j.cllc.2017.12.007&quot;,&quot;PMID&quot;:&quot;29336998&quot;,&quot;abstract&quot;:&quot; Introduction Despite significant improvement of clinical outcomes of advanced non–small-cell lung cancer (NSCLC) patients treated with immunotherapy, our knowledge of optimal biomarkers is still limited. Patients and Methods We retrospectively evaluated 159 advanced NSCLC patients in our institution treated with nivolumab after disease progression during platinum-based chemotherapy. We correlated several variables with progression-free survival (PFS) to develop the immunotherapy, Sex, Eastern Cooperative Oncology Group performance status, Neutrophil-to-lymphocyte ratio (NLR), and Delta NLR (iSEND) model. We categorized patients into iSEND good, intermediate, and poor risk groups and evaluated their clinical outcomes. Performance of iSEND at 3, 6, 9, and 12 months was evaluated according to receiver operating characteristic (ROC) curves and internally validated using bootstrapping. The association of iSEND risk groups with clinical benefit was evaluated using logistic regression. Results Median follow-up was 11.5 months (95% confidence interval [CI], 9.4-13.1). There were 50 deaths and 43 with disease progression without death. PFS rates at 3, 6, 9, and 12 months were 78.4%, 63.7%, 55.3%, and 52.2% in iSEND good; 79.4%, 44.3%, 25.9%, and 19.2% in iSEND intermediate; and 65%, 25.9%, 22.8%, and 17.8% in iSEND poor. Time-dependent area under ROC curves of iSEND for PFS at 3, 6, 9, and 12 months were 0.718, 0.74, 0.746, and 0.774. The iSEND poor group was significantly associated with progressive disease at 12 ± 2 weeks (odds ratio, 9.59; 95% CI, 3.8-26.9; P &lt; .0001). Conclusion The iSEND model is an algorithmic model that can characterize clinical outcomes of advanced NSCLC patients receiving nivolumab into good, intermediate, or poor risk groups and might be useful as a predictive model if validated independently.&quot;,&quot;issued&quot;:{&quot;year&quot;:2017},&quot;page&quot;:&quot;280-288.e4&quot;,&quot;issue&quot;:&quot;3&quot;,&quot;volume&quot;:&quot;19&quot;,&quot;journalAbbreviation&quot;:&quot;Clin Lung Cancer&quot;,&quot;container-title&quot;:&quot;Clinical Lung Cancer&quot;,&quot;id&quot;:&quot;9d8fab2e-1689-4fb0-bf56-20807cf4d291&quot;,&quot;page-first&quot;:&quot;280&quot;,&quot;container-title-short&quot;:&quot;Clin Lung Cancer&quot;}}]"/>
    <we:property name="-983613243" value="[{&quot;id&quot;:&quot;c241c548-487b-40a1-aa73-68886a980ff5&quot;,&quot;article&quot;:{&quot;journal_abbrev&quot;:&quot;Clin Lung Cancer&quot;,&quot;pagination&quot;:&quot;426-434.e1&quot;,&quot;authors&quot;:[&quot;Alona Zer&quot;,&quot;Mike R. Sung&quot;,&quot;Preet Walia&quot;,&quot;Leila Khoja&quot;,&quot;Manjula Maganti&quot;,&quot;Catherine Labbe&quot;,&quot;Frances A. Shepherd&quot;,&quot;Penelope A. Bradbury&quot;,&quot;Ronald Feld&quot;,&quot;Geoffrey Liu&quot;,&quot;Melissa Iazzi&quot;,&quot;Dianne Zawisza&quot;,&quot;Nazanin Nouriany&quot;,&quot;Natasha B. Leighl&quot;],&quot;publisher&quot;:&quot;&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year&quot;:2018,&quot;chapter&quot;:&quot;&quot;,&quot;journal&quot;:&quot;&quot;,&quot;volume&quot;:&quot;9(5)&quot;,&quot;title&quot;:&quot;Correlation of Neutrophil to Lymphocyte Ratio and Absolute Neutrophil Count With Outcomes With PD-1 Axis Inhibitors in Patients With Advanced Non-Small-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pmid&quot;:&quot;29803574&quot;,&quot;doi&quot;:&quot;10.1016/j.cllc.2018.04.008&quot;},&quot;user_data&quot;:{&quot;created&quot;:&quot;2020-05-18T21:38:17Z&quot;,&quot;modified&quot;:&quot;2020-05-18T21:49:04Z&quot;,&quot;createdby&quot;:&quot;webapp 4.3.1&quot;,&quot;modifiedby&quot;:&quot;webapp 4.3.1&quot;,&quot;has_annotations&quot;:false,&quot;unread&quot;:true,&quot;last_read&quot;:null},&quot;checked&quot;:false,&quot;atIndex&quot;:49,&quot;item&quot;:{&quot;type&quot;:&quot;article-journal&quot;,&quot;author&quot;:[{&quot;family&quot;:&quot;Zer&quot;,&quot;given&quot;:&quot;Alona&quot;},{&quot;family&quot;:&quot;Sung&quot;,&quot;given&quot;:&quot;Mike R.&quot;},{&quot;family&quot;:&quot;Walia&quot;,&quot;given&quot;:&quot;Preet&quot;},{&quot;family&quot;:&quot;Khoja&quot;,&quot;given&quot;:&quot;Leila&quot;},{&quot;family&quot;:&quot;Maganti&quot;,&quot;given&quot;:&quot;Manjula&quot;},{&quot;family&quot;:&quot;Labbe&quot;,&quot;given&quot;:&quot;Catherine&quot;},{&quot;family&quot;:&quot;Shepherd&quot;,&quot;given&quot;:&quot;Frances A.&quot;},{&quot;family&quot;:&quot;Bradbury&quot;,&quot;given&quot;:&quot;Penelope A.&quot;},{&quot;family&quot;:&quot;Feld&quot;,&quot;given&quot;:&quot;Ronald&quot;},{&quot;family&quot;:&quot;Liu&quot;,&quot;given&quot;:&quot;Geoffrey&quot;},{&quot;family&quot;:&quot;Iazzi&quot;,&quot;given&quot;:&quot;Melissa&quot;},{&quot;family&quot;:&quot;Zawisza&quot;,&quot;given&quot;:&quot;Dianne&quot;},{&quot;family&quot;:&quot;Nouriany&quot;,&quot;given&quot;:&quot;Nazanin&quot;},{&quot;family&quot;:&quot;Leighl&quot;,&quot;given&quot;:&quot;Natasha B.&quot;}],&quot;title&quot;:&quot;Correlation of Neutrophil to Lymphocyte Ratio and Absolute Neutrophil Count With Outcomes With PD-1 Axis Inhibitors in Patients With Advanced Non-Small-Cell Lung Cancer.&quot;,&quot;DOI&quot;:&quot;10.1016/j.cllc.2018.04.008&quot;,&quot;PMID&quot;:&quot;29803574&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issued&quot;:{&quot;year&quot;:2018},&quot;page&quot;:&quot;426-434.e1&quot;,&quot;volume&quot;:&quot;9(5)&quot;,&quot;journalAbbreviation&quot;:&quot;Clin Lung Cancer&quot;,&quot;id&quot;:&quot;c241c548-487b-40a1-aa73-68886a980ff5&quot;,&quot;page-first&quot;:&quot;426&quot;,&quot;container-title-short&quot;:&quot;Clin Lung Cancer&quot;}}]"/>
    <we:property name="-1275096664" value="[{&quot;id&quot;:&quot;e3c68e03-0f5f-4c06-8bef-768ff58bc46f&quot;,&quot;article&quot;:{&quot;journal_abbrev&quot;:&quot;Clin Lung Cancer&quot;,&quot;pagination&quot;:&quot;&quot;,&quot;authors&quot;:[&quot;Arsela Prelaj&quot;,&quot;Sara Elena Rebuzzi&quot;,&quot;Pamela Pizzutilo&quot;,&quot;Massimo Bilancia&quot;,&quot;Michele Montrone&quot;,&quot;Francesco Pesola&quot;,&quot;Vito Longo&quot;,&quot;Gabriella Del Bene&quot;,&quot;Vittoria Lapadula&quot;,&quot;Flavio Cassano&quot;,&quot;Patrizia Petrillo&quot;,&quot;Daniela Bafunno&quot;,&quot;Niccolò Varesano&quot;,&quot;Vito Lamorgese&quot;,&quot;Angelica Mastrandrea&quot;,&quot;Donatella Ricci&quot;,&quot;Annamaria Catino&quot;,&quot;Domenico Galetta&quot;],&quot;publisher&quot;:&quot;&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year&quot;:2020,&quot;chapter&quot;:&quot;&quot;,&quot;journal&quot;:&quot;Clinical lung cancer&quot;,&quot;volume&quot;:&quot;&quot;,&quot;title&quot;:&quot;EPSILoN: A Prognostic Score Using Clinical and Blood Biomarkers in Advanced Non-Small-cell Lung Cancer Treated With Immunotherapy.&quot;,&quot;issue&quot;:&quot;&quot;,&quot;issn&quot;:&quot;1525-7304&quot;,&quot;isbn&quot;:&quot;&quot;,&quot;url&quot;:&quot;https://linkinghub.elsevier.com/retrieve/pii/S1525730419303341&quot;},&quot;collection_group_id&quot;:&quot;&quot;,&quot;collection_id&quot;:&quot;4e0192db-b678-400e-ba1d-e378d3262964&quot;,&quot;item_type&quot;:&quot;article&quot;,&quot;deleted&quot;:false,&quot;files&quot;:[{&quot;name&quot;:&quot;EPSILoN.pdf&quot;,&quot;size&quot;:1537520,&quot;type&quot;:&quot;article&quot;,&quot;pages&quot;:30,&quot;sha256&quot;:&quot;ee0b598980c6610faecdf1109e4845e2a180068ada9b8295a31d88f1c15b1b86&quot;,&quot;created&quot;:&quot;2020-05-15T21:24:25Z&quot;,&quot;file_type&quot;:&quot;pdf&quot;,&quot;access_method&quot;:&quot;personal_library&quot;,&quot;pdf_text_url&quot;:&quot;https://s3.amazonaws.com/objects.readcube.com/prerendered/ee0b598980c6610faecdf1109e4845e2a180068ada9b8295a31d88f1c15b1b86/pdftext.txt?X-Amz-Algorithm=AWS4-HMAC-SHA256&amp;X-Amz-Credential=AKIAJAWZ5L6BMTSOH3EA%2F20200515%2Fus-east-1%2Fs3%2Faws4_request&amp;X-Amz-Date=20200515T214303Z&amp;X-Amz-Expires=86400&amp;X-Amz-SignedHeaders=host&amp;X-Amz-Signature=8ebefd6ec1e490b6b6b35f9a2dcde8555382b2af9f6bef8b1e4214d4e03009c0&quot;}],&quot;ext_ids&quot;:{&quot;pmid&quot;:&quot;32245624&quot;,&quot;doi&quot;:&quot;10.1016/j.cllc.2019.11.017&quot;},&quot;user_data&quot;:{&quot;created&quot;:&quot;2020-05-15T14:45:10Z&quot;,&quot;modified&quot;:&quot;2020-05-15T21:42:06Z&quot;,&quot;createdby&quot;:&quot;webapp 4.3.1&quot;,&quot;last_read&quot;:&quot;2020-05-15T21:42:06Z&quot;,&quot;modifiedby&quot;:&quot;web_reader 13.0.3&quot;,&quot;view_count&quot;:1,&quot;has_annotations&quot;:false,&quot;unread&quot;:false},&quot;checked&quot;:false,&quot;atIndex&quot;:19,&quot;item&quot;:{&quot;type&quot;:&quot;article-journal&quot;,&quot;author&quot;:[{&quot;family&quot;:&quot;Prelaj&quot;,&quot;given&quot;:&quot;Arsela&quot;},{&quot;family&quot;:&quot;Rebuzzi&quot;,&quot;given&quot;:&quot;Sara Elena&quot;},{&quot;family&quot;:&quot;Pizzutilo&quot;,&quot;given&quot;:&quot;Pamela&quot;},{&quot;family&quot;:&quot;Bilancia&quot;,&quot;given&quot;:&quot;Massimo&quot;},{&quot;family&quot;:&quot;Montrone&quot;,&quot;given&quot;:&quot;Michele&quot;},{&quot;family&quot;:&quot;Pesola&quot;,&quot;given&quot;:&quot;Francesco&quot;},{&quot;family&quot;:&quot;Longo&quot;,&quot;given&quot;:&quot;Vito&quot;},{&quot;family&quot;:&quot;Bene&quot;,&quot;given&quot;:&quot;Gabriella Del&quot;},{&quot;family&quot;:&quot;Lapadula&quot;,&quot;given&quot;:&quot;Vittoria&quot;},{&quot;family&quot;:&quot;Cassano&quot;,&quot;given&quot;:&quot;Flavio&quot;},{&quot;family&quot;:&quot;Petrillo&quot;,&quot;given&quot;:&quot;Patrizia&quot;},{&quot;family&quot;:&quot;Bafunno&quot;,&quot;given&quot;:&quot;Daniela&quot;},{&quot;family&quot;:&quot;Varesano&quot;,&quot;given&quot;:&quot;Niccolò&quot;},{&quot;family&quot;:&quot;Lamorgese&quot;,&quot;given&quot;:&quot;Vito&quot;},{&quot;family&quot;:&quot;Mastrandrea&quot;,&quot;given&quot;:&quot;Angelica&quot;},{&quot;family&quot;:&quot;Ricci&quot;,&quot;given&quot;:&quot;Donatella&quot;},{&quot;family&quot;:&quot;Catino&quot;,&quot;given&quot;:&quot;Annamaria&quot;},{&quot;family&quot;:&quot;Galetta&quot;,&quot;given&quot;:&quot;Domenico&quot;}],&quot;title&quot;:&quot;EPSILoN: A Prognostic Score Using Clinical and Blood Biomarkers in Advanced Non-Small-cell Lung Cancer Treated With Immunotherapy.&quot;,&quot;ISSN&quot;:&quot;1525-7304&quot;,&quot;DOI&quot;:&quot;10.1016/j.cllc.2019.11.017&quot;,&quot;PMID&quot;:&quot;32245624&quot;,&quot;abstract&quot;:&quot;Second-line immunotherapy (IO) has shown an overall survival benefit. However, only 18% to 20% of patients with advanced non-small-cell lung cancer (aNSCLC) will respond, with a median progression-free survival (PFS) of 2 to 4 months. Thus, biomarkers to select those patients most likely to benefit from IO are greatly needed.&quot;,&quot;issued&quot;:{&quot;year&quot;:2020},&quot;journalAbbreviation&quot;:&quot;Clin Lung Cancer&quot;,&quot;container-title&quot;:&quot;Clinical lung cancer&quot;,&quot;id&quot;:&quot;e3c68e03-0f5f-4c06-8bef-768ff58bc46f&quot;,&quot;container-title-short&quot;:&quot;Clin Lung Cancer&quot;}}]"/>
    <we:property name="-1267612448" value="[{&quot;id&quot;:&quot;1ad1efbe-0791-4c3e-a712-5cc7503db85c&quot;,&quot;article&quot;:{&quot;journal_abbrev&quot;:&quot;Cancer Med-us&quot;,&quot;pagination&quot;:&quot;13-20&quot;,&quot;authors&quot;:[&quot;Takayuki Shiroyama&quot;,&quot;Hidekazu Suzuki&quot;,&quot;Motohiro Tamiya&quot;,&quot;Akihiro Tamiya&quot;,&quot;Ayako Tanaka&quot;,&quot;Norio Okamoto&quot;,&quot;Kenji Nakahama&quot;,&quot;Yoshihiko Taniguchi&quot;,&quot;Shun‐ichi Isa&quot;,&quot;Takako Inoue&quot;,&quot;Fumio Imamura&quot;,&quot;Shinji Atagi&quot;,&quot;Tomonori Hirashima&quot;],&quot;publisher&quot;:&quot;&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year&quot;:2018,&quot;chapter&quot;:&quot;&quot;,&quot;journal&quot;:&quot;Cancer Medicine&quot;,&quot;volume&quot;:&quot;7&quot;,&quot;title&quot;:&quot;Pretreatment advanced lung cancer inflammation index (ALI) for predicting early progression in nivolumab‐treated patients with advanced non–small cell lung cancer&quot;,&quot;issue&quot;:&quot;1&quot;,&quot;issn&quot;:&quot;2045-7634&quot;,&quot;isbn&quot;:&quot;&quot;,&quot;url&quot;:&quot;http://onlinelibrary.wiley.com/doi/10.1002/cam4.1234/abstract&quot;},&quot;collection_group_id&quot;:&quot;&quot;,&quot;collection_id&quot;:&quot;4e0192db-b678-400e-ba1d-e378d3262964&quot;,&quot;item_type&quot;:&quot;article&quot;,&quot;deleted&quot;:false,&quot;files&quot;:[{&quot;name&quot;:&quot;IO_NLR_Baseline_Albumin_ALIndex.pdf&quot;,&quot;size&quot;:193543,&quot;type&quot;:&quot;article&quot;,&quot;pages&quot;:8,&quot;sha256&quot;:&quot;4d5b2a9091e803d49dae88cac4069e9fad07348416586f7c95496c6c49dccc76&quot;,&quot;created&quot;:&quot;2020-05-18T20:10:18Z&quot;,&quot;file_type&quot;:&quot;pdf&quot;,&quot;access_method&quot;:&quot;personal_library&quot;,&quot;pdf_text_url&quot;:&quot;https://s3.amazonaws.com/objects.readcube.com/prerendered/4d5b2a9091e803d49dae88cac4069e9fad07348416586f7c95496c6c49dccc76/pdftext.txt?X-Amz-Algorithm=AWS4-HMAC-SHA256&amp;X-Amz-Credential=AKIAJAWZ5L6BMTSOH3EA%2F20200518%2Fus-east-1%2Fs3%2Faws4_request&amp;X-Amz-Date=20200518T212212Z&amp;X-Amz-Expires=86400&amp;X-Amz-SignedHeaders=host&amp;X-Amz-Signature=0c4090ef1dfd5aee25a2793b13a403d9de02c8a8e675de0f3f247aa6dd75c00f&quot;}],&quot;ext_ids&quot;:{&quot;pmid&quot;:&quot;29150906&quot;,&quot;doi&quot;:&quot;10.1002/cam4.1234&quot;},&quot;user_data&quot;:{&quot;created&quot;:&quot;2020-05-18T20:10:18Z&quot;,&quot;modified&quot;:&quot;2020-05-18T20:10:18Z&quot;,&quot;createdby&quot;:&quot;webapp 4.3.1&quot;,&quot;modifiedby&quot;:&quot;webapp 4.3.1&quot;,&quot;has_annotations&quot;:false,&quot;unread&quot;:true,&quot;last_read&quot;:null},&quot;checked&quot;:false,&quot;atIndex&quot;:41,&quot;item&quot;:{&quot;type&quot;:&quot;article-journal&quot;,&quot;author&quot;:[{&quot;family&quot;:&quot;Shiroyama&quot;,&quot;given&quot;:&quot;Takayuki&quot;},{&quot;family&quot;:&quot;Suzuki&quot;,&quot;given&quot;:&quot;Hidekazu&quot;},{&quot;family&quot;:&quot;Tamiya&quot;,&quot;given&quot;:&quot;Motohiro&quot;},{&quot;family&quot;:&quot;Tamiya&quot;,&quot;given&quot;:&quot;Akihiro&quot;},{&quot;family&quot;:&quot;Tanaka&quot;,&quot;given&quot;:&quot;Ayako&quot;},{&quot;family&quot;:&quot;Okamoto&quot;,&quot;given&quot;:&quot;Norio&quot;},{&quot;family&quot;:&quot;Nakahama&quot;,&quot;given&quot;:&quot;Kenji&quot;},{&quot;family&quot;:&quot;Taniguchi&quot;,&quot;given&quot;:&quot;Yoshihiko&quot;},{&quot;family&quot;:&quot;Isa&quot;,&quot;given&quot;:&quot;Shun‐ichi&quot;},{&quot;family&quot;:&quot;Inoue&quot;,&quot;given&quot;:&quot;Takako&quot;},{&quot;family&quot;:&quot;Imamura&quot;,&quot;given&quot;:&quot;Fumio&quot;},{&quot;family&quot;:&quot;Atagi&quot;,&quot;given&quot;:&quot;Shinji&quot;},{&quot;family&quot;:&quot;Hirashima&quot;,&quot;given&quot;:&quot;Tomonori&quot;}],&quot;title&quot;:&quot;Pretreatment advanced lung cancer inflammation index (ALI) for predicting early progression in nivolumab‐treated patients with advanced non–small cell lung cancer&quot;,&quot;ISSN&quot;:&quot;2045-7634&quot;,&quot;DOI&quot;:&quot;10.1002/cam4.1234&quot;,&quot;PMID&quot;:&quot;29150906&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issued&quot;:{&quot;year&quot;:2018},&quot;page&quot;:&quot;13-20&quot;,&quot;issue&quot;:&quot;1&quot;,&quot;volume&quot;:&quot;7&quot;,&quot;journalAbbreviation&quot;:&quot;Cancer Med-us&quot;,&quot;container-title&quot;:&quot;Cancer Medicine&quot;,&quot;id&quot;:&quot;1ad1efbe-0791-4c3e-a712-5cc7503db85c&quot;,&quot;page-first&quot;:&quot;13&quot;,&quot;container-title-short&quot;:&quot;Cancer Med-us&quot;}}]"/>
    <we:property name="-1008211302" value="[{&quot;id&quot;:&quot;d1c1dee9-e03c-49fb-89c7-46091128df3f&quot;,&quot;article&quot;:{&quot;journal_abbrev&quot;:&quot;J Appl Res&quot;,&quot;pagination&quot;:&quot;88-95&quot;,&quot;authors&quot;:[&quot;M Wasif Saif&quot;,&quot;Dominik Alexander&quot;,&quot;Charles M Wicox&quot;],&quot;publisher&quot;:&quot;&quot;,&quot;abstract&quot;:&quot;BACKGROUND: Serum alkaline phosphotase (ALP) levels are frequently elevated in patients with metastatic colorectal cancer (CRC). However, the significance of ALP in terms of detecting hepatic metastasis or prognosis is not well established. MATERIALS AND METHODS: Medical records of patients with CRC seen at University of Alabama at Birmingham (UAB) (1998-2002) were reviewed and statistical analysis was done to evaluate the significance of ALP as a prognostic tool. The normal range for ALP was quantified at 39 U/L to 117 U/L. Change in ALP levels over time (defined as time interval between two cycles; such as 4 weeks for Mayo regimen, 8 weeks for Roswell Park regimen and 6 weeks for IFL regimen) was categorized as large (120+ U/L), medium (20-119 U/L), and minimal (&lt; 20 U/L). RESULTS: A total of 105 patients with eligible medical records were identified (Mean age: 59 yrs; 53% male; Staging: II: 43 patients, III: 31 patients, IV: 32 patients). Increasing ALP levels correlated with increasing stage (Mean: I = 116, II = 219, III = 302; P = 0.0003). ALP levels were elevated in 74% of patients with liver metastases (Mean, 290) and in 33% without liver metastases (Mean, 122) (P = 0.001). Patients with elevated ALP levels at the most recent time of progression were 5.7 (95% CI, 2.4-13.3) times more likely to have a liver metastases compared to patients with normal levels. Additionally, patients with elevated ALP levels at their most recent visit were 4.2 (95% CI, 1.7-10.7) times more likely to have a worse prognosis compared to patients with normal levels. However, after controlling for the effects of liver metastases, the association between elevated levels and prognosis was no longer significant. After controlling for the effects of age, sex, and liver metastases, large changes in AP levels were associated with a 4.4 (95% CI, 1.0-19.1) times greater odds of having a worse prognosis compared to patients with a minimal change. Patients with an ALP level greater than 160 were 12 (95% CI, 4.3-33.3) times more likely to have liver metastases than patients with an ALP level of less than 160. Mean CEA level was 78 for patients without liver metastases and 308 for patients with liver metastases. CEA levels were compared against ALP in a random sample of 18 patients, which revealed a correlation between increasing levels of CEA (.002) with increasing levels of ALP. CONCLUSION: Instead of the upper normal limit for ALP, our data shows that using an ALP cutoff of 160 U/L increases the sensitivity of liver metastases detection. Also, a change in ALP levels of greater than 120 U/L over four-to-six weeks may be indicative of disease progression. Monitoring ALP is a simple, low cost, and relatively sensitive screening tool. Prospective studies involving evaluation of ALP in addition to CEA in patients with CRC is indicated.&quot;,&quot;year&quot;:2005,&quot;chapter&quot;:&quot;&quot;,&quot;journal&quot;:&quot;The journal of applied research&quot;,&quot;volume&quot;:&quot;5&quot;,&quot;title&quot;:&quot;Serum Alkaline Phosphatase Level as a Prognostic Tool in Colorectal Cancer: A Study of 105 patients.&quot;,&quot;issue&quot;:&quot;1&quot;,&quot;issn&quot;:&quot;1537-064X&quot;,&quot;isbn&quot;:&quot;&quot;,&quot;url&quot;:&quot;&quot;},&quot;collection_group_id&quot;:&quot;&quot;,&quot;collection_id&quot;:&quot;4e0192db-b678-400e-ba1d-e378d3262964&quot;,&quot;item_type&quot;:&quot;article&quot;,&quot;deleted&quot;:false,&quot;files&quot;:[{&quot;name&quot;:&quot;ALP_CRC_liver_met.pdf&quot;,&quot;size&quot;:287344,&quot;type&quot;:&quot;article&quot;,&quot;pages&quot;:9,&quot;sha256&quot;:&quot;94e5dc772d9d4d5fb2b26ab0953ad3ffdf414935174d183407e68aaab9d80713&quot;,&quot;created&quot;:&quot;2020-06-05T18:43:25Z&quot;,&quot;user_id&quot;:&quot;4e0192db-b678-400e-ba1d-e378d3262964&quot;,&quot;file_type&quot;:&quot;pdf&quot;,&quot;access_method&quot;:&quot;personal_library&quot;,&quot;pdf_text_url&quot;:&quot;https://s3.amazonaws.com/objects.readcube.com/prerendered/94e5dc772d9d4d5fb2b26ab0953ad3ffdf414935174d183407e68aaab9d80713/pdftext.txt?X-Amz-Algorithm=AWS4-HMAC-SHA256&amp;X-Amz-Credential=AKIAJAWZ5L6BMTSOH3EA%2F20200605%2Fus-east-1%2Fs3%2Faws4_request&amp;X-Amz-Date=20200605T184551Z&amp;X-Amz-Expires=86400&amp;X-Amz-SignedHeaders=host&amp;X-Amz-Signature=28c6b96e1d2070f4825b2233c86aad46c9961781a21ad4eb7e1cddbd893b7915&quot;}],&quot;ext_ids&quot;:{&quot;pmid&quot;:&quot;19750205&quot;},&quot;user_data&quot;:{&quot;created&quot;:&quot;2020-06-05T18:43:25Z&quot;,&quot;modified&quot;:&quot;2020-06-05T18:45:22Z&quot;,&quot;createdby&quot;:&quot;webapp 4.3.1&quot;,&quot;modifiedby&quot;:&quot;webapp 4.3.1&quot;,&quot;has_annotations&quot;:false,&quot;unread&quot;:true,&quot;last_read&quot;:null},&quot;checked&quot;:false,&quot;atIndex&quot;:75,&quot;item&quot;:{&quot;type&quot;:&quot;article-journal&quot;,&quot;author&quot;:[{&quot;family&quot;:&quot;Saif&quot;,&quot;given&quot;:&quot;M Wasif&quot;},{&quot;family&quot;:&quot;Alexander&quot;,&quot;given&quot;:&quot;Dominik&quot;},{&quot;family&quot;:&quot;Wicox&quot;,&quot;given&quot;:&quot;Charles M&quot;}],&quot;title&quot;:&quot;Serum Alkaline Phosphatase Level as a Prognostic Tool in Colorectal Cancer: A Study of 105 patients.&quot;,&quot;ISSN&quot;:&quot;1537-064X&quot;,&quot;PMID&quot;:&quot;19750205&quot;,&quot;abstract&quot;:&quot;BACKGROUND: Serum alkaline phosphotase (ALP) levels are frequently elevated in patients with metastatic colorectal cancer (CRC). However, the significance of ALP in terms of detecting hepatic metastasis or prognosis is not well established. MATERIALS AND METHODS: Medical records of patients with CRC seen at University of Alabama at Birmingham (UAB) (1998-2002) were reviewed and statistical analysis was done to evaluate the significance of ALP as a prognostic tool. The normal range for ALP was quantified at 39 U/L to 117 U/L. Change in ALP levels over time (defined as time interval between two cycles; such as 4 weeks for Mayo regimen, 8 weeks for Roswell Park regimen and 6 weeks for IFL regimen) was categorized as large (120+ U/L), medium (20-119 U/L), and minimal (&lt; 20 U/L). RESULTS: A total of 105 patients with eligible medical records were identified (Mean age: 59 yrs; 53% male; Staging: II: 43 patients, III: 31 patients, IV: 32 patients). Increasing ALP levels correlated with increasing stage (Mean: I = 116, II = 219, III = 302; P = 0.0003). ALP levels were elevated in 74% of patients with liver metastases (Mean, 290) and in 33% without liver metastases (Mean, 122) (P = 0.001). Patients with elevated ALP levels at the most recent time of progression were 5.7 (95% CI, 2.4-13.3) times more likely to have a liver metastases compared to patients with normal levels. Additionally, patients with elevated ALP levels at their most recent visit were 4.2 (95% CI, 1.7-10.7) times more likely to have a worse prognosis compared to patients with normal levels. However, after controlling for the effects of liver metastases, the association between elevated levels and prognosis was no longer significant. After controlling for the effects of age, sex, and liver metastases, large changes in AP levels were associated with a 4.4 (95% CI, 1.0-19.1) times greater odds of having a worse prognosis compared to patients with a minimal change. Patients with an ALP level greater than 160 were 12 (95% CI, 4.3-33.3) times more likely to have liver metastases than patients with an ALP level of less than 160. Mean CEA level was 78 for patients without liver metastases and 308 for patients with liver metastases. CEA levels were compared against ALP in a random sample of 18 patients, which revealed a correlation between increasing levels of CEA (.002) with increasing levels of ALP. CONCLUSION: Instead of the upper normal limit for ALP, our data shows that using an ALP cutoff of 160 U/L increases the sensitivity of liver metastases detection. Also, a change in ALP levels of greater than 120 U/L over four-to-six weeks may be indicative of disease progression. Monitoring ALP is a simple, low cost, and relatively sensitive screening tool. Prospective studies involving evaluation of ALP in addition to CEA in patients with CRC is indicated.&quot;,&quot;issued&quot;:{&quot;year&quot;:2005},&quot;page&quot;:&quot;88-95&quot;,&quot;issue&quot;:&quot;1&quot;,&quot;volume&quot;:&quot;5&quot;,&quot;journalAbbreviation&quot;:&quot;J Appl Res&quot;,&quot;container-title&quot;:&quot;The journal of applied research&quot;,&quot;id&quot;:&quot;d1c1dee9-e03c-49fb-89c7-46091128df3f&quot;,&quot;page-first&quot;:&quot;88&quot;,&quot;container-title-short&quot;:&quot;J Appl Res&quot;}}]"/>
    <we:property name="-561258366" value="[{&quot;id&quot;:&quot;9e289965-a50f-4772-ad7a-30de951313ed&quot;,&quot;article&quot;:{&quot;journal_abbrev&quot;:&quot;JAMA Oncol&quot;,&quot;pagination&quot;:&quot;&quot;,&quot;authors&quot;:[&quot;Laura Mezquita&quot;,&quot;Edouard Auclin&quot;,&quot;Roberto Ferrara&quot;,&quot;Melinda Charrier&quot;,&quot;Jordi Remon&quot;,&quot;David Planchard&quot;,&quot;Santiago Ponce&quot;,&quot;Luis Paz Ares&quot;,&quot;Laura Leroy&quot;,&quot;Clarisse Audigier-Valette&quot;,&quot;Enriqueta Felip&quot;,&quot;Jorge Zerón-Medina&quot;,&quot;Pilar Garrido&quot;,&quot;Solenn Brosseau&quot;,&quot;Gérard Zalcman&quot;,&quot;Julien Mazieres&quot;,&quot;Caroline Caramela&quot;,&quot;Jihene Lahmar&quot;,&quot;Julien Adam&quot;,&quot;Nathalie Chaput&quot;,&quot;Jean Charles Soria&quot;,&quot;Benjamin Besse&quot;],&quot;publisher&quot;:&quot;&quot;,&quot;abstract&quot;:&quot;&quot;,&quot;year&quot;:0,&quot;chapter&quot;:&quot;&quot;,&quot;journal&quot;:&quot;&quot;,&quot;volume&quot;:&quot;&quot;,&quot;title&quot;:&quot;Association of the Lung Immune Prognostic Index With Immune Checkpoint Inhibitor Outcomes in Patients With Advanced Non-Small Cell Lung Cancer&quot;,&quot;issue&quot;:&quot;&quot;,&quot;issn&quot;:&quot;&quot;,&quot;isbn&quot;:&quot;&quot;,&quot;url&quot;:&quot;&quot;},&quot;collection_group_id&quot;:&quot;&quot;,&quot;collection_id&quot;:&quot;4e0192db-b678-400e-ba1d-e378d3262964&quot;,&quot;item_type&quot;:&quot;article&quot;,&quot;deleted&quot;:false,&quot;files&quot;:[{&quot;name&quot;:&quot;Association of the Lung Immune Prognostic Index With Immune Checkpoint Inhibitor Outcomes in Patients With Advanced Non–Small Cell Lung Cancer.pdf&quot;,&quot;size&quot;:312269,&quot;type&quot;:&quot;article&quot;,&quot;pages&quot;:21,&quot;sha256&quot;:&quot;7be9f86a8729eeb35eebf5491fe55ab28d7f578aeeb2fc660846a4146e78ffe9&quot;,&quot;created&quot;:&quot;2020-05-15T16:49:16Z&quot;,&quot;file_type&quot;:&quot;pdf&quot;,&quot;access_method&quot;:&quot;personal_library&quot;,&quot;pdf_text_url&quot;:&quot;https://s3.amazonaws.com/objects.readcube.com/prerendered/7be9f86a8729eeb35eebf5491fe55ab28d7f578aeeb2fc660846a4146e78ffe9/pdftext.txt?X-Amz-Algorithm=AWS4-HMAC-SHA256&amp;X-Amz-Credential=AKIAJAWZ5L6BMTSOH3EA%2F20200518%2Fus-east-1%2Fs3%2Faws4_request&amp;X-Amz-Date=20200518T213036Z&amp;X-Amz-Expires=86400&amp;X-Amz-SignedHeaders=host&amp;X-Amz-Signature=990eb945f141e37f1bbf4a1bffd92f5df6dabd13c9b4e60b4c0b6c6799982f08&quot;}],&quot;ext_ids&quot;:{&quot;pmid&quot;:&quot;29327044&quot;,&quot;doi&quot;:&quot;10.1001/jamaoncol.2017.4771&quot;},&quot;user_data&quot;:{&quot;created&quot;:&quot;2020-05-15T16:42:17Z&quot;,&quot;modified&quot;:&quot;2020-05-15T17:01:40Z&quot;,&quot;createdby&quot;:&quot;webapp 4.3.1&quot;,&quot;last_read&quot;:&quot;2020-05-15T16:52:09Z&quot;,&quot;modifiedby&quot;:&quot;webapp 4.3.1&quot;,&quot;view_count&quot;:3,&quot;has_annotations&quot;:false,&quot;unread&quot;:false},&quot;checked&quot;:false,&quot;atIndex&quot;:45,&quot;item&quot;:{&quot;type&quot;:&quot;article-journal&quot;,&quot;author&quot;:[{&quot;family&quot;:&quot;Mezquita&quot;,&quot;given&quot;:&quot;Laura&quot;},{&quot;family&quot;:&quot;Auclin&quot;,&quot;given&quot;:&quot;Edouard&quot;},{&quot;family&quot;:&quot;Ferrara&quot;,&quot;given&quot;:&quot;Roberto&quot;},{&quot;family&quot;:&quot;Charrier&quot;,&quot;given&quot;:&quot;Melinda&quot;},{&quot;family&quot;:&quot;Remon&quot;,&quot;given&quot;:&quot;Jordi&quot;},{&quot;family&quot;:&quot;Planchard&quot;,&quot;given&quot;:&quot;David&quot;},{&quot;family&quot;:&quot;Ponce&quot;,&quot;given&quot;:&quot;Santiago&quot;},{&quot;family&quot;:&quot;Ares&quot;,&quot;given&quot;:&quot;Luis Paz&quot;},{&quot;family&quot;:&quot;Leroy&quot;,&quot;given&quot;:&quot;Laura&quot;},{&quot;family&quot;:&quot;Audigier-Valette&quot;,&quot;given&quot;:&quot;Clarisse&quot;},{&quot;family&quot;:&quot;Felip&quot;,&quot;given&quot;:&quot;Enriqueta&quot;},{&quot;family&quot;:&quot;Zerón-Medina&quot;,&quot;given&quot;:&quot;Jorge&quot;},{&quot;family&quot;:&quot;Garrido&quot;,&quot;given&quot;:&quot;Pilar&quot;},{&quot;family&quot;:&quot;Brosseau&quot;,&quot;given&quot;:&quot;Solenn&quot;},{&quot;family&quot;:&quot;Zalcman&quot;,&quot;given&quot;:&quot;Gérard&quot;},{&quot;family&quot;:&quot;Mazieres&quot;,&quot;given&quot;:&quot;Julien&quot;},{&quot;family&quot;:&quot;Caramela&quot;,&quot;given&quot;:&quot;Caroline&quot;},{&quot;family&quot;:&quot;Lahmar&quot;,&quot;given&quot;:&quot;Jihene&quot;},{&quot;family&quot;:&quot;Adam&quot;,&quot;given&quot;:&quot;Julien&quot;},{&quot;family&quot;:&quot;Chaput&quot;,&quot;given&quot;:&quot;Nathalie&quot;},{&quot;family&quot;:&quot;Soria&quot;,&quot;given&quot;:&quot;Jean Charles&quot;},{&quot;family&quot;:&quot;Besse&quot;,&quot;given&quot;:&quot;Benjamin&quot;}],&quot;title&quot;:&quot;Association of the Lung Immune Prognostic Index With Immune Checkpoint Inhibitor Outcomes in Patients With Advanced Non-Small Cell Lung Cancer&quot;,&quot;DOI&quot;:&quot;10.1001/jamaoncol.2017.4771&quot;,&quot;PMID&quot;:&quot;29327044&quot;,&quot;journalAbbreviation&quot;:&quot;JAMA Oncol&quot;,&quot;id&quot;:&quot;9e289965-a50f-4772-ad7a-30de951313ed&quot;,&quot;issued&quot;:{&quot;literal&quot;:&quot;n.d.&quot;},&quot;container-title-short&quot;:&quot;JAMA Oncol&quot;}}]"/>
    <we:property name="-832675642" value="[{&quot;id&quot;:&quot;1ad1efbe-0791-4c3e-a712-5cc7503db85c&quot;,&quot;article&quot;:{&quot;journal_abbrev&quot;:&quot;Cancer Med-us&quot;,&quot;pagination&quot;:&quot;13-20&quot;,&quot;authors&quot;:[&quot;Takayuki Shiroyama&quot;,&quot;Hidekazu Suzuki&quot;,&quot;Motohiro Tamiya&quot;,&quot;Akihiro Tamiya&quot;,&quot;Ayako Tanaka&quot;,&quot;Norio Okamoto&quot;,&quot;Kenji Nakahama&quot;,&quot;Yoshihiko Taniguchi&quot;,&quot;Shun‐ichi Isa&quot;,&quot;Takako Inoue&quot;,&quot;Fumio Imamura&quot;,&quot;Shinji Atagi&quot;,&quot;Tomonori Hirashima&quot;],&quot;publisher&quot;:&quot;&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year&quot;:2018,&quot;chapter&quot;:&quot;&quot;,&quot;journal&quot;:&quot;Cancer Medicine&quot;,&quot;volume&quot;:&quot;7&quot;,&quot;title&quot;:&quot;Pretreatment advanced lung cancer inflammation index (ALI) for predicting early progression in nivolumab‐treated patients with advanced non–small cell lung cancer&quot;,&quot;issue&quot;:&quot;1&quot;,&quot;issn&quot;:&quot;2045-7634&quot;,&quot;isbn&quot;:&quot;&quot;,&quot;url&quot;:&quot;http://onlinelibrary.wiley.com/doi/10.1002/cam4.1234/abstract&quot;},&quot;collection_group_id&quot;:&quot;&quot;,&quot;collection_id&quot;:&quot;4e0192db-b678-400e-ba1d-e378d3262964&quot;,&quot;item_type&quot;:&quot;article&quot;,&quot;deleted&quot;:false,&quot;files&quot;:[{&quot;name&quot;:&quot;IO_NLR_Baseline_Albumin_ALIndex.pdf&quot;,&quot;size&quot;:193543,&quot;type&quot;:&quot;article&quot;,&quot;pages&quot;:8,&quot;sha256&quot;:&quot;4d5b2a9091e803d49dae88cac4069e9fad07348416586f7c95496c6c49dccc76&quot;,&quot;created&quot;:&quot;2020-05-18T20:10:18Z&quot;,&quot;file_type&quot;:&quot;pdf&quot;,&quot;access_method&quot;:&quot;personal_library&quot;,&quot;pdf_text_url&quot;:&quot;https://s3.amazonaws.com/objects.readcube.com/prerendered/4d5b2a9091e803d49dae88cac4069e9fad07348416586f7c95496c6c49dccc76/pdftext.txt?X-Amz-Algorithm=AWS4-HMAC-SHA256&amp;X-Amz-Credential=AKIAJAWZ5L6BMTSOH3EA%2F20200518%2Fus-east-1%2Fs3%2Faws4_request&amp;X-Amz-Date=20200518T212212Z&amp;X-Amz-Expires=86400&amp;X-Amz-SignedHeaders=host&amp;X-Amz-Signature=0c4090ef1dfd5aee25a2793b13a403d9de02c8a8e675de0f3f247aa6dd75c00f&quot;}],&quot;ext_ids&quot;:{&quot;pmid&quot;:&quot;29150906&quot;,&quot;doi&quot;:&quot;10.1002/cam4.1234&quot;},&quot;user_data&quot;:{&quot;created&quot;:&quot;2020-05-18T20:10:18Z&quot;,&quot;modified&quot;:&quot;2020-05-18T20:10:18Z&quot;,&quot;createdby&quot;:&quot;webapp 4.3.1&quot;,&quot;modifiedby&quot;:&quot;webapp 4.3.1&quot;,&quot;has_annotations&quot;:false,&quot;unread&quot;:true,&quot;last_read&quot;:null},&quot;checked&quot;:false,&quot;atIndex&quot;:41,&quot;item&quot;:{&quot;type&quot;:&quot;article-journal&quot;,&quot;author&quot;:[{&quot;family&quot;:&quot;Shiroyama&quot;,&quot;given&quot;:&quot;Takayuki&quot;},{&quot;family&quot;:&quot;Suzuki&quot;,&quot;given&quot;:&quot;Hidekazu&quot;},{&quot;family&quot;:&quot;Tamiya&quot;,&quot;given&quot;:&quot;Motohiro&quot;},{&quot;family&quot;:&quot;Tamiya&quot;,&quot;given&quot;:&quot;Akihiro&quot;},{&quot;family&quot;:&quot;Tanaka&quot;,&quot;given&quot;:&quot;Ayako&quot;},{&quot;family&quot;:&quot;Okamoto&quot;,&quot;given&quot;:&quot;Norio&quot;},{&quot;family&quot;:&quot;Nakahama&quot;,&quot;given&quot;:&quot;Kenji&quot;},{&quot;family&quot;:&quot;Taniguchi&quot;,&quot;given&quot;:&quot;Yoshihiko&quot;},{&quot;family&quot;:&quot;Isa&quot;,&quot;given&quot;:&quot;Shun‐ichi&quot;},{&quot;family&quot;:&quot;Inoue&quot;,&quot;given&quot;:&quot;Takako&quot;},{&quot;family&quot;:&quot;Imamura&quot;,&quot;given&quot;:&quot;Fumio&quot;},{&quot;family&quot;:&quot;Atagi&quot;,&quot;given&quot;:&quot;Shinji&quot;},{&quot;family&quot;:&quot;Hirashima&quot;,&quot;given&quot;:&quot;Tomonori&quot;}],&quot;title&quot;:&quot;Pretreatment advanced lung cancer inflammation index (ALI) for predicting early progression in nivolumab‐treated patients with advanced non–small cell lung cancer&quot;,&quot;ISSN&quot;:&quot;2045-7634&quot;,&quot;DOI&quot;:&quot;10.1002/cam4.1234&quot;,&quot;PMID&quot;:&quot;29150906&quot;,&quot;abstract&quot;:&quot;Programmed death-ligand 1 (PD-L1) expression status is inadequate for indicating nivolumab in patients with non–small cell lung cancer (NSCLC). Because the baseline advanced lung cancer inflammation index (ALI) is reportedly associated with patient outcomes, we investigated whether the pretreatment ALI is prognostic in NSCLC patients treated with nivolumab. We retrospectively reviewed the medical records of all patients treated with nivolumab for advanced NSCLC between December 2015 and May 2016 at three Japanese institutes. Multivariate logistic regression and Cox proportional hazards models were used to assess the impact of the pretreatment ALI (and other inflammation-related parameters) on progression-free survival (PFS) and early progression (i.e., within 8 weeks after starting nivolumab). A total of 201 patients were analyzed; their median age was 68 years (range, 27–87 years), 67% were men, and 24% had an Eastern Cooperative Oncology Group (ECOG) performance status of 2 or higher. An ECOG performance status ≥2, serum albumin &lt;3.7 g/dL, neutrophil-to-lymphocyte ratio ≥4, and ALI &lt;18 were significantly associated with poor PFS and early progression on univariate analysis. Multivariate analyses revealed that pretreatment ALI &lt;18 was independently associated with inferior PFS (median, 1.4 vs. 3.7 months, P &lt; 0.001) and a higher likelihood of early progression (odds ratio, 2.76; 95% confidence interval 1.44–5.34; P = 0.002). The pretreatment ALI was found to be a significant independent predictor of early progression in patients with advanced NSCLC receiving nivolumab, and may help identify patients likely to benefit from continued nivolumab treatment in routine clinical practice.&quot;,&quot;issued&quot;:{&quot;year&quot;:2018},&quot;page&quot;:&quot;13-20&quot;,&quot;issue&quot;:&quot;1&quot;,&quot;volume&quot;:&quot;7&quot;,&quot;journalAbbreviation&quot;:&quot;Cancer Med-us&quot;,&quot;container-title&quot;:&quot;Cancer Medicine&quot;,&quot;id&quot;:&quot;1ad1efbe-0791-4c3e-a712-5cc7503db85c&quot;,&quot;page-first&quot;:&quot;13&quot;,&quot;container-title-short&quot;:&quot;Cancer Med-us&quot;}}]"/>
    <we:property name="-2111029268" value="[{&quot;id&quot;:&quot;2f41324b-10f5-4c54-8fe4-b60f8ae8aa59&quot;,&quot;article&quot;:{&quot;journal_abbrev&quot;:&quot;Pharm&quot;,&quot;pagination&quot;:&quot;94&quot;,&quot;authors&quot;:[&quot;Fabiana Busti&quot;,&quot;Giacomo Marchi&quot;,&quot;Sara Ugolini&quot;,&quot;Annalisa Castagna&quot;,&quot;Domenico Girelli&quot;],&quot;publisher&quot;:&quot;&quot;,&quot;abstract&quot;:&quot;Anemia in cancer patients is quite common, with remarkable negative impacts on quality of life and overall prognosis. The pathogenesis is complex and typically multifactorial, with iron deficiency (ID) often being a major and potentially treatable contributor. In turn, ID in cancer patients can be due to multiple concurring mechanisms, including bleeding (e.g., in gastrointestinal cancers or after surgery), malnutrition, medications, and hepcidin-driven iron sequestration into macrophages with subsequent iron-restricted erythropoiesis. Indeed, either absolute or functional iron deficiency (AID or FID) can occur. While for absolute ID there is a general consensus regarding the laboratory definition (that is ferritin levels &lt;100 ng/mL ± transferrin saturation (TSAT) &lt;20%), a shared definition of functional ID is still lacking. Current therapeutic options in cancer anemia include iron replacement, erythropoietic stimulating agents (ESAs), and blood transfusions. The latter should be kept to a minimum, because of concerns regarding risks, costs, and limited resources. Iron therapy has proved to be a valid approach to enhance efficacy of ESAs and to reduce transfusion need. Available guidelines focus mainly on patients with chemotherapy-associated anemia, and generally suggest intravenous (IV) iron when AID or FID is present. However, in the case of FID, the upper limit of ferritin in association with TSAT &lt;20% at which iron should be prescribed is a matter of controversy, ranging up to 800 ng/mL. An increasingly recognized indication to IV iron in cancer patients is represented by preoperative anemia in elective oncologic surgery. In this setting, the primary goal of treatment is to decrease the need of blood transfusions in the perioperative period, rather than improving anemia-related symptoms as in chemotherapy-associated anemia. Protocols are mainly based on experiences of Patient Blood Management (PBM) in non-oncologic surgery, but no specific guidelines are available for oncologic surgery. Here we discuss some possible approaches to the management of ID in cancer patients in different clinical settings, based on current guidelines and recommendations, emphasizing the need for further research in the field.&quot;,&quot;year&quot;:2018,&quot;chapter&quot;:&quot;&quot;,&quot;journal&quot;:&quot;Pharmaceuticals&quot;,&quot;volume&quot;:&quot;11&quot;,&quot;title&quot;:&quot;Anemia and Iron Deficiency in Cancer Patients: Role of Iron Replacement Therapy&quot;,&quot;issue&quot;:&quot;4&quot;,&quot;issn&quot;:&quot;&quot;,&quot;isbn&quot;:&quot;&quot;,&quot;url&quot;:&quot;https://www.mdpi.com/1424-8247/11/4/94&quot;},&quot;collection_group_id&quot;:&quot;&quot;,&quot;collection_id&quot;:&quot;4e0192db-b678-400e-ba1d-e378d3262964&quot;,&quot;item_type&quot;:&quot;article&quot;,&quot;deleted&quot;:false,&quot;files&quot;:[{&quot;name&quot;:&quot;Anemia_Cancer_OS_Review.pdf&quot;,&quot;size&quot;:1659041,&quot;type&quot;:&quot;article&quot;,&quot;pages&quot;:14,&quot;sha256&quot;:&quot;815ebce6f9f2cf75c58ea7399d9fb4c8ac9e9e15cb65d65f403cd206ca818e61&quot;,&quot;created&quot;:&quot;2020-06-26T15:02:26Z&quot;,&quot;user_id&quot;:&quot;4e0192db-b678-400e-ba1d-e378d3262964&quot;,&quot;createdby&quot;:&quot;webapp 4.4.1&quot;,&quot;file_type&quot;:&quot;pdf&quot;,&quot;access_method&quot;:&quot;personal_library&quot;,&quot;pdf_text_url&quot;:&quot;https://s3.amazonaws.com/objects.readcube.com/prerendered/815ebce6f9f2cf75c58ea7399d9fb4c8ac9e9e15cb65d65f403cd206ca818e61/pdftext.txt?X-Amz-Algorithm=AWS4-HMAC-SHA256&amp;X-Amz-Credential=AKIA2A2FUGL6NVUZZOGC%2F20200626%2Fus-east-1%2Fs3%2Faws4_request&amp;X-Amz-Date=20200626T150301Z&amp;X-Amz-Expires=86400&amp;X-Amz-SignedHeaders=host&amp;X-Amz-Signature=a96894c862d57325e5f9a838f97ddaeff2b42205b06622e4aeb6c222789526da&quot;}],&quot;ext_ids&quot;:{&quot;pmid&quot;:&quot;30274354&quot;,&quot;doi&quot;:&quot;10.3390/ph11040094&quot;},&quot;user_data&quot;:{&quot;created&quot;:&quot;2020-06-26T15:02:26Z&quot;,&quot;modified&quot;:&quot;2020-06-26T15:02:26Z&quot;,&quot;createdby&quot;:&quot;webapp 4.4.1&quot;,&quot;modifiedby&quot;:&quot;webapp 4.4.1&quot;,&quot;has_annotations&quot;:false,&quot;unread&quot;:true,&quot;last_read&quot;:null},&quot;checked&quot;:false,&quot;atIndex&quot;:69,&quot;item&quot;:{&quot;type&quot;:&quot;article-journal&quot;,&quot;author&quot;:[{&quot;family&quot;:&quot;Busti&quot;,&quot;given&quot;:&quot;Fabiana&quot;},{&quot;family&quot;:&quot;Marchi&quot;,&quot;given&quot;:&quot;Giacomo&quot;},{&quot;family&quot;:&quot;Ugolini&quot;,&quot;given&quot;:&quot;Sara&quot;},{&quot;family&quot;:&quot;Castagna&quot;,&quot;given&quot;:&quot;Annalisa&quot;},{&quot;family&quot;:&quot;Girelli&quot;,&quot;given&quot;:&quot;Domenico&quot;}],&quot;title&quot;:&quot;Anemia and Iron Deficiency in Cancer Patients: Role of Iron Replacement Therapy&quot;,&quot;DOI&quot;:&quot;10.3390/ph11040094&quot;,&quot;PMID&quot;:&quot;30274354&quot;,&quot;abstract&quot;:&quot;Anemia in cancer patients is quite common, with remarkable negative impacts on quality of life and overall prognosis. The pathogenesis is complex and typically multifactorial, with iron deficiency (ID) often being a major and potentially treatable contributor. In turn, ID in cancer patients can be due to multiple concurring mechanisms, including bleeding (e.g., in gastrointestinal cancers or after surgery), malnutrition, medications, and hepcidin-driven iron sequestration into macrophages with subsequent iron-restricted erythropoiesis. Indeed, either absolute or functional iron deficiency (AID or FID) can occur. While for absolute ID there is a general consensus regarding the laboratory definition (that is ferritin levels &lt;100 ng/mL ± transferrin saturation (TSAT) &lt;20%), a shared definition of functional ID is still lacking. Current therapeutic options in cancer anemia include iron replacement, erythropoietic stimulating agents (ESAs), and blood transfusions. The latter should be kept to a minimum, because of concerns regarding risks, costs, and limited resources. Iron therapy has proved to be a valid approach to enhance efficacy of ESAs and to reduce transfusion need. Available guidelines focus mainly on patients with chemotherapy-associated anemia, and generally suggest intravenous (IV) iron when AID or FID is present. However, in the case of FID, the upper limit of ferritin in association with TSAT &lt;20% at which iron should be prescribed is a matter of controversy, ranging up to 800 ng/mL. An increasingly recognized indication to IV iron in cancer patients is represented by preoperative anemia in elective oncologic surgery. In this setting, the primary goal of treatment is to decrease the need of blood transfusions in the perioperative period, rather than improving anemia-related symptoms as in chemotherapy-associated anemia. Protocols are mainly based on experiences of Patient Blood Management (PBM) in non-oncologic surgery, but no specific guidelines are available for oncologic surgery. Here we discuss some possible approaches to the management of ID in cancer patients in different clinical settings, based on current guidelines and recommendations, emphasizing the need for further research in the field.&quot;,&quot;issued&quot;:{&quot;year&quot;:2018},&quot;page&quot;:&quot;94&quot;,&quot;issue&quot;:&quot;4&quot;,&quot;volume&quot;:&quot;11&quot;,&quot;journalAbbreviation&quot;:&quot;Pharm&quot;,&quot;container-title&quot;:&quot;Pharmaceuticals&quot;,&quot;id&quot;:&quot;2f41324b-10f5-4c54-8fe4-b60f8ae8aa59&quot;,&quot;page-first&quot;:&quot;94&quot;,&quot;container-title-short&quot;:&quot;Pharm&quot;}}]"/>
    <we:property name="-1137561309"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2A2FUGL6NVUZZOGC%2F20200626%2Fus-east-1%2Fs3%2Faws4_request&amp;X-Amz-Date=20200626T153129Z&amp;X-Amz-Expires=86400&amp;X-Amz-SignedHeaders=host&amp;X-Amz-Signature=f6e84e877c69f70ff6e8198436cbd8f3e6bc28032f2d02e1dfb94df39178ac17&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2A2FUGL6NVUZZOGC%2F20200626%2Fus-east-1%2Fs3%2Faws4_request&amp;X-Amz-Date=20200626T153129Z&amp;X-Amz-Expires=86400&amp;X-Amz-SignedHeaders=host&amp;X-Amz-Signature=09e567081b7f19c359c722ce53151f5f02050bd93908b9283ffd37880571da10&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71}]"/>
    <we:property name="-241256257"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2A2FUGL6NVUZZOGC%2F20200626%2Fus-east-1%2Fs3%2Faws4_request&amp;X-Amz-Date=20200626T153607Z&amp;X-Amz-Expires=86400&amp;X-Amz-SignedHeaders=host&amp;X-Amz-Signature=5ba040b81fa186f28be46fbb941bae54929dd7d3d4b7ed57262670025a9de661&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2A2FUGL6NVUZZOGC%2F20200626%2Fus-east-1%2Fs3%2Faws4_request&amp;X-Amz-Date=20200626T153607Z&amp;X-Amz-Expires=86400&amp;X-Amz-SignedHeaders=host&amp;X-Amz-Signature=5a8b47901ead589863b06de32a7c4c4031d33b416a7f4645d86546360d5f33c5&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71}]"/>
    <we:property name="-265233420" value="[{&quot;id&quot;:&quot;7d6843b4-09af-4317-9b5c-56dd5b71058d&quot;,&quot;article&quot;:{&quot;journal_abbrev&quot;:&quot;Brit J Cancer&quot;,&quot;pagination&quot;:&quot;913-920&quot;,&quot;authors&quot;:[&quot;Ashley M Hopkins&quot;,&quot;Andrew Rowland&quot;,&quot;Ganessan Kichenadasse&quot;,&quot;Michael D Wiese&quot;,&quot;Howard Gurney&quot;,&quot;Ross A McKinnon&quot;,&quot;Chris S Karapetis&quot;,&quot;Michael J Sorich&quot;],&quot;publisher&quot;:&quot;&quot;,&quot;abstract&quot;:&quot;Immune checkpoint inhibitors (ICI) are an important development in the treatment of advanced cancer. A substantial proportion of patients treated with ICI do not respond, and additionally patients discontinue treatment due to adverse effects. While many novel biological markers related to the specific mechanisms of ICI actions have been investigated, there has also been considerable research to identify routinely available blood and clinical markers that may predict response to ICI therapy. If validated, these markers have the advantage of being easily integrated into clinical use for nominal expense. Several markers have shown promise, including baseline and post-treatment changes in leucocyte counts, lactate dehydrogenase and C-reactive protein. While promising, the results between studies have been inconsistent due to small sample sizes, follow-up time and variability in the assessed markers. To date, research on routinely available blood and clinical markers has focussed primarily on ICI use in melanoma, the use of ipilimumab and on univariate associations, but preliminary evidence is emerging for other cancer types, other ICIs and for combining markers in multivariable clinical prediction models.&quot;,&quot;year&quot;:2017,&quot;chapter&quot;:&quot;&quot;,&quot;journal&quot;:&quot;British Journal of Cancer&quot;,&quot;volume&quot;:&quot;117&quot;,&quot;title&quot;:&quot;Predicting response and toxicity to immune checkpoint inhibitors using routinely available blood and clinical markers&quot;,&quot;issue&quot;:&quot;7&quot;,&quot;issn&quot;:&quot;0007-0920&quot;,&quot;isbn&quot;:&quot;&quot;,&quot;url&quot;:&quot;https://www.nature.com/articles/bjc.2017.274&quot;},&quot;collection_group_id&quot;:&quot;&quot;,&quot;collection_id&quot;:&quot;4e0192db-b678-400e-ba1d-e378d3262964&quot;,&quot;item_type&quot;:&quot;article&quot;,&quot;deleted&quot;:false,&quot;files&quot;:[{&quot;name&quot;:&quot;IO blood marker BJC 2017.pdf&quot;,&quot;size&quot;:230177,&quot;type&quot;:&quot;article&quot;,&quot;pages&quot;:8,&quot;sha256&quot;:&quot;04c66b05e88a4348bf8e8bc4d7e5ce3e54e18fe0d28b11b9c6eb51f16ccd5b30&quot;,&quot;created&quot;:&quot;2020-05-15T14:32:52Z&quot;,&quot;file_type&quot;:&quot;pdf&quot;,&quot;access_method&quot;:&quot;personal_library&quot;,&quot;pdf_text_url&quot;:&quot;https://s3.amazonaws.com/objects.readcube.com/prerendered/04c66b05e88a4348bf8e8bc4d7e5ce3e54e18fe0d28b11b9c6eb51f16ccd5b30/pdftext.txt?X-Amz-Algorithm=AWS4-HMAC-SHA256&amp;X-Amz-Credential=AKIA2A2FUGL6NVUZZOGC%2F20200626%2Fus-east-1%2Fs3%2Faws4_request&amp;X-Amz-Date=20200626T154410Z&amp;X-Amz-Expires=86400&amp;X-Amz-SignedHeaders=host&amp;X-Amz-Signature=a95ac76a6127bda4c38e193450b8ad4b585af184da77a1ffbb7feb2fdc1262d0&quot;}],&quot;ext_ids&quot;:{&quot;pmid&quot;:&quot;28950287&quot;,&quot;doi&quot;:&quot;10.1038/bjc.2017.274&quot;},&quot;user_data&quot;:{&quot;created&quot;:&quot;2020-05-15T14:32:52Z&quot;,&quot;modified&quot;:&quot;2020-05-15T20:59:28Z&quot;,&quot;createdby&quot;:&quot;webapp 4.3.1&quot;,&quot;last_read&quot;:&quot;2020-05-15T20:59:28Z&quot;,&quot;modifiedby&quot;:&quot;web_reader 13.0.3&quot;,&quot;view_count&quot;:1,&quot;has_annotations&quot;:false,&quot;unread&quot;:false},&quot;checked&quot;:false,&quot;atIndex&quot;:71,&quot;item&quot;:{&quot;type&quot;:&quot;article-journal&quot;,&quot;author&quot;:[{&quot;family&quot;:&quot;Hopkins&quot;,&quot;given&quot;:&quot;Ashley M&quot;},{&quot;family&quot;:&quot;Rowland&quot;,&quot;given&quot;:&quot;Andrew&quot;},{&quot;family&quot;:&quot;Kichenadasse&quot;,&quot;given&quot;:&quot;Ganessan&quot;},{&quot;family&quot;:&quot;Wiese&quot;,&quot;given&quot;:&quot;Michael D&quot;},{&quot;family&quot;:&quot;Gurney&quot;,&quot;given&quot;:&quot;Howard&quot;},{&quot;family&quot;:&quot;McKinnon&quot;,&quot;given&quot;:&quot;Ross A&quot;},{&quot;family&quot;:&quot;Karapetis&quot;,&quot;given&quot;:&quot;Chris S&quot;},{&quot;family&quot;:&quot;Sorich&quot;,&quot;given&quot;:&quot;Michael J&quot;}],&quot;title&quot;:&quot;Predicting response and toxicity to immune checkpoint inhibitors using routinely available blood and clinical markers&quot;,&quot;ISSN&quot;:&quot;0007-0920&quot;,&quot;DOI&quot;:&quot;10.1038/bjc.2017.274&quot;,&quot;PMID&quot;:&quot;28950287&quot;,&quot;abstract&quot;:&quot;Immune checkpoint inhibitors (ICI) are an important development in the treatment of advanced cancer. A substantial proportion of patients treated with ICI do not respond, and additionally patients discontinue treatment due to adverse effects. While many novel biological markers related to the specific mechanisms of ICI actions have been investigated, there has also been considerable research to identify routinely available blood and clinical markers that may predict response to ICI therapy. If validated, these markers have the advantage of being easily integrated into clinical use for nominal expense. Several markers have shown promise, including baseline and post-treatment changes in leucocyte counts, lactate dehydrogenase and C-reactive protein. While promising, the results between studies have been inconsistent due to small sample sizes, follow-up time and variability in the assessed markers. To date, research on routinely available blood and clinical markers has focussed primarily on ICI use in melanoma, the use of ipilimumab and on univariate associations, but preliminary evidence is emerging for other cancer types, other ICIs and for combining markers in multivariable clinical prediction models.&quot;,&quot;issued&quot;:{&quot;year&quot;:2017},&quot;page&quot;:&quot;913-920&quot;,&quot;issue&quot;:&quot;7&quot;,&quot;volume&quot;:&quot;117&quot;,&quot;journalAbbreviation&quot;:&quot;Brit J Cancer&quot;,&quot;container-title&quot;:&quot;British Journal of Cancer&quot;,&quot;id&quot;:&quot;7d6843b4-09af-4317-9b5c-56dd5b71058d&quot;,&quot;page-first&quot;:&quot;913&quot;,&quot;container-title-short&quot;:&quot;Brit J Cancer&quot;}}]"/>
    <we:property name="-1647807039" value="[{&quot;id&quot;:&quot;c241c548-487b-40a1-aa73-68886a980ff5&quot;,&quot;article&quot;:{&quot;journal_abbrev&quot;:&quot;Clin Lung Cancer&quot;,&quot;pagination&quot;:&quot;426-434.e1&quot;,&quot;authors&quot;:[&quot;Alona Zer&quot;,&quot;Mike R. Sung&quot;,&quot;Preet Walia&quot;,&quot;Leila Khoja&quot;,&quot;Manjula Maganti&quot;,&quot;Catherine Labbe&quot;,&quot;Frances A. Shepherd&quot;,&quot;Penelope A. Bradbury&quot;,&quot;Ronald Feld&quot;,&quot;Geoffrey Liu&quot;,&quot;Melissa Iazzi&quot;,&quot;Dianne Zawisza&quot;,&quot;Nazanin Nouriany&quot;,&quot;Natasha B. Leighl&quot;],&quot;publisher&quot;:&quot;&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year&quot;:2018,&quot;chapter&quot;:&quot;&quot;,&quot;journal&quot;:&quot;&quot;,&quot;volume&quot;:&quot;9(5)&quot;,&quot;title&quot;:&quot;Correlation of Neutrophil to Lymphocyte Ratio and Absolute Neutrophil Count With Outcomes With PD-1 Axis Inhibitors in Patients With Advanced Non-Small-Cell Lung Cancer.&quot;,&quot;issue&quot;:&quot;&quot;,&quot;issn&quot;:&quot;&quot;,&quot;isbn&quot;:&quot;&quot;,&quot;url&quot;:&quot;&quot;},&quot;collection_group_id&quot;:&quot;&quot;,&quot;collection_id&quot;:&quot;4e0192db-b678-400e-ba1d-e378d3262964&quot;,&quot;item_type&quot;:&quot;article&quot;,&quot;deleted&quot;:false,&quot;files&quot;:[],&quot;ext_ids&quot;:{&quot;pmid&quot;:&quot;29803574&quot;,&quot;doi&quot;:&quot;10.1016/j.cllc.2018.04.008&quot;},&quot;user_data&quot;:{&quot;created&quot;:&quot;2020-05-18T21:38:17Z&quot;,&quot;modified&quot;:&quot;2020-05-18T21:49:04Z&quot;,&quot;createdby&quot;:&quot;webapp 4.3.1&quot;,&quot;modifiedby&quot;:&quot;webapp 4.3.1&quot;,&quot;has_annotations&quot;:false,&quot;unread&quot;:true,&quot;last_read&quot;:null},&quot;checked&quot;:false,&quot;item&quot;:{&quot;type&quot;:&quot;article-journal&quot;,&quot;author&quot;:[{&quot;family&quot;:&quot;Zer&quot;,&quot;given&quot;:&quot;Alona&quot;},{&quot;family&quot;:&quot;Sung&quot;,&quot;given&quot;:&quot;Mike R.&quot;},{&quot;family&quot;:&quot;Walia&quot;,&quot;given&quot;:&quot;Preet&quot;},{&quot;family&quot;:&quot;Khoja&quot;,&quot;given&quot;:&quot;Leila&quot;},{&quot;family&quot;:&quot;Maganti&quot;,&quot;given&quot;:&quot;Manjula&quot;},{&quot;family&quot;:&quot;Labbe&quot;,&quot;given&quot;:&quot;Catherine&quot;},{&quot;family&quot;:&quot;Shepherd&quot;,&quot;given&quot;:&quot;Frances A.&quot;},{&quot;family&quot;:&quot;Bradbury&quot;,&quot;given&quot;:&quot;Penelope A.&quot;},{&quot;family&quot;:&quot;Feld&quot;,&quot;given&quot;:&quot;Ronald&quot;},{&quot;family&quot;:&quot;Liu&quot;,&quot;given&quot;:&quot;Geoffrey&quot;},{&quot;family&quot;:&quot;Iazzi&quot;,&quot;given&quot;:&quot;Melissa&quot;},{&quot;family&quot;:&quot;Zawisza&quot;,&quot;given&quot;:&quot;Dianne&quot;},{&quot;family&quot;:&quot;Nouriany&quot;,&quot;given&quot;:&quot;Nazanin&quot;},{&quot;family&quot;:&quot;Leighl&quot;,&quot;given&quot;:&quot;Natasha B.&quot;}],&quot;title&quot;:&quot;Correlation of Neutrophil to Lymphocyte Ratio and Absolute Neutrophil Count With Outcomes With PD-1 Axis Inhibitors in Patients With Advanced Non-Small-Cell Lung Cancer.&quot;,&quot;DOI&quot;:&quot;10.1016/j.cllc.2018.04.008&quot;,&quot;PMID&quot;:&quot;29803574&quot;,&quot;abstract&quot;:&quot;INTRODUCTION:\nProgrammed death-1 (PD-1) axis inhibitors have become standard therapy in advanced non-small-cell lung cancer (NSCLC). Response might be delayed and pseudo-progression occasionally occurs in patients who eventually benefit from treatment. Additional markers beyond programmed death ligand 1 (PD-L1) expression are needed to assist in patient selection, response evaluation, and treatment decisions.\n\nMATERIALS AND METHODS:\nThe relationship between prospectively collected clinical outcomes (response, disease control rate [DCR], treatment duration, overall survival) and hematologic parameters (neutrophil to lymphocyte ratio [NLR], absolute neutrophil count [ANC], and platelet to lymphocyte ratio [PLR]) was explored retrospectively in advanced NSCLC patients treated with PD-1 axis inhibitors at a major cancer center from May 2013 to August 2016. Hematologic parameters at baseline and during treatment (week 2 or 3 and week 8) were included.\n\nRESULTS:\nOf 88 patients treated with PD-1 axis inhibitors, 22 (25%) experienced partial response. Baseline NLR ≤4 was associated with superior DCR (74% vs. 50%; P = .025), treatment duration (P = .037), time to progression (P = .053), and overall survival (P = .019), with no differential association according to PD-L1 tumor expression. Lower NLR and ANC during treatment were also associated with response to treatment (P = .025 and P = .017, respectively), and treatment duration (P = .036 and P = .008). No association was found between baseline PLR and DCR, response, treatment duration, nor overall survival.\n\nCONCLUSION:\nBaseline NLR ≤4 and lower NLR and ANC during treatment might correlate with disease control and treatment response and should be explored further as potential predictors of treatment benefit in larger studies.&quot;,&quot;issued&quot;:{&quot;year&quot;:2018},&quot;page&quot;:&quot;426-434.e1&quot;,&quot;volume&quot;:&quot;9(5)&quot;,&quot;journalAbbreviation&quot;:&quot;Clin Lung Cancer&quot;,&quot;id&quot;:&quot;c241c548-487b-40a1-aa73-68886a980ff5&quot;,&quot;page-first&quot;:&quot;426&quot;,&quot;container-title-short&quot;:&quot;Clin Lung Cancer&quot;}}]"/>
    <we:property name="-1011060771" value="[{&quot;id&quot;:&quot;5a9c62ed-44a8-4331-83ec-3f632496e141&quot;,&quot;article&quot;:{&quot;journal_abbrev&quot;:&quot;Cancer Immunol Immunother&quot;,&quot;pagination&quot;:&quot;459-470&quot;,&quot;authors&quot;:[&quot;Koung Jin Suh&quot;,&quot;Se Hyun Kim&quot;,&quot;Yu Jung Kim&quot;,&quot;Miso Kim&quot;,&quot;Bhumsuk Keam&quot;,&quot;Tae Min Kim&quot;,&quot;Dong-Wan Kim&quot;,&quot;Dae Seog Heo&quot;,&quot;Jong Seok Lee&quot;],&quot;publisher&quot;:&quot;&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year&quot;:2018,&quot;chapter&quot;:&quot;&quot;,&quot;journal&quot;:&quot;Cancer Immunology, Immunotherapy&quot;,&quot;volume&quot;:&quot;67&quot;,&quot;title&quot;:&quot;Post-treatment neutrophil-to-lymphocyte ratio at week 6 is prognostic in patients with advanced non-small cell lung cancers treated with anti-PD-1 antibody&quot;,&quot;issue&quot;:&quot;3&quot;,&quot;issn&quot;:&quot;0340-7004&quot;,&quot;isbn&quot;:&quot;&quot;,&quot;url&quot;:&quot;https://link.springer.com/10.1007%2Fs00262-017-2092-x&quot;},&quot;collection_group_id&quot;:&quot;&quot;,&quot;collection_id&quot;:&quot;4e0192db-b678-400e-ba1d-e378d3262964&quot;,&quot;item_type&quot;:&quot;article&quot;,&quot;deleted&quot;:false,&quot;files&quot;:[{&quot;name&quot;:&quot;NLR 6wk IO nsclc Cancer IO 2018.pdf&quot;,&quot;size&quot;:1357984,&quot;type&quot;:&quot;article&quot;,&quot;pages&quot;:12,&quot;sha256&quot;:&quot;9927bcba0083d23a616f5d08546757f7cb2ab6974fd88633e63d0e5c0c67ca5a&quot;,&quot;created&quot;:&quot;2020-05-15T14:32:36Z&quot;,&quot;file_type&quot;:&quot;pdf&quot;,&quot;access_method&quot;:&quot;personal_library&quot;,&quot;pdf_text_url&quot;:&quot;https://s3.amazonaws.com/objects.readcube.com/prerendered/9927bcba0083d23a616f5d08546757f7cb2ab6974fd88633e63d0e5c0c67ca5a/pdftext.txt?X-Amz-Algorithm=AWS4-HMAC-SHA256&amp;X-Amz-Credential=AKIAJAWZ5L6BMTSOH3EA%2F20200515%2Fus-east-1%2Fs3%2Faws4_request&amp;X-Amz-Date=20200515T153125Z&amp;X-Amz-Expires=86400&amp;X-Amz-SignedHeaders=host&amp;X-Amz-Signature=b5b0a14e051148c388120d947077191b1f8e5f1915ed3ee8636ba5b18630c628&quot;},{&quot;name&quot;:&quot;Supplement 1.pdf&quot;,&quot;size&quot;:387734,&quot;type&quot;:&quot;supplement&quot;,&quot;pages&quot;:5,&quot;sha256&quot;:&quot;231037971e549232567b4d70591fb0dfbb868661116ecfb179f4fae80dcea93a&quot;,&quot;created&quot;:&quot;2020-05-15T14:32:36Z&quot;,&quot;file_type&quot;:&quot;pdf&quot;,&quot;access_method&quot;:&quot;official_supplement&quot;,&quot;pdf_text_url&quot;:&quot;https://s3.amazonaws.com/objects.readcube.com/prerendered/231037971e549232567b4d70591fb0dfbb868661116ecfb179f4fae80dcea93a/pdftext.txt?X-Amz-Algorithm=AWS4-HMAC-SHA256&amp;X-Amz-Credential=AKIAJAWZ5L6BMTSOH3EA%2F20200515%2Fus-east-1%2Fs3%2Faws4_request&amp;X-Amz-Date=20200515T153125Z&amp;X-Amz-Expires=86400&amp;X-Amz-SignedHeaders=host&amp;X-Amz-Signature=d4a7d0edb1fe6fc67c314ea272e600e5844000fa3ee6fdbb8acf28236d754c94&quot;}],&quot;ext_ids&quot;:{&quot;pmid&quot;:&quot;29204702&quot;,&quot;doi&quot;:&quot;10.1007/s00262-017-2092-x&quot;},&quot;user_data&quot;:{&quot;created&quot;:&quot;2020-05-15T14:32:36Z&quot;,&quot;modified&quot;:&quot;2020-05-15T14:32:36Z&quot;,&quot;createdby&quot;:&quot;webapp 4.3.1&quot;,&quot;modifiedby&quot;:&quot;webapp 4.3.1&quot;,&quot;has_annotations&quot;:false,&quot;unread&quot;:true,&quot;last_read&quot;:null},&quot;checked&quot;:false,&quot;atIndex&quot;:0,&quot;item&quot;:{&quot;type&quot;:&quot;article-journal&quot;,&quot;author&quot;:[{&quot;family&quot;:&quot;Suh&quot;,&quot;given&quot;:&quot;Koung Jin&quot;},{&quot;family&quot;:&quot;Kim&quot;,&quot;given&quot;:&quot;Se Hyun&quot;},{&quot;family&quot;:&quot;Kim&quot;,&quot;given&quot;:&quot;Yu Jung&quot;},{&quot;family&quot;:&quot;Kim&quot;,&quot;given&quot;:&quot;Miso&quot;},{&quot;family&quot;:&quot;Keam&quot;,&quot;given&quot;:&quot;Bhumsuk&quot;},{&quot;family&quot;:&quot;Kim&quot;,&quot;given&quot;:&quot;Tae Min&quot;},{&quot;family&quot;:&quot;Kim&quot;,&quot;given&quot;:&quot;Dong-Wan&quot;},{&quot;family&quot;:&quot;Heo&quot;,&quot;given&quot;:&quot;Dae Seog&quot;},{&quot;family&quot;:&quot;Lee&quot;,&quot;given&quot;:&quot;Jong Seok&quot;}],&quot;title&quot;:&quot;Post-treatment neutrophil-to-lymphocyte ratio at week 6 is prognostic in patients with advanced non-small cell lung cancers treated with anti-PD-1 antibody&quot;,&quot;ISSN&quot;:&quot;0340-7004&quot;,&quot;DOI&quot;:&quot;10.1007/s00262-017-2092-x&quot;,&quot;PMID&quot;:&quot;29204702&quot;,&quot;abstract&quot;:&quot;We investigated inflammatory markers such as the neutrophil-to-lymphocyte ratio (NLR) that may predict the response to anti-PD-1 (programmed cell death protein 1) antibody therapy. Data from 54 patients with non-small cell lung cancer (NSCLC) treated with anti-PD-1 antibodies were retrospectively analyzed. The NLR was assessed at baseline and 6 weeks after the start of treatment (post-treatment). Eighteen of 54 patients (33.3%) had objective responses to treatment. Older age, absence of brain metastasis, low post-treatment NLR (&lt; 5), and immune-related adverse events were significantly associated with response. Patients with a high post-treatment NLR (≥ 5) had significantly shorter progression-free survival (PFS) than those with a low post-treatment NLR (median, 1.3 vs. 6.1 months, p &lt; 0.001). Multivariate analysis demonstrated that high post-treatment NLR [hazard ratio (HR) 15.1, 95% confidence interval (CI) 1.5–50.1, p &lt; 0.001], liver metastasis (HR 4.9, 95% CI 1.9–12.4, p = 0.001), and brain metastasis (HR 3.2, 95% CI 1.3–8.2, p = 0.013) were independent prognostic factors of shorter PFS. Overall survival (OS) was significantly different in patients with high and low post-treatment NLRs (median, 2.1 vs. 14.0 months, p &lt; 0.001). A high post-treatment NLR remained an independent prognostic factor for OS in multivariate analysis (HR 3.9, 95% CI 1.6–9.2, p = 0.003). The NLR at 6 weeks after treatment initiation was a prognostic marker in patients with advanced NSCLC treated with anti-PD-1 antibody. Further studies are warranted to evaluate the role of the 6-week NLR as a predictor in anti-PD-1 antibody treatment.&quot;,&quot;issued&quot;:{&quot;year&quot;:2018},&quot;page&quot;:&quot;459-470&quot;,&quot;issue&quot;:&quot;3&quot;,&quot;volume&quot;:&quot;67&quot;,&quot;journalAbbreviation&quot;:&quot;Cancer Immunol Immunother&quot;,&quot;container-title&quot;:&quot;Cancer Immunology, Immunotherapy&quot;,&quot;id&quot;:&quot;5a9c62ed-44a8-4331-83ec-3f632496e141&quot;,&quot;page-first&quot;:&quot;459&quot;,&quot;container-title-short&quot;:&quot;Cancer Immunol Immunother&quot;}}]"/>
    <we:property name="-496345975" value="[{&quot;id&quot;:&quot;8ae86fbe-e0fb-4f22-b59a-15961ebe6ec4&quot;,&quot;article&quot;:{&quot;journal_abbrev&quot;:&quot;Cancer Med-us&quot;,&quot;pagination&quot;:&quot;1467-1473&quot;,&quot;authors&quot;:[&quot;Zhibo Zhang&quot;,&quot;Ye Li&quot;,&quot;Xiang Yan&quot;,&quot;Qi Song&quot;,&quot;Guoqiang Wang&quot;,&quot;Yi Hu&quot;,&quot;Shunchang Jiao&quot;,&quot;Jinliang Wang&quot;],&quot;publisher&quot;:&quot;&quot;,&quot;abstract&quot;:&quot;The main aim of this study is to investigate whether baseline lactate dehydrogenase (LDH) is associated with the clinical outcome of non small‐cell lung cancer (NSCLC) patients treated with immune checkpoint inhibitors (ICIs). We searched Pubmed, the Cochrane Central library and Embase for peripheral blood biomarker of LDH in advanced NSCLC patients treated with ICIs. We extracted the hazard ratio (HR) with 95% confidence interval (CI) for the progression free survival (PFS) and overall survival (OS) and performed meta‐analysis of HR. Pooled estimates of treatment outcomes were calculated by stata 15.1. Six studies with 1136 patients were included in this study. The pooled results of univariate analysis suggested that an elevated pretreatment LDH level was correlated with significant shorter PFS (HR = 1.53, 95% CI 1.27‐1.83, P &lt; 0.001) and OS (HR = 2.11, 95% CI 1.43‐3.11, P &lt; 0.001). The association remained significant in the multivariate analysis that elevated pretreatment LDH level was associated with poor PFS (HR = 1.62, 95% CI 1.26‐2.08, P &lt; 0.001) and OS (HR = 2.38, 95% CI 1.37‐4.12, P = 0.002). A high pretreatment LDH level was significantly correlated with shorter PFS and OS. Pretreatment LDH may serve as a predictive biomarker for advanced NSCLC patients treated with ICIs. Immunotherapy renovates the standard treatment for advanced NSCLC patients, necessitating further investigation into biomarkers to predict its clinical benefits. Compared to genomic characteristics, pretreatment LDH is a readily and cost‐effective index. This meta‐analysis involving six studies with 1136 cases delineates the predicting efficacy of LDH that associates with PFS and OS in NSCLC patients treated with ICIs.&quot;,&quot;year&quot;:2019,&quot;chapter&quot;:&quot;&quot;,&quot;journal&quot;:&quot;Cancer Medicine&quot;,&quot;volume&quot;:&quot;8&quot;,&quot;title&quot;:&quot;Pretreatment lactate dehydrogenase may predict outcome of advanced non small‐cell lung cancer patients treated with immune checkpoint inhibitors: A meta‐analysis&quot;,&quot;issue&quot;:&quot;4&quot;,&quot;issn&quot;:&quot;2045-7634&quot;,&quot;isbn&quot;:&quot;&quot;,&quot;url&quot;:&quot;https://onlinelibrary.wiley.com/doi/abs/10.1002/cam4.2024&quot;},&quot;collection_group_id&quot;:&quot;&quot;,&quot;collection_id&quot;:&quot;4e0192db-b678-400e-ba1d-e378d3262964&quot;,&quot;item_type&quot;:&quot;article&quot;,&quot;deleted&quot;:false,&quot;files&quot;:[{&quot;name&quot;:&quot;onlinelibrary.wiley.com 5/20/2020, 5:11:07 PM.pdf&quot;,&quot;size&quot;:229197,&quot;type&quot;:&quot;article&quot;,&quot;pages&quot;:7,&quot;sha256&quot;:&quot;ba7db715d310c23a18a25088a71aacb6a824cb2e3267f9856ad9905ae1d1b483&quot;,&quot;created&quot;:&quot;2020-05-20T21:11:39Z&quot;,&quot;file_type&quot;:&quot;pdf&quot;,&quot;source_url&quot;:&quot;onlinelibrary.wiley.com%205%2F20%2F2020%2C%205%3A11%3A07%20PM.pdf&quot;,&quot;access_method&quot;:&quot;personal_library&quot;,&quot;pdf_text_url&quot;:&quot;https://s3.amazonaws.com/objects.readcube.com/prerendered/ba7db715d310c23a18a25088a71aacb6a824cb2e3267f9856ad9905ae1d1b483/pdftext.txt?X-Amz-Algorithm=AWS4-HMAC-SHA256&amp;X-Amz-Credential=AKIA2A2FUGL6NVUZZOGC%2F20200626%2Fus-east-1%2Fs3%2Faws4_request&amp;X-Amz-Date=20200626T154853Z&amp;X-Amz-Expires=86400&amp;X-Amz-SignedHeaders=host&amp;X-Amz-Signature=abde7b411fa5ceb8ebaacfe4c79d2f4c162f7127cede30efda1ac5c658ed6ab7&quot;}],&quot;ext_ids&quot;:{&quot;pmid&quot;:&quot;30848091&quot;,&quot;doi&quot;:&quot;10.1002/cam4.2024&quot;},&quot;user_data&quot;:{&quot;created&quot;:&quot;2020-05-20T21:11:39Z&quot;,&quot;modified&quot;:&quot;2020-05-20T21:11:39Z&quot;,&quot;createdby&quot;:&quot;browser_extension_aa chrome-v2.67&quot;,&quot;modifiedby&quot;:&quot;browser_extension_aa chrome-v2.67&quot;,&quot;has_annotations&quot;:false,&quot;unread&quot;:true,&quot;last_read&quot;:null},&quot;checked&quot;:false,&quot;atIndex&quot;:77,&quot;item&quot;:{&quot;type&quot;:&quot;article-journal&quot;,&quot;author&quot;:[{&quot;family&quot;:&quot;Zhang&quot;,&quot;given&quot;:&quot;Zhibo&quot;},{&quot;family&quot;:&quot;Li&quot;,&quot;given&quot;:&quot;Ye&quot;},{&quot;family&quot;:&quot;Yan&quot;,&quot;given&quot;:&quot;Xiang&quot;},{&quot;family&quot;:&quot;Song&quot;,&quot;given&quot;:&quot;Qi&quot;},{&quot;family&quot;:&quot;Wang&quot;,&quot;given&quot;:&quot;Guoqiang&quot;},{&quot;family&quot;:&quot;Hu&quot;,&quot;given&quot;:&quot;Yi&quot;},{&quot;family&quot;:&quot;Jiao&quot;,&quot;given&quot;:&quot;Shunchang&quot;},{&quot;family&quot;:&quot;Wang&quot;,&quot;given&quot;:&quot;Jinliang&quot;}],&quot;title&quot;:&quot;Pretreatment lactate dehydrogenase may predict outcome of advanced non small‐cell lung cancer patients treated with immune checkpoint inhibitors: A meta‐analysis&quot;,&quot;ISSN&quot;:&quot;2045-7634&quot;,&quot;DOI&quot;:&quot;10.1002/cam4.2024&quot;,&quot;PMID&quot;:&quot;30848091&quot;,&quot;abstract&quot;:&quot;The main aim of this study is to investigate whether baseline lactate dehydrogenase (LDH) is associated with the clinical outcome of non small‐cell lung cancer (NSCLC) patients treated with immune checkpoint inhibitors (ICIs). We searched Pubmed, the Cochrane Central library and Embase for peripheral blood biomarker of LDH in advanced NSCLC patients treated with ICIs. We extracted the hazard ratio (HR) with 95% confidence interval (CI) for the progression free survival (PFS) and overall survival (OS) and performed meta‐analysis of HR. Pooled estimates of treatment outcomes were calculated by stata 15.1. Six studies with 1136 patients were included in this study. The pooled results of univariate analysis suggested that an elevated pretreatment LDH level was correlated with significant shorter PFS (HR = 1.53, 95% CI 1.27‐1.83, P &lt; 0.001) and OS (HR = 2.11, 95% CI 1.43‐3.11, P &lt; 0.001). The association remained significant in the multivariate analysis that elevated pretreatment LDH level was associated with poor PFS (HR = 1.62, 95% CI 1.26‐2.08, P &lt; 0.001) and OS (HR = 2.38, 95% CI 1.37‐4.12, P = 0.002). A high pretreatment LDH level was significantly correlated with shorter PFS and OS. Pretreatment LDH may serve as a predictive biomarker for advanced NSCLC patients treated with ICIs. Immunotherapy renovates the standard treatment for advanced NSCLC patients, necessitating further investigation into biomarkers to predict its clinical benefits. Compared to genomic characteristics, pretreatment LDH is a readily and cost‐effective index. This meta‐analysis involving six studies with 1136 cases delineates the predicting efficacy of LDH that associates with PFS and OS in NSCLC patients treated with ICIs.&quot;,&quot;issued&quot;:{&quot;year&quot;:2019},&quot;page&quot;:&quot;1467-1473&quot;,&quot;issue&quot;:&quot;4&quot;,&quot;volume&quot;:&quot;8&quot;,&quot;journalAbbreviation&quot;:&quot;Cancer Med-us&quot;,&quot;container-title&quot;:&quot;Cancer Medicine&quot;,&quot;id&quot;:&quot;8ae86fbe-e0fb-4f22-b59a-15961ebe6ec4&quot;,&quot;page-first&quot;:&quot;1467&quot;,&quot;container-title-short&quot;:&quot;Cancer Med-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E2449F1C68A4097D14E7A3CD28457" ma:contentTypeVersion="13" ma:contentTypeDescription="Create a new document." ma:contentTypeScope="" ma:versionID="3fd26aea0011aebc666a16ab2ad56c91">
  <xsd:schema xmlns:xsd="http://www.w3.org/2001/XMLSchema" xmlns:xs="http://www.w3.org/2001/XMLSchema" xmlns:p="http://schemas.microsoft.com/office/2006/metadata/properties" xmlns:ns3="eac1f11a-cc66-4e95-93ef-ac82c0b927b3" xmlns:ns4="1fda9f63-d514-4a81-a90b-b92b242c2516" targetNamespace="http://schemas.microsoft.com/office/2006/metadata/properties" ma:root="true" ma:fieldsID="94646300df4afcf657705c4f1dea37f2" ns3:_="" ns4:_="">
    <xsd:import namespace="eac1f11a-cc66-4e95-93ef-ac82c0b927b3"/>
    <xsd:import namespace="1fda9f63-d514-4a81-a90b-b92b242c25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f11a-cc66-4e95-93ef-ac82c0b927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da9f63-d514-4a81-a90b-b92b242c25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70B0B-3AE0-4240-A023-F34D0E05B5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560C2E-190E-483C-9A52-0C633C983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f11a-cc66-4e95-93ef-ac82c0b927b3"/>
    <ds:schemaRef ds:uri="1fda9f63-d514-4a81-a90b-b92b242c2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AF8BF-4E91-4E0C-996D-8E072E77939E}">
  <ds:schemaRefs>
    <ds:schemaRef ds:uri="http://schemas.microsoft.com/sharepoint/v3/contenttype/forms"/>
  </ds:schemaRefs>
</ds:datastoreItem>
</file>

<file path=customXml/itemProps4.xml><?xml version="1.0" encoding="utf-8"?>
<ds:datastoreItem xmlns:ds="http://schemas.openxmlformats.org/officeDocument/2006/customXml" ds:itemID="{3AEDE3E6-5E4C-4369-9840-9C59C1516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Ayers</dc:creator>
  <cp:keywords/>
  <dc:description/>
  <cp:lastModifiedBy>Shuyu Li</cp:lastModifiedBy>
  <cp:revision>3</cp:revision>
  <dcterms:created xsi:type="dcterms:W3CDTF">2021-02-24T01:59:00Z</dcterms:created>
  <dcterms:modified xsi:type="dcterms:W3CDTF">2021-02-24T01:59:00Z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0x0101009C2E2449F1C68A4097D14E7A3CD28457</vt:lpwstr>
  </property>
</Properties>
</file>