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44801" w14:textId="7979CBC7" w:rsidR="00E01ADE" w:rsidRPr="00E01ADE" w:rsidRDefault="005A1238" w:rsidP="00E01ADE">
      <w:pPr>
        <w:widowControl/>
        <w:spacing w:line="480" w:lineRule="auto"/>
        <w:jc w:val="left"/>
        <w:rPr>
          <w:rFonts w:ascii="Times New Roman" w:eastAsia="宋体" w:hAnsi="Times New Roman" w:cs="Times New Roman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508B9517" wp14:editId="15E380AE">
            <wp:extent cx="3811270" cy="38112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84613" w14:textId="1B67EFF2" w:rsidR="006C5CFA" w:rsidRPr="00E01ADE" w:rsidRDefault="00E01ADE" w:rsidP="00E01ADE">
      <w:pPr>
        <w:widowControl/>
        <w:spacing w:line="276" w:lineRule="auto"/>
        <w:rPr>
          <w:rFonts w:ascii="Times New Roman" w:eastAsia="宋体" w:hAnsi="Times New Roman" w:cs="Times New Roman"/>
          <w:noProof/>
          <w:sz w:val="20"/>
          <w:szCs w:val="20"/>
        </w:rPr>
      </w:pPr>
      <w:r w:rsidRPr="00E01ADE">
        <w:rPr>
          <w:rFonts w:ascii="Times New Roman" w:eastAsia="宋体" w:hAnsi="Times New Roman" w:cs="Times New Roman"/>
          <w:b/>
          <w:bCs/>
          <w:noProof/>
          <w:sz w:val="20"/>
          <w:szCs w:val="20"/>
        </w:rPr>
        <w:t>Figure S1.</w:t>
      </w:r>
      <w:r w:rsidRPr="00E01ADE">
        <w:rPr>
          <w:rFonts w:ascii="Times New Roman" w:eastAsia="宋体" w:hAnsi="Times New Roman" w:cs="Times New Roman"/>
          <w:noProof/>
          <w:sz w:val="20"/>
          <w:szCs w:val="20"/>
        </w:rPr>
        <w:t xml:space="preserve"> Receiver operating characteristic curve and the corresponding area under the curve (AUC) analyses of </w:t>
      </w:r>
      <w:r w:rsidRPr="00E01ADE">
        <w:rPr>
          <w:rFonts w:ascii="Times New Roman" w:eastAsia="宋体" w:hAnsi="Times New Roman" w:cs="Times New Roman"/>
          <w:i/>
          <w:iCs/>
          <w:noProof/>
          <w:sz w:val="20"/>
          <w:szCs w:val="20"/>
        </w:rPr>
        <w:t>ZNF331</w:t>
      </w:r>
      <w:r w:rsidRPr="00E01ADE">
        <w:rPr>
          <w:rFonts w:ascii="Times New Roman" w:eastAsia="宋体" w:hAnsi="Times New Roman" w:cs="Times New Roman"/>
          <w:noProof/>
          <w:sz w:val="20"/>
          <w:szCs w:val="20"/>
        </w:rPr>
        <w:t xml:space="preserve"> methylation on gastric cancer risk.</w:t>
      </w:r>
    </w:p>
    <w:sectPr w:rsidR="006C5CFA" w:rsidRPr="00E01ADE" w:rsidSect="00614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D1AD7" w14:textId="77777777" w:rsidR="00111CA1" w:rsidRDefault="00111CA1" w:rsidP="00E01ADE">
      <w:r>
        <w:separator/>
      </w:r>
    </w:p>
  </w:endnote>
  <w:endnote w:type="continuationSeparator" w:id="0">
    <w:p w14:paraId="24086F7D" w14:textId="77777777" w:rsidR="00111CA1" w:rsidRDefault="00111CA1" w:rsidP="00E0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E3D09" w14:textId="77777777" w:rsidR="00111CA1" w:rsidRDefault="00111CA1" w:rsidP="00E01ADE">
      <w:r>
        <w:separator/>
      </w:r>
    </w:p>
  </w:footnote>
  <w:footnote w:type="continuationSeparator" w:id="0">
    <w:p w14:paraId="5E66C940" w14:textId="77777777" w:rsidR="00111CA1" w:rsidRDefault="00111CA1" w:rsidP="00E01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BF"/>
    <w:rsid w:val="00111CA1"/>
    <w:rsid w:val="002E1841"/>
    <w:rsid w:val="005A1238"/>
    <w:rsid w:val="005F472C"/>
    <w:rsid w:val="00614D0D"/>
    <w:rsid w:val="006A20FF"/>
    <w:rsid w:val="006C5CFA"/>
    <w:rsid w:val="007144D1"/>
    <w:rsid w:val="008617BF"/>
    <w:rsid w:val="00DF1296"/>
    <w:rsid w:val="00E0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4353E"/>
  <w15:chartTrackingRefBased/>
  <w15:docId w15:val="{6DCE12A6-D322-44D4-8418-4A3F4BA3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1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01AD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01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01A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 闯</dc:creator>
  <cp:keywords/>
  <dc:description/>
  <cp:lastModifiedBy>聂 闯</cp:lastModifiedBy>
  <cp:revision>2</cp:revision>
  <dcterms:created xsi:type="dcterms:W3CDTF">2021-03-16T07:25:00Z</dcterms:created>
  <dcterms:modified xsi:type="dcterms:W3CDTF">2021-03-16T07:25:00Z</dcterms:modified>
</cp:coreProperties>
</file>