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3B42C"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bookmarkStart w:id="0" w:name="_Hlk59523173"/>
      <w:r w:rsidRPr="00B16979">
        <w:rPr>
          <w:rFonts w:ascii="Times New Roman" w:hAnsi="Times New Roman" w:cs="Times New Roman"/>
          <w:b/>
          <w:bCs/>
          <w:color w:val="000000"/>
          <w:sz w:val="24"/>
          <w:szCs w:val="24"/>
        </w:rPr>
        <w:t>Title:</w:t>
      </w:r>
      <w:r w:rsidRPr="00B16979">
        <w:rPr>
          <w:rFonts w:ascii="Times New Roman" w:hAnsi="Times New Roman" w:cs="Times New Roman"/>
          <w:color w:val="000000"/>
          <w:sz w:val="24"/>
          <w:szCs w:val="24"/>
        </w:rPr>
        <w:t xml:space="preserve">  </w:t>
      </w:r>
      <w:bookmarkStart w:id="1" w:name="_Hlk50449505"/>
      <w:r w:rsidRPr="00B16979">
        <w:rPr>
          <w:rFonts w:ascii="Times New Roman" w:hAnsi="Times New Roman" w:cs="Times New Roman"/>
          <w:color w:val="000000"/>
          <w:sz w:val="24"/>
          <w:szCs w:val="24"/>
        </w:rPr>
        <w:t>A phase 1 dose-escalation study of disulfiram and copper gluconate in patients with advanced solid tumors involving the liver using S-</w:t>
      </w:r>
      <w:proofErr w:type="spellStart"/>
      <w:r w:rsidRPr="00B16979">
        <w:rPr>
          <w:rFonts w:ascii="Times New Roman" w:hAnsi="Times New Roman" w:cs="Times New Roman"/>
          <w:color w:val="000000"/>
          <w:sz w:val="24"/>
          <w:szCs w:val="24"/>
          <w:shd w:val="clear" w:color="auto" w:fill="FFFFFF"/>
        </w:rPr>
        <w:t>glutathionylation</w:t>
      </w:r>
      <w:proofErr w:type="spellEnd"/>
      <w:r w:rsidRPr="00B16979">
        <w:rPr>
          <w:rFonts w:ascii="Times New Roman" w:hAnsi="Times New Roman" w:cs="Times New Roman"/>
          <w:color w:val="000000"/>
          <w:sz w:val="24"/>
          <w:szCs w:val="24"/>
          <w:shd w:val="clear" w:color="auto" w:fill="FFFFFF"/>
        </w:rPr>
        <w:t xml:space="preserve"> as a biomarker </w:t>
      </w:r>
      <w:bookmarkEnd w:id="1"/>
    </w:p>
    <w:p w14:paraId="4543A233"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b/>
          <w:bCs/>
          <w:color w:val="000000"/>
          <w:sz w:val="24"/>
          <w:szCs w:val="24"/>
        </w:rPr>
        <w:t>Authors:</w:t>
      </w:r>
      <w:r w:rsidRPr="00B16979">
        <w:rPr>
          <w:rFonts w:ascii="Times New Roman" w:hAnsi="Times New Roman" w:cs="Times New Roman"/>
          <w:sz w:val="24"/>
          <w:szCs w:val="24"/>
        </w:rPr>
        <w:t xml:space="preserve"> </w:t>
      </w:r>
      <w:r w:rsidRPr="00B16979">
        <w:rPr>
          <w:rFonts w:ascii="Times New Roman" w:hAnsi="Times New Roman" w:cs="Times New Roman"/>
          <w:color w:val="000000"/>
          <w:sz w:val="24"/>
          <w:szCs w:val="24"/>
        </w:rPr>
        <w:t>Kristen C. Kelley, MD</w:t>
      </w:r>
      <w:r w:rsidRPr="00B16979">
        <w:rPr>
          <w:rFonts w:ascii="Times New Roman" w:hAnsi="Times New Roman" w:cs="Times New Roman"/>
          <w:color w:val="000000"/>
          <w:sz w:val="24"/>
          <w:szCs w:val="24"/>
          <w:vertAlign w:val="superscript"/>
        </w:rPr>
        <w:t>1</w:t>
      </w:r>
      <w:r w:rsidRPr="00B16979">
        <w:rPr>
          <w:rFonts w:ascii="Times New Roman" w:hAnsi="Times New Roman" w:cs="Times New Roman"/>
          <w:color w:val="000000"/>
          <w:sz w:val="24"/>
          <w:szCs w:val="24"/>
        </w:rPr>
        <w:t>; Kenneth F. Grossman, MD, PhD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xml:space="preserve">; Mary </w:t>
      </w:r>
      <w:proofErr w:type="spellStart"/>
      <w:r w:rsidRPr="00B16979">
        <w:rPr>
          <w:rFonts w:ascii="Times New Roman" w:hAnsi="Times New Roman" w:cs="Times New Roman"/>
          <w:color w:val="000000"/>
          <w:sz w:val="24"/>
          <w:szCs w:val="24"/>
        </w:rPr>
        <w:t>Brittain</w:t>
      </w:r>
      <w:proofErr w:type="spellEnd"/>
      <w:r w:rsidRPr="00B16979">
        <w:rPr>
          <w:rFonts w:ascii="Times New Roman" w:hAnsi="Times New Roman" w:cs="Times New Roman"/>
          <w:color w:val="000000"/>
          <w:sz w:val="24"/>
          <w:szCs w:val="24"/>
        </w:rPr>
        <w:t>-Blankenship, MD</w:t>
      </w:r>
      <w:r w:rsidRPr="00B16979">
        <w:rPr>
          <w:rFonts w:ascii="Times New Roman" w:hAnsi="Times New Roman" w:cs="Times New Roman"/>
          <w:color w:val="000000"/>
          <w:sz w:val="24"/>
          <w:szCs w:val="24"/>
          <w:vertAlign w:val="superscript"/>
        </w:rPr>
        <w:t>1</w:t>
      </w:r>
      <w:r w:rsidRPr="00B16979">
        <w:rPr>
          <w:rFonts w:ascii="Times New Roman" w:hAnsi="Times New Roman" w:cs="Times New Roman"/>
          <w:color w:val="000000"/>
          <w:sz w:val="24"/>
          <w:szCs w:val="24"/>
        </w:rPr>
        <w:t>; Kelli M. Thorne</w:t>
      </w:r>
      <w:r w:rsidRPr="00B16979">
        <w:rPr>
          <w:rFonts w:ascii="Times New Roman" w:hAnsi="Times New Roman" w:cs="Times New Roman"/>
          <w:color w:val="000000"/>
          <w:sz w:val="24"/>
          <w:szCs w:val="24"/>
          <w:vertAlign w:val="superscript"/>
        </w:rPr>
        <w:t>3</w:t>
      </w:r>
      <w:r w:rsidRPr="00B16979">
        <w:rPr>
          <w:rFonts w:ascii="Times New Roman" w:hAnsi="Times New Roman" w:cs="Times New Roman"/>
          <w:color w:val="000000"/>
          <w:sz w:val="24"/>
          <w:szCs w:val="24"/>
        </w:rPr>
        <w:t>, MS; Wallace L. Akerley</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MD; Moises C. Terrazas, MS</w:t>
      </w:r>
      <w:r w:rsidRPr="00B16979">
        <w:rPr>
          <w:rFonts w:ascii="Times New Roman" w:hAnsi="Times New Roman" w:cs="Times New Roman"/>
          <w:color w:val="000000"/>
          <w:sz w:val="24"/>
          <w:szCs w:val="24"/>
          <w:vertAlign w:val="superscript"/>
        </w:rPr>
        <w:t>4</w:t>
      </w:r>
      <w:r w:rsidRPr="00B16979">
        <w:rPr>
          <w:rFonts w:ascii="Times New Roman" w:hAnsi="Times New Roman" w:cs="Times New Roman"/>
          <w:color w:val="000000"/>
          <w:sz w:val="24"/>
          <w:szCs w:val="24"/>
        </w:rPr>
        <w:t>; Ken M. Kosak</w:t>
      </w:r>
      <w:r w:rsidRPr="00B16979">
        <w:rPr>
          <w:rFonts w:ascii="Times New Roman" w:hAnsi="Times New Roman" w:cs="Times New Roman"/>
          <w:color w:val="000000"/>
          <w:sz w:val="24"/>
          <w:szCs w:val="24"/>
          <w:vertAlign w:val="superscript"/>
        </w:rPr>
        <w:t>4</w:t>
      </w:r>
      <w:r w:rsidRPr="00B16979">
        <w:rPr>
          <w:rFonts w:ascii="Times New Roman" w:hAnsi="Times New Roman" w:cs="Times New Roman"/>
          <w:color w:val="000000"/>
          <w:sz w:val="24"/>
          <w:szCs w:val="24"/>
        </w:rPr>
        <w:t>, Kenneth M. Boucher, PhD</w:t>
      </w:r>
      <w:r w:rsidRPr="00B16979">
        <w:rPr>
          <w:rFonts w:ascii="Times New Roman" w:hAnsi="Times New Roman" w:cs="Times New Roman"/>
          <w:color w:val="000000"/>
          <w:sz w:val="24"/>
          <w:szCs w:val="24"/>
          <w:vertAlign w:val="superscript"/>
        </w:rPr>
        <w:t>1</w:t>
      </w:r>
      <w:r w:rsidRPr="00B16979">
        <w:rPr>
          <w:rFonts w:ascii="Times New Roman" w:hAnsi="Times New Roman" w:cs="Times New Roman"/>
          <w:color w:val="000000"/>
          <w:sz w:val="24"/>
          <w:szCs w:val="24"/>
        </w:rPr>
        <w:t>; Saundra S. Buys, MD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Kimberly A. McGregor, MD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Theresa L. Werner, MD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Neeraj Agarwal, MD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John R. Weis, MD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Sunil Sharma, MD, FACP, MBA</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John H. Ward, MD</w:t>
      </w: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 Thomas P. Kennedy, MD</w:t>
      </w:r>
      <w:r w:rsidRPr="00B16979">
        <w:rPr>
          <w:rFonts w:ascii="Times New Roman" w:hAnsi="Times New Roman" w:cs="Times New Roman"/>
          <w:color w:val="000000"/>
          <w:sz w:val="24"/>
          <w:szCs w:val="24"/>
          <w:vertAlign w:val="superscript"/>
        </w:rPr>
        <w:t>5</w:t>
      </w:r>
      <w:r w:rsidRPr="00B16979">
        <w:rPr>
          <w:rFonts w:ascii="Times New Roman" w:hAnsi="Times New Roman" w:cs="Times New Roman"/>
          <w:color w:val="000000"/>
          <w:sz w:val="24"/>
          <w:szCs w:val="24"/>
        </w:rPr>
        <w:t>; Douglas W. Sborov</w:t>
      </w:r>
      <w:r w:rsidRPr="00B16979">
        <w:rPr>
          <w:rFonts w:ascii="Times New Roman" w:hAnsi="Times New Roman" w:cs="Times New Roman"/>
          <w:color w:val="000000"/>
          <w:sz w:val="24"/>
          <w:szCs w:val="24"/>
          <w:vertAlign w:val="superscript"/>
        </w:rPr>
        <w:t>4</w:t>
      </w:r>
      <w:r w:rsidRPr="00B16979">
        <w:rPr>
          <w:rFonts w:ascii="Times New Roman" w:hAnsi="Times New Roman" w:cs="Times New Roman"/>
          <w:color w:val="000000"/>
          <w:sz w:val="24"/>
          <w:szCs w:val="24"/>
        </w:rPr>
        <w:t xml:space="preserve">, MD, MS; Paul J. </w:t>
      </w:r>
      <w:proofErr w:type="spellStart"/>
      <w:r w:rsidRPr="00B16979">
        <w:rPr>
          <w:rFonts w:ascii="Times New Roman" w:hAnsi="Times New Roman" w:cs="Times New Roman"/>
          <w:color w:val="000000"/>
          <w:sz w:val="24"/>
          <w:szCs w:val="24"/>
        </w:rPr>
        <w:t>Shami</w:t>
      </w:r>
      <w:proofErr w:type="spellEnd"/>
      <w:r w:rsidRPr="00B16979">
        <w:rPr>
          <w:rFonts w:ascii="Times New Roman" w:hAnsi="Times New Roman" w:cs="Times New Roman"/>
          <w:color w:val="000000"/>
          <w:sz w:val="24"/>
          <w:szCs w:val="24"/>
        </w:rPr>
        <w:t>, MD</w:t>
      </w:r>
      <w:r w:rsidRPr="00B16979">
        <w:rPr>
          <w:rFonts w:ascii="Times New Roman" w:hAnsi="Times New Roman" w:cs="Times New Roman"/>
          <w:color w:val="000000"/>
          <w:sz w:val="24"/>
          <w:szCs w:val="24"/>
          <w:vertAlign w:val="superscript"/>
        </w:rPr>
        <w:t>4</w:t>
      </w:r>
    </w:p>
    <w:p w14:paraId="4EB24A6E"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b/>
          <w:bCs/>
          <w:color w:val="000000"/>
          <w:sz w:val="24"/>
          <w:szCs w:val="24"/>
        </w:rPr>
        <w:t>Affiliations:</w:t>
      </w:r>
    </w:p>
    <w:p w14:paraId="28DE37E0"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color w:val="000000"/>
          <w:sz w:val="24"/>
          <w:szCs w:val="24"/>
          <w:vertAlign w:val="superscript"/>
        </w:rPr>
        <w:t>1</w:t>
      </w:r>
      <w:r w:rsidRPr="00B16979">
        <w:rPr>
          <w:rFonts w:ascii="Times New Roman" w:hAnsi="Times New Roman" w:cs="Times New Roman"/>
          <w:color w:val="000000"/>
          <w:sz w:val="24"/>
          <w:szCs w:val="24"/>
        </w:rPr>
        <w:t>Department of Internal Medicine, University of Utah</w:t>
      </w:r>
    </w:p>
    <w:p w14:paraId="70126503"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color w:val="000000"/>
          <w:sz w:val="24"/>
          <w:szCs w:val="24"/>
          <w:vertAlign w:val="superscript"/>
        </w:rPr>
        <w:t>2</w:t>
      </w:r>
      <w:r w:rsidRPr="00B16979">
        <w:rPr>
          <w:rFonts w:ascii="Times New Roman" w:hAnsi="Times New Roman" w:cs="Times New Roman"/>
          <w:color w:val="000000"/>
          <w:sz w:val="24"/>
          <w:szCs w:val="24"/>
        </w:rPr>
        <w:t>Division of Medical Oncology, Huntsman Cancer Institute, University of Utah</w:t>
      </w:r>
    </w:p>
    <w:p w14:paraId="0CBA1FBA"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color w:val="000000"/>
          <w:sz w:val="24"/>
          <w:szCs w:val="24"/>
          <w:vertAlign w:val="superscript"/>
        </w:rPr>
        <w:t>3</w:t>
      </w:r>
      <w:r w:rsidRPr="00B16979">
        <w:rPr>
          <w:rFonts w:ascii="Times New Roman" w:hAnsi="Times New Roman" w:cs="Times New Roman"/>
          <w:color w:val="000000"/>
          <w:sz w:val="24"/>
          <w:szCs w:val="24"/>
        </w:rPr>
        <w:t>Huntsman Cancer Institute, University of Utah</w:t>
      </w:r>
    </w:p>
    <w:p w14:paraId="5B5FCAF5" w14:textId="77777777" w:rsidR="006029A0" w:rsidRPr="00B16979" w:rsidRDefault="006029A0" w:rsidP="006029A0">
      <w:pPr>
        <w:shd w:val="clear" w:color="auto" w:fill="FFFFFF"/>
        <w:spacing w:after="0" w:line="480" w:lineRule="auto"/>
        <w:jc w:val="both"/>
        <w:rPr>
          <w:rFonts w:ascii="Times New Roman" w:hAnsi="Times New Roman" w:cs="Times New Roman"/>
          <w:color w:val="000000"/>
          <w:sz w:val="24"/>
          <w:szCs w:val="24"/>
        </w:rPr>
      </w:pPr>
      <w:r w:rsidRPr="00B16979">
        <w:rPr>
          <w:rFonts w:ascii="Times New Roman" w:hAnsi="Times New Roman" w:cs="Times New Roman"/>
          <w:color w:val="000000"/>
          <w:sz w:val="24"/>
          <w:szCs w:val="24"/>
          <w:vertAlign w:val="superscript"/>
        </w:rPr>
        <w:t>4</w:t>
      </w:r>
      <w:r w:rsidRPr="00B16979">
        <w:rPr>
          <w:rFonts w:ascii="Times New Roman" w:hAnsi="Times New Roman" w:cs="Times New Roman"/>
          <w:color w:val="000000"/>
          <w:sz w:val="24"/>
          <w:szCs w:val="24"/>
        </w:rPr>
        <w:t>Division of Hematology and Hematologic Malignancies, Huntsman Cancer Institute, University of Utah</w:t>
      </w:r>
    </w:p>
    <w:p w14:paraId="04F9EF2D" w14:textId="77777777" w:rsidR="006029A0" w:rsidRDefault="006029A0" w:rsidP="006029A0">
      <w:pPr>
        <w:shd w:val="clear" w:color="auto" w:fill="FFFFFF"/>
        <w:spacing w:after="0" w:line="480" w:lineRule="auto"/>
        <w:jc w:val="both"/>
        <w:rPr>
          <w:rFonts w:ascii="Times New Roman" w:hAnsi="Times New Roman" w:cs="Times New Roman"/>
          <w:color w:val="000000"/>
          <w:sz w:val="24"/>
          <w:szCs w:val="24"/>
        </w:rPr>
      </w:pPr>
      <w:r w:rsidRPr="00B16979">
        <w:rPr>
          <w:rFonts w:ascii="Times New Roman" w:hAnsi="Times New Roman" w:cs="Times New Roman"/>
          <w:color w:val="000000"/>
          <w:sz w:val="24"/>
          <w:szCs w:val="24"/>
          <w:vertAlign w:val="superscript"/>
        </w:rPr>
        <w:t>5</w:t>
      </w:r>
      <w:r w:rsidRPr="00B16979">
        <w:rPr>
          <w:rFonts w:ascii="Times New Roman" w:hAnsi="Times New Roman" w:cs="Times New Roman"/>
          <w:color w:val="000000"/>
          <w:sz w:val="24"/>
          <w:szCs w:val="24"/>
        </w:rPr>
        <w:t>Pulmonary Diseases, Critical Care and Environmental</w:t>
      </w:r>
      <w:r w:rsidRPr="00B16979">
        <w:rPr>
          <w:rFonts w:ascii="Times New Roman" w:eastAsia="Times New Roman" w:hAnsi="Times New Roman" w:cs="Times New Roman"/>
          <w:bCs/>
          <w:color w:val="2B2B2B"/>
          <w:kern w:val="36"/>
          <w:sz w:val="24"/>
          <w:szCs w:val="24"/>
        </w:rPr>
        <w:t xml:space="preserve"> Medicine, </w:t>
      </w:r>
      <w:r w:rsidRPr="00B16979">
        <w:rPr>
          <w:rFonts w:ascii="Times New Roman" w:hAnsi="Times New Roman" w:cs="Times New Roman"/>
          <w:color w:val="000000"/>
          <w:sz w:val="24"/>
          <w:szCs w:val="24"/>
        </w:rPr>
        <w:t>Tulane University</w:t>
      </w:r>
    </w:p>
    <w:p w14:paraId="0359407B" w14:textId="77777777" w:rsidR="006029A0" w:rsidRPr="009373CE" w:rsidRDefault="006029A0" w:rsidP="006029A0">
      <w:pPr>
        <w:pStyle w:val="Footer"/>
        <w:spacing w:line="480" w:lineRule="auto"/>
        <w:rPr>
          <w:rFonts w:ascii="Times New Roman" w:hAnsi="Times New Roman" w:cs="Times New Roman"/>
          <w:sz w:val="24"/>
          <w:szCs w:val="24"/>
        </w:rPr>
      </w:pPr>
      <w:r w:rsidRPr="009373CE">
        <w:rPr>
          <w:rFonts w:ascii="Times New Roman" w:hAnsi="Times New Roman" w:cs="Times New Roman"/>
          <w:color w:val="000000"/>
          <w:sz w:val="24"/>
          <w:szCs w:val="24"/>
        </w:rPr>
        <w:t>KAG, TPK, and SS are no longer affiliated with Huntsman Cancer Institute. KAJ is affiliated with Foundation Medicine, TPK with Tulane University School of Medicine, and SS with the Translational Genomics Research Institute (</w:t>
      </w:r>
      <w:proofErr w:type="spellStart"/>
      <w:r w:rsidRPr="009373CE">
        <w:rPr>
          <w:rFonts w:ascii="Times New Roman" w:hAnsi="Times New Roman" w:cs="Times New Roman"/>
          <w:color w:val="000000"/>
          <w:sz w:val="24"/>
          <w:szCs w:val="24"/>
        </w:rPr>
        <w:t>TGen</w:t>
      </w:r>
      <w:proofErr w:type="spellEnd"/>
      <w:r w:rsidRPr="009373CE">
        <w:rPr>
          <w:rFonts w:ascii="Times New Roman" w:hAnsi="Times New Roman" w:cs="Times New Roman"/>
          <w:color w:val="000000"/>
          <w:sz w:val="24"/>
          <w:szCs w:val="24"/>
        </w:rPr>
        <w:t>).</w:t>
      </w:r>
    </w:p>
    <w:p w14:paraId="120B6BD4"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b/>
          <w:bCs/>
          <w:sz w:val="24"/>
          <w:szCs w:val="24"/>
        </w:rPr>
        <w:t>Correspondence</w:t>
      </w:r>
      <w:r w:rsidRPr="00B16979">
        <w:rPr>
          <w:rFonts w:ascii="Times New Roman" w:hAnsi="Times New Roman" w:cs="Times New Roman"/>
          <w:sz w:val="24"/>
          <w:szCs w:val="24"/>
        </w:rPr>
        <w:t>:</w:t>
      </w:r>
    </w:p>
    <w:p w14:paraId="5B345FE2"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color w:val="000000"/>
          <w:sz w:val="24"/>
          <w:szCs w:val="24"/>
        </w:rPr>
        <w:t xml:space="preserve">Paul J. </w:t>
      </w:r>
      <w:proofErr w:type="spellStart"/>
      <w:r w:rsidRPr="00B16979">
        <w:rPr>
          <w:rFonts w:ascii="Times New Roman" w:hAnsi="Times New Roman" w:cs="Times New Roman"/>
          <w:color w:val="000000"/>
          <w:sz w:val="24"/>
          <w:szCs w:val="24"/>
        </w:rPr>
        <w:t>Shami</w:t>
      </w:r>
      <w:proofErr w:type="spellEnd"/>
      <w:r w:rsidRPr="00B16979">
        <w:rPr>
          <w:rFonts w:ascii="Times New Roman" w:hAnsi="Times New Roman" w:cs="Times New Roman"/>
          <w:color w:val="000000"/>
          <w:sz w:val="24"/>
          <w:szCs w:val="24"/>
        </w:rPr>
        <w:t>, MD</w:t>
      </w:r>
    </w:p>
    <w:p w14:paraId="034F3FF7" w14:textId="77777777" w:rsidR="006029A0" w:rsidRPr="00B16979" w:rsidRDefault="006029A0" w:rsidP="006029A0">
      <w:pPr>
        <w:shd w:val="clear" w:color="auto" w:fill="FFFFFF"/>
        <w:spacing w:after="0" w:line="480" w:lineRule="auto"/>
        <w:rPr>
          <w:rFonts w:ascii="Times New Roman" w:hAnsi="Times New Roman" w:cs="Times New Roman"/>
          <w:sz w:val="24"/>
          <w:szCs w:val="24"/>
        </w:rPr>
      </w:pPr>
      <w:r w:rsidRPr="00B16979">
        <w:rPr>
          <w:rFonts w:ascii="Times New Roman" w:hAnsi="Times New Roman" w:cs="Times New Roman"/>
          <w:color w:val="000000"/>
          <w:sz w:val="24"/>
          <w:szCs w:val="24"/>
        </w:rPr>
        <w:t>Huntsman Cancer Institute</w:t>
      </w:r>
    </w:p>
    <w:p w14:paraId="12559890"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color w:val="000000"/>
          <w:sz w:val="24"/>
          <w:szCs w:val="24"/>
        </w:rPr>
        <w:t>2000 Circle of Hope, Suite 2100</w:t>
      </w:r>
    </w:p>
    <w:p w14:paraId="78CA77C5" w14:textId="77777777" w:rsidR="006029A0" w:rsidRPr="00B16979" w:rsidRDefault="006029A0" w:rsidP="006029A0">
      <w:pPr>
        <w:shd w:val="clear" w:color="auto" w:fill="FFFFFF"/>
        <w:spacing w:after="0" w:line="480" w:lineRule="auto"/>
        <w:jc w:val="both"/>
        <w:rPr>
          <w:rFonts w:ascii="Times New Roman" w:hAnsi="Times New Roman" w:cs="Times New Roman"/>
          <w:sz w:val="24"/>
          <w:szCs w:val="24"/>
        </w:rPr>
      </w:pPr>
      <w:r w:rsidRPr="00B16979">
        <w:rPr>
          <w:rFonts w:ascii="Times New Roman" w:hAnsi="Times New Roman" w:cs="Times New Roman"/>
          <w:color w:val="000000"/>
          <w:sz w:val="24"/>
          <w:szCs w:val="24"/>
        </w:rPr>
        <w:t>Salt Lake City, UT 84112-5550</w:t>
      </w:r>
    </w:p>
    <w:p w14:paraId="0A61BEE6" w14:textId="2750DBFD" w:rsidR="006029A0" w:rsidRDefault="006029A0" w:rsidP="006029A0">
      <w:pPr>
        <w:shd w:val="clear" w:color="auto" w:fill="FFFFFF"/>
        <w:spacing w:after="0" w:line="480" w:lineRule="auto"/>
        <w:jc w:val="both"/>
        <w:rPr>
          <w:rFonts w:ascii="Times New Roman" w:hAnsi="Times New Roman" w:cs="Times New Roman"/>
          <w:color w:val="000000"/>
          <w:sz w:val="24"/>
          <w:szCs w:val="24"/>
        </w:rPr>
      </w:pPr>
      <w:r w:rsidRPr="009373CE">
        <w:rPr>
          <w:rFonts w:ascii="Times New Roman" w:hAnsi="Times New Roman" w:cs="Times New Roman"/>
          <w:color w:val="000000"/>
          <w:sz w:val="24"/>
          <w:szCs w:val="24"/>
        </w:rPr>
        <w:lastRenderedPageBreak/>
        <w:t>Paul.shami@utah.edu</w:t>
      </w:r>
      <w:r>
        <w:rPr>
          <w:rFonts w:ascii="Times New Roman" w:hAnsi="Times New Roman" w:cs="Times New Roman"/>
          <w:sz w:val="24"/>
          <w:szCs w:val="24"/>
        </w:rPr>
        <w:t xml:space="preserve">, </w:t>
      </w:r>
      <w:r w:rsidRPr="00B16979">
        <w:rPr>
          <w:rFonts w:ascii="Times New Roman" w:hAnsi="Times New Roman" w:cs="Times New Roman"/>
          <w:color w:val="000000"/>
          <w:sz w:val="24"/>
          <w:szCs w:val="24"/>
        </w:rPr>
        <w:t>801-585-5136</w:t>
      </w:r>
      <w:bookmarkEnd w:id="0"/>
    </w:p>
    <w:p w14:paraId="64144110" w14:textId="77777777" w:rsidR="006029A0" w:rsidRPr="009373CE" w:rsidRDefault="006029A0" w:rsidP="006029A0">
      <w:pPr>
        <w:shd w:val="clear" w:color="auto" w:fill="FFFFFF"/>
        <w:spacing w:after="0" w:line="480" w:lineRule="auto"/>
        <w:jc w:val="both"/>
        <w:rPr>
          <w:rFonts w:ascii="Times New Roman" w:hAnsi="Times New Roman" w:cs="Times New Roman"/>
          <w:sz w:val="24"/>
          <w:szCs w:val="24"/>
        </w:rPr>
      </w:pPr>
    </w:p>
    <w:p w14:paraId="20F4AB18" w14:textId="7765E0C9" w:rsidR="006029A0" w:rsidRPr="006029A0" w:rsidRDefault="006029A0" w:rsidP="006029A0">
      <w:pPr>
        <w:kinsoku w:val="0"/>
        <w:overflowPunct w:val="0"/>
        <w:textAlignment w:val="baseline"/>
        <w:rPr>
          <w:sz w:val="21"/>
          <w:szCs w:val="21"/>
        </w:rPr>
      </w:pPr>
      <w:r w:rsidRPr="006029A0">
        <w:rPr>
          <w:rFonts w:ascii="Arial" w:hAnsi="Arial" w:cs="Arial"/>
          <w:b/>
          <w:bCs/>
          <w:color w:val="000000" w:themeColor="text1"/>
          <w:kern w:val="24"/>
          <w:sz w:val="21"/>
          <w:szCs w:val="21"/>
        </w:rPr>
        <w:t>Supplementary Table 1. Clinical trials investigating disulfiram in patients with solid tumors</w:t>
      </w:r>
    </w:p>
    <w:tbl>
      <w:tblPr>
        <w:tblW w:w="10274" w:type="dxa"/>
        <w:tblInd w:w="-10" w:type="dxa"/>
        <w:tblCellMar>
          <w:left w:w="0" w:type="dxa"/>
          <w:right w:w="0" w:type="dxa"/>
        </w:tblCellMar>
        <w:tblLook w:val="0420" w:firstRow="1" w:lastRow="0" w:firstColumn="0" w:lastColumn="0" w:noHBand="0" w:noVBand="1"/>
      </w:tblPr>
      <w:tblGrid>
        <w:gridCol w:w="1544"/>
        <w:gridCol w:w="1294"/>
        <w:gridCol w:w="1609"/>
        <w:gridCol w:w="477"/>
        <w:gridCol w:w="1233"/>
        <w:gridCol w:w="1298"/>
        <w:gridCol w:w="1422"/>
        <w:gridCol w:w="1397"/>
      </w:tblGrid>
      <w:tr w:rsidR="006029A0" w:rsidRPr="00B22D24" w14:paraId="3980FDBE" w14:textId="77777777" w:rsidTr="006029A0">
        <w:trPr>
          <w:trHeight w:val="418"/>
        </w:trPr>
        <w:tc>
          <w:tcPr>
            <w:tcW w:w="147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655484BE"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Trial Author</w:t>
            </w:r>
          </w:p>
        </w:tc>
        <w:tc>
          <w:tcPr>
            <w:tcW w:w="123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67562BC"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Treatment</w:t>
            </w:r>
            <w:r w:rsidRPr="00B86BD8">
              <w:rPr>
                <w:rFonts w:ascii="Arial" w:eastAsia="Calibri" w:hAnsi="Arial" w:cs="Arial"/>
                <w:b/>
                <w:bCs/>
                <w:color w:val="000000" w:themeColor="text1"/>
                <w:kern w:val="24"/>
                <w:sz w:val="20"/>
                <w:szCs w:val="20"/>
                <w:vertAlign w:val="superscript"/>
              </w:rPr>
              <w:t>a</w:t>
            </w:r>
          </w:p>
        </w:tc>
        <w:tc>
          <w:tcPr>
            <w:tcW w:w="1659"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059ADDA"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Disease</w:t>
            </w:r>
            <w:r w:rsidRPr="00B86BD8">
              <w:rPr>
                <w:rFonts w:ascii="Arial" w:eastAsia="Calibri" w:hAnsi="Arial" w:cs="Arial"/>
                <w:b/>
                <w:bCs/>
                <w:color w:val="000000" w:themeColor="text1"/>
                <w:kern w:val="24"/>
                <w:sz w:val="20"/>
                <w:szCs w:val="20"/>
                <w:vertAlign w:val="superscript"/>
              </w:rPr>
              <w:t>b</w:t>
            </w:r>
          </w:p>
        </w:tc>
        <w:tc>
          <w:tcPr>
            <w:tcW w:w="455"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B6F38DE"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N</w:t>
            </w:r>
          </w:p>
        </w:tc>
        <w:tc>
          <w:tcPr>
            <w:tcW w:w="1177"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4E59116"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Design</w:t>
            </w:r>
            <w:r w:rsidRPr="00B86BD8">
              <w:rPr>
                <w:rFonts w:ascii="Arial" w:eastAsia="Calibri" w:hAnsi="Arial" w:cs="Arial"/>
                <w:b/>
                <w:bCs/>
                <w:color w:val="000000" w:themeColor="text1"/>
                <w:kern w:val="24"/>
                <w:sz w:val="20"/>
                <w:szCs w:val="20"/>
                <w:vertAlign w:val="superscript"/>
              </w:rPr>
              <w:t>c</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5FBDD2D"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Dosing</w:t>
            </w:r>
            <w:r w:rsidRPr="00B86BD8">
              <w:rPr>
                <w:rFonts w:ascii="Arial" w:eastAsia="Calibri" w:hAnsi="Arial" w:cs="Arial"/>
                <w:b/>
                <w:bCs/>
                <w:color w:val="000000" w:themeColor="text1"/>
                <w:kern w:val="24"/>
                <w:sz w:val="20"/>
                <w:szCs w:val="20"/>
                <w:vertAlign w:val="superscript"/>
              </w:rPr>
              <w:t>d</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2A60B535"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Safety notes</w:t>
            </w:r>
            <w:r w:rsidRPr="00B86BD8">
              <w:rPr>
                <w:rFonts w:ascii="Arial" w:eastAsia="Calibri" w:hAnsi="Arial" w:cs="Arial"/>
                <w:b/>
                <w:bCs/>
                <w:color w:val="000000" w:themeColor="text1"/>
                <w:kern w:val="24"/>
                <w:sz w:val="20"/>
                <w:szCs w:val="20"/>
                <w:vertAlign w:val="superscript"/>
              </w:rPr>
              <w:t>e</w:t>
            </w:r>
          </w:p>
        </w:tc>
        <w:tc>
          <w:tcPr>
            <w:tcW w:w="1503"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B146C06" w14:textId="0CE29EFC"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Efficacy</w:t>
            </w:r>
            <w:r w:rsidRPr="006029A0">
              <w:rPr>
                <w:rFonts w:ascii="Arial" w:eastAsia="Calibri" w:hAnsi="Arial" w:cs="Arial"/>
                <w:b/>
                <w:bCs/>
                <w:color w:val="000000" w:themeColor="text1"/>
                <w:kern w:val="24"/>
                <w:sz w:val="20"/>
                <w:szCs w:val="20"/>
                <w:vertAlign w:val="superscript"/>
              </w:rPr>
              <w:t>f</w:t>
            </w:r>
          </w:p>
        </w:tc>
      </w:tr>
      <w:tr w:rsidR="006029A0" w:rsidRPr="00B22D24" w14:paraId="599EDDAE" w14:textId="77777777" w:rsidTr="006029A0">
        <w:trPr>
          <w:trHeight w:val="986"/>
        </w:trPr>
        <w:tc>
          <w:tcPr>
            <w:tcW w:w="147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24933A84"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Huang</w:t>
            </w:r>
            <w:r w:rsidRPr="00B22D24">
              <w:rPr>
                <w:rFonts w:ascii="Arial" w:eastAsia="Calibri" w:hAnsi="Arial" w:cs="Arial"/>
                <w:b/>
                <w:bCs/>
                <w:color w:val="000000" w:themeColor="text1"/>
                <w:kern w:val="24"/>
                <w:position w:val="7"/>
                <w:sz w:val="20"/>
                <w:szCs w:val="20"/>
                <w:vertAlign w:val="superscript"/>
              </w:rPr>
              <w:t>42</w:t>
            </w:r>
          </w:p>
        </w:tc>
        <w:tc>
          <w:tcPr>
            <w:tcW w:w="123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3F38A149"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DSF-Cu + TMZ</w:t>
            </w:r>
          </w:p>
        </w:tc>
        <w:tc>
          <w:tcPr>
            <w:tcW w:w="1659"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A90445C"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Recurrent GBM (TMZ-resistant)</w:t>
            </w:r>
          </w:p>
        </w:tc>
        <w:tc>
          <w:tcPr>
            <w:tcW w:w="455"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B9B6B45"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23</w:t>
            </w:r>
          </w:p>
        </w:tc>
        <w:tc>
          <w:tcPr>
            <w:tcW w:w="1177"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646EF4A1"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P2 single arm</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FABB808"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80 mg tid</w:t>
            </w:r>
          </w:p>
          <w:p w14:paraId="49BFC1D4"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Cu: 1.5 mg tid</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C7BC153"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One DLT = grade 3 elevated ALT</w:t>
            </w:r>
          </w:p>
        </w:tc>
        <w:tc>
          <w:tcPr>
            <w:tcW w:w="1503"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2B468CB"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14% clinical benefit</w:t>
            </w:r>
          </w:p>
          <w:p w14:paraId="2E24ECD8"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PFS 1.7 m, OS 7.1 m</w:t>
            </w:r>
          </w:p>
        </w:tc>
      </w:tr>
      <w:tr w:rsidR="006029A0" w:rsidRPr="00B22D24" w14:paraId="5CC52732" w14:textId="77777777" w:rsidTr="006029A0">
        <w:trPr>
          <w:trHeight w:val="1269"/>
        </w:trPr>
        <w:tc>
          <w:tcPr>
            <w:tcW w:w="147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3EAB336E"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Schweizer</w:t>
            </w:r>
            <w:r w:rsidRPr="00B22D24">
              <w:rPr>
                <w:rFonts w:ascii="Arial" w:eastAsia="Calibri" w:hAnsi="Arial" w:cs="Arial"/>
                <w:b/>
                <w:bCs/>
                <w:color w:val="000000" w:themeColor="text1"/>
                <w:kern w:val="24"/>
                <w:position w:val="7"/>
                <w:sz w:val="20"/>
                <w:szCs w:val="20"/>
                <w:vertAlign w:val="superscript"/>
              </w:rPr>
              <w:t>43</w:t>
            </w:r>
          </w:p>
        </w:tc>
        <w:tc>
          <w:tcPr>
            <w:tcW w:w="123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8E0C6EC"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w:t>
            </w:r>
          </w:p>
        </w:tc>
        <w:tc>
          <w:tcPr>
            <w:tcW w:w="1659"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23C1BE8"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Recurrent localized prostate cancer</w:t>
            </w:r>
          </w:p>
        </w:tc>
        <w:tc>
          <w:tcPr>
            <w:tcW w:w="455"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7077AC3"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19</w:t>
            </w:r>
          </w:p>
        </w:tc>
        <w:tc>
          <w:tcPr>
            <w:tcW w:w="1177"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4FD3879"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P1 dose escalation</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16C452F"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250 mg daily (n=9), 500 mg (n=10)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1A703FF"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Six patients experienced grade 3 AEs (3 per cohort)</w:t>
            </w:r>
          </w:p>
        </w:tc>
        <w:tc>
          <w:tcPr>
            <w:tcW w:w="1503"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2F514B5E"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NA</w:t>
            </w:r>
          </w:p>
        </w:tc>
      </w:tr>
      <w:tr w:rsidR="006029A0" w:rsidRPr="00B22D24" w14:paraId="20263BC4" w14:textId="77777777" w:rsidTr="006029A0">
        <w:trPr>
          <w:trHeight w:val="986"/>
        </w:trPr>
        <w:tc>
          <w:tcPr>
            <w:tcW w:w="147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27D7F09"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Grossman</w:t>
            </w:r>
            <w:r w:rsidRPr="00B22D24">
              <w:rPr>
                <w:rFonts w:ascii="Arial" w:eastAsia="Calibri" w:hAnsi="Arial" w:cs="Arial"/>
                <w:b/>
                <w:bCs/>
                <w:color w:val="000000" w:themeColor="text1"/>
                <w:kern w:val="24"/>
                <w:position w:val="7"/>
                <w:sz w:val="20"/>
                <w:szCs w:val="20"/>
                <w:vertAlign w:val="superscript"/>
              </w:rPr>
              <w:t>44</w:t>
            </w:r>
          </w:p>
        </w:tc>
        <w:tc>
          <w:tcPr>
            <w:tcW w:w="123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37F35E3"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 Zn</w:t>
            </w:r>
          </w:p>
        </w:tc>
        <w:tc>
          <w:tcPr>
            <w:tcW w:w="1659"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2433973"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Metastatic melanoma</w:t>
            </w:r>
          </w:p>
        </w:tc>
        <w:tc>
          <w:tcPr>
            <w:tcW w:w="455"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7FFF7E0"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12</w:t>
            </w:r>
          </w:p>
        </w:tc>
        <w:tc>
          <w:tcPr>
            <w:tcW w:w="1177"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1D51308"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P2 single arm</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647FEC2"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250 mg qhs</w:t>
            </w:r>
          </w:p>
          <w:p w14:paraId="4305450C"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Chelated Zn: 50 mg tid</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3C36BED7"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One grade 3 AE = confusion</w:t>
            </w:r>
          </w:p>
        </w:tc>
        <w:tc>
          <w:tcPr>
            <w:tcW w:w="1503"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B442403"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PFS 53 d, OS 203 d</w:t>
            </w:r>
          </w:p>
        </w:tc>
      </w:tr>
      <w:tr w:rsidR="006029A0" w:rsidRPr="00B22D24" w14:paraId="01464756" w14:textId="77777777" w:rsidTr="006029A0">
        <w:trPr>
          <w:trHeight w:val="986"/>
        </w:trPr>
        <w:tc>
          <w:tcPr>
            <w:tcW w:w="147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5CF9C47"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Verma</w:t>
            </w:r>
            <w:r w:rsidRPr="00B22D24">
              <w:rPr>
                <w:rFonts w:ascii="Arial" w:eastAsia="Calibri" w:hAnsi="Arial" w:cs="Arial"/>
                <w:b/>
                <w:bCs/>
                <w:color w:val="000000" w:themeColor="text1"/>
                <w:kern w:val="24"/>
                <w:position w:val="7"/>
                <w:sz w:val="20"/>
                <w:szCs w:val="20"/>
                <w:vertAlign w:val="superscript"/>
              </w:rPr>
              <w:t>45</w:t>
            </w:r>
          </w:p>
        </w:tc>
        <w:tc>
          <w:tcPr>
            <w:tcW w:w="123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38AB33F9"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 cis</w:t>
            </w:r>
          </w:p>
        </w:tc>
        <w:tc>
          <w:tcPr>
            <w:tcW w:w="1659"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AF5ABC1"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Cisplatin-sensitive malignancies</w:t>
            </w:r>
          </w:p>
        </w:tc>
        <w:tc>
          <w:tcPr>
            <w:tcW w:w="455"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DCACBDA"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53</w:t>
            </w:r>
          </w:p>
        </w:tc>
        <w:tc>
          <w:tcPr>
            <w:tcW w:w="1177"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7FB41A3"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rP2 Chemo +/- DSF</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D11E315"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 xml:space="preserve">Cis: 100 mg/m2 </w:t>
            </w:r>
          </w:p>
          <w:p w14:paraId="02416071"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2000 mg/m2</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211D914A"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Addition of DSF group increased grade of GI and ototoxicity</w:t>
            </w:r>
          </w:p>
        </w:tc>
        <w:tc>
          <w:tcPr>
            <w:tcW w:w="1503"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65B8D3E"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No difference in response, TTP, or OS</w:t>
            </w:r>
          </w:p>
        </w:tc>
      </w:tr>
      <w:tr w:rsidR="006029A0" w:rsidRPr="00B22D24" w14:paraId="0537AADA" w14:textId="77777777" w:rsidTr="006029A0">
        <w:trPr>
          <w:trHeight w:val="986"/>
        </w:trPr>
        <w:tc>
          <w:tcPr>
            <w:tcW w:w="147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002B707C" w14:textId="076B192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Nechushtan</w:t>
            </w:r>
            <w:r w:rsidRPr="00B22D24">
              <w:rPr>
                <w:rFonts w:ascii="Arial" w:eastAsia="Calibri" w:hAnsi="Arial" w:cs="Arial"/>
                <w:b/>
                <w:bCs/>
                <w:color w:val="000000" w:themeColor="text1"/>
                <w:kern w:val="24"/>
                <w:position w:val="7"/>
                <w:sz w:val="20"/>
                <w:szCs w:val="20"/>
                <w:vertAlign w:val="superscript"/>
              </w:rPr>
              <w:t>46</w:t>
            </w:r>
          </w:p>
        </w:tc>
        <w:tc>
          <w:tcPr>
            <w:tcW w:w="1236"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1D86E80B" w14:textId="4B62A144"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 cis + vin</w:t>
            </w:r>
          </w:p>
        </w:tc>
        <w:tc>
          <w:tcPr>
            <w:tcW w:w="1659"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5B80A64D" w14:textId="462ADC65"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NSCLC</w:t>
            </w:r>
          </w:p>
        </w:tc>
        <w:tc>
          <w:tcPr>
            <w:tcW w:w="455"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7178C42B"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40</w:t>
            </w:r>
          </w:p>
        </w:tc>
        <w:tc>
          <w:tcPr>
            <w:tcW w:w="1177"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10A8A8D"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rP2 Chemo +/- DSF</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C721079"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40 mg TID</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4EEED636"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NA</w:t>
            </w:r>
          </w:p>
        </w:tc>
        <w:tc>
          <w:tcPr>
            <w:tcW w:w="1503" w:type="dxa"/>
            <w:tcBorders>
              <w:top w:val="single" w:sz="8" w:space="0" w:color="000000"/>
              <w:left w:val="single" w:sz="8" w:space="0" w:color="000000"/>
              <w:bottom w:val="single" w:sz="8" w:space="0" w:color="000000"/>
              <w:right w:val="single" w:sz="8" w:space="0" w:color="000000"/>
            </w:tcBorders>
            <w:shd w:val="clear" w:color="auto" w:fill="auto"/>
            <w:tcMar>
              <w:top w:w="63" w:type="dxa"/>
              <w:left w:w="127" w:type="dxa"/>
              <w:bottom w:w="63" w:type="dxa"/>
              <w:right w:w="127" w:type="dxa"/>
            </w:tcMar>
            <w:vAlign w:val="center"/>
            <w:hideMark/>
          </w:tcPr>
          <w:p w14:paraId="3B9CB0CE" w14:textId="77777777" w:rsidR="006029A0" w:rsidRPr="00B22D24" w:rsidRDefault="006029A0" w:rsidP="000C6CC6">
            <w:pPr>
              <w:spacing w:after="0" w:line="240" w:lineRule="auto"/>
              <w:jc w:val="center"/>
              <w:rPr>
                <w:rFonts w:ascii="Arial" w:eastAsia="Times New Roman" w:hAnsi="Arial" w:cs="Arial"/>
                <w:b/>
                <w:bCs/>
                <w:sz w:val="20"/>
                <w:szCs w:val="20"/>
              </w:rPr>
            </w:pPr>
            <w:r w:rsidRPr="00B22D24">
              <w:rPr>
                <w:rFonts w:ascii="Arial" w:eastAsia="Calibri" w:hAnsi="Arial" w:cs="Arial"/>
                <w:b/>
                <w:bCs/>
                <w:color w:val="000000" w:themeColor="text1"/>
                <w:kern w:val="24"/>
                <w:sz w:val="20"/>
                <w:szCs w:val="20"/>
              </w:rPr>
              <w:t>DSF improved PFS (5.9 vs 4.9 m) and OS (10 vs 7.1 m)</w:t>
            </w:r>
          </w:p>
        </w:tc>
      </w:tr>
    </w:tbl>
    <w:p w14:paraId="3D0FB8FF" w14:textId="7555F112" w:rsidR="006029A0" w:rsidRDefault="006029A0" w:rsidP="006029A0">
      <w:pPr>
        <w:shd w:val="clear" w:color="auto" w:fill="FFFFFF"/>
        <w:spacing w:after="0" w:line="480" w:lineRule="auto"/>
        <w:jc w:val="both"/>
        <w:rPr>
          <w:rFonts w:ascii="Times New Roman" w:hAnsi="Times New Roman" w:cs="Times New Roman"/>
          <w:b/>
          <w:color w:val="000000"/>
          <w:sz w:val="24"/>
          <w:szCs w:val="24"/>
        </w:rPr>
      </w:pPr>
      <w:r w:rsidRPr="00567F11">
        <w:rPr>
          <w:rFonts w:ascii="Arial" w:hAnsi="Arial" w:cs="Arial"/>
          <w:b/>
          <w:bCs/>
          <w:noProof/>
        </w:rPr>
        <mc:AlternateContent>
          <mc:Choice Requires="wps">
            <w:drawing>
              <wp:anchor distT="0" distB="0" distL="114300" distR="114300" simplePos="0" relativeHeight="251659264" behindDoc="0" locked="0" layoutInCell="1" allowOverlap="1" wp14:anchorId="09D0F9EC" wp14:editId="521893DD">
                <wp:simplePos x="0" y="0"/>
                <wp:positionH relativeFrom="margin">
                  <wp:posOffset>-635</wp:posOffset>
                </wp:positionH>
                <wp:positionV relativeFrom="paragraph">
                  <wp:posOffset>7620</wp:posOffset>
                </wp:positionV>
                <wp:extent cx="7080885" cy="1381125"/>
                <wp:effectExtent l="0" t="0" r="0" b="0"/>
                <wp:wrapNone/>
                <wp:docPr id="9" name="Rectangle 4"/>
                <wp:cNvGraphicFramePr/>
                <a:graphic xmlns:a="http://schemas.openxmlformats.org/drawingml/2006/main">
                  <a:graphicData uri="http://schemas.microsoft.com/office/word/2010/wordprocessingShape">
                    <wps:wsp>
                      <wps:cNvSpPr/>
                      <wps:spPr>
                        <a:xfrm>
                          <a:off x="0" y="0"/>
                          <a:ext cx="7080885" cy="1381125"/>
                        </a:xfrm>
                        <a:prstGeom prst="rect">
                          <a:avLst/>
                        </a:prstGeom>
                      </wps:spPr>
                      <wps:txbx>
                        <w:txbxContent>
                          <w:p w14:paraId="3F91E29F" w14:textId="6D69BF73" w:rsidR="006029A0" w:rsidRPr="006029A0" w:rsidRDefault="006029A0" w:rsidP="006029A0">
                            <w:pPr>
                              <w:spacing w:line="240" w:lineRule="auto"/>
                              <w:rPr>
                                <w:rFonts w:ascii="Arial" w:hAnsi="Arial" w:cs="Arial"/>
                                <w:color w:val="000000" w:themeColor="text1"/>
                                <w:kern w:val="24"/>
                                <w:sz w:val="20"/>
                                <w:szCs w:val="20"/>
                              </w:rPr>
                            </w:pPr>
                            <w:r w:rsidRPr="00B86BD8">
                              <w:rPr>
                                <w:rFonts w:ascii="Arial" w:hAnsi="Arial" w:cs="Arial"/>
                                <w:color w:val="000000" w:themeColor="text1"/>
                                <w:kern w:val="24"/>
                                <w:sz w:val="20"/>
                                <w:szCs w:val="20"/>
                                <w:vertAlign w:val="superscript"/>
                              </w:rPr>
                              <w:t>a</w:t>
                            </w:r>
                            <w:r>
                              <w:rPr>
                                <w:rFonts w:ascii="Arial" w:hAnsi="Arial" w:cs="Arial"/>
                                <w:color w:val="000000" w:themeColor="text1"/>
                                <w:kern w:val="24"/>
                                <w:sz w:val="20"/>
                                <w:szCs w:val="20"/>
                              </w:rPr>
                              <w:t>DSF = disulfiram, cis = cisplatin, vin = vinorelbine, Cu = copper, TMZ = temozolomide, Zn = zinc</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b</w:t>
                            </w:r>
                            <w:r>
                              <w:rPr>
                                <w:rFonts w:ascii="Arial" w:hAnsi="Arial" w:cs="Arial"/>
                                <w:color w:val="000000" w:themeColor="text1"/>
                                <w:kern w:val="24"/>
                                <w:sz w:val="20"/>
                                <w:szCs w:val="20"/>
                              </w:rPr>
                              <w:t>NSCLC = non-small cell lung cancer, GBM = glioblastoma multiforme</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c</w:t>
                            </w:r>
                            <w:r>
                              <w:rPr>
                                <w:rFonts w:ascii="Arial" w:hAnsi="Arial" w:cs="Arial"/>
                                <w:color w:val="000000" w:themeColor="text1"/>
                                <w:kern w:val="24"/>
                                <w:sz w:val="20"/>
                                <w:szCs w:val="20"/>
                              </w:rPr>
                              <w:t>r = randomized, P = phase, Chemo = chemotherapy</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d</w:t>
                            </w:r>
                            <w:r>
                              <w:rPr>
                                <w:rFonts w:ascii="Arial" w:hAnsi="Arial" w:cs="Arial"/>
                                <w:color w:val="000000" w:themeColor="text1"/>
                                <w:kern w:val="24"/>
                                <w:sz w:val="20"/>
                                <w:szCs w:val="20"/>
                              </w:rPr>
                              <w:t xml:space="preserve">tid = three times daily, n = number, mg = milligram, m = meter, qhs = nightly, NA = not available </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e</w:t>
                            </w:r>
                            <w:r>
                              <w:rPr>
                                <w:rFonts w:ascii="Arial" w:hAnsi="Arial" w:cs="Arial"/>
                                <w:color w:val="000000" w:themeColor="text1"/>
                                <w:kern w:val="24"/>
                                <w:sz w:val="20"/>
                                <w:szCs w:val="20"/>
                              </w:rPr>
                              <w:t xml:space="preserve">DLT = dose limiting toxicities, AE = adverse event                                                                                                                                                                                                                        </w:t>
                            </w:r>
                            <w:r w:rsidRPr="00B86BD8">
                              <w:rPr>
                                <w:rFonts w:ascii="Arial" w:hAnsi="Arial" w:cs="Arial"/>
                                <w:color w:val="000000" w:themeColor="text1"/>
                                <w:kern w:val="24"/>
                                <w:sz w:val="20"/>
                                <w:szCs w:val="20"/>
                                <w:vertAlign w:val="superscript"/>
                              </w:rPr>
                              <w:t>f</w:t>
                            </w:r>
                            <w:r>
                              <w:rPr>
                                <w:rFonts w:ascii="Arial" w:hAnsi="Arial" w:cs="Arial"/>
                                <w:color w:val="000000" w:themeColor="text1"/>
                                <w:kern w:val="24"/>
                                <w:sz w:val="20"/>
                                <w:szCs w:val="20"/>
                              </w:rPr>
                              <w:t>SD = stable disease, m = month, PFS = progression free survival, OS = overall survival, d = day, TTP = time to progression</w:t>
                            </w:r>
                          </w:p>
                          <w:p w14:paraId="07D4F1D2" w14:textId="5AAFB9E3" w:rsidR="006029A0" w:rsidRDefault="006029A0" w:rsidP="006029A0">
                            <w:pPr>
                              <w:spacing w:line="240" w:lineRule="auto"/>
                              <w:rPr>
                                <w:rFonts w:ascii="Arial" w:hAnsi="Arial" w:cs="Arial"/>
                                <w:color w:val="000000" w:themeColor="text1"/>
                                <w:kern w:val="24"/>
                                <w:sz w:val="20"/>
                                <w:szCs w:val="20"/>
                              </w:rPr>
                            </w:pPr>
                          </w:p>
                          <w:p w14:paraId="775BFF7C" w14:textId="1F65376D" w:rsidR="006029A0" w:rsidRDefault="006029A0" w:rsidP="006029A0">
                            <w:pPr>
                              <w:spacing w:line="240" w:lineRule="auto"/>
                              <w:rPr>
                                <w:rFonts w:ascii="Arial" w:hAnsi="Arial" w:cs="Arial"/>
                                <w:color w:val="000000" w:themeColor="text1"/>
                                <w:kern w:val="24"/>
                                <w:sz w:val="20"/>
                                <w:szCs w:val="20"/>
                              </w:rPr>
                            </w:pPr>
                          </w:p>
                          <w:p w14:paraId="090C2259" w14:textId="77777777" w:rsidR="006029A0" w:rsidRDefault="006029A0" w:rsidP="006029A0">
                            <w:pPr>
                              <w:rPr>
                                <w:rFonts w:ascii="Arial" w:hAnsi="Arial" w:cs="Arial"/>
                                <w:color w:val="000000" w:themeColor="text1"/>
                                <w:kern w:val="24"/>
                                <w:sz w:val="20"/>
                                <w:szCs w:val="20"/>
                              </w:rPr>
                            </w:pPr>
                          </w:p>
                          <w:p w14:paraId="1D9F7AB7" w14:textId="77777777" w:rsidR="006029A0" w:rsidRDefault="006029A0" w:rsidP="006029A0">
                            <w:pPr>
                              <w:rPr>
                                <w:rFonts w:ascii="Arial" w:hAnsi="Arial" w:cs="Arial"/>
                                <w:color w:val="000000" w:themeColor="text1"/>
                                <w:kern w:val="24"/>
                                <w:sz w:val="20"/>
                                <w:szCs w:val="20"/>
                              </w:rPr>
                            </w:pPr>
                          </w:p>
                          <w:p w14:paraId="0F4DCB6D" w14:textId="77777777" w:rsidR="006029A0" w:rsidRDefault="006029A0" w:rsidP="006029A0">
                            <w:pPr>
                              <w:rPr>
                                <w:sz w:val="24"/>
                                <w:szCs w:val="24"/>
                              </w:rPr>
                            </w:pPr>
                            <w:r w:rsidRPr="00B86BD8">
                              <w:rPr>
                                <w:rFonts w:ascii="Arial" w:hAnsi="Arial" w:cs="Arial"/>
                                <w:color w:val="000000" w:themeColor="text1"/>
                                <w:kern w:val="24"/>
                                <w:sz w:val="20"/>
                                <w:szCs w:val="20"/>
                                <w:vertAlign w:val="superscript"/>
                              </w:rPr>
                              <w:t>f</w:t>
                            </w:r>
                            <w:r>
                              <w:rPr>
                                <w:rFonts w:ascii="Arial" w:hAnsi="Arial" w:cs="Arial"/>
                                <w:color w:val="000000" w:themeColor="text1"/>
                                <w:kern w:val="24"/>
                                <w:sz w:val="20"/>
                                <w:szCs w:val="20"/>
                              </w:rPr>
                              <w:t>SD = stable disease, m = month, PFS = progression free survival, OS = overall survival, d = day, TTP = time to progression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1="http://schemas.microsoft.com/office/drawing/2015/9/8/chartex" xmlns:cx="http://schemas.microsoft.com/office/drawing/2014/chartex">
            <w:pict>
              <v:rect w14:anchorId="09D0F9EC" id="Rectangle 4" o:spid="_x0000_s1026" style="position:absolute;left:0;text-align:left;margin-left:-.05pt;margin-top:.6pt;width:557.55pt;height:10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" filled="f" stroked="f">
                <v:textbox>
                  <w:txbxContent>
                    <w:p w14:paraId="3F91E29F" w14:textId="6D69BF73" w:rsidR="006029A0" w:rsidRPr="006029A0" w:rsidRDefault="006029A0" w:rsidP="006029A0">
                      <w:pPr>
                        <w:spacing w:line="240" w:lineRule="auto"/>
                        <w:rPr>
                          <w:rFonts w:ascii="Arial" w:hAnsi="Arial" w:cs="Arial"/>
                          <w:color w:val="000000" w:themeColor="text1"/>
                          <w:kern w:val="24"/>
                          <w:sz w:val="20"/>
                          <w:szCs w:val="20"/>
                        </w:rPr>
                      </w:pPr>
                      <w:r w:rsidRPr="00B86BD8">
                        <w:rPr>
                          <w:rFonts w:ascii="Arial" w:hAnsi="Arial" w:cs="Arial"/>
                          <w:color w:val="000000" w:themeColor="text1"/>
                          <w:kern w:val="24"/>
                          <w:sz w:val="20"/>
                          <w:szCs w:val="20"/>
                          <w:vertAlign w:val="superscript"/>
                        </w:rPr>
                        <w:t>a</w:t>
                      </w:r>
                      <w:r>
                        <w:rPr>
                          <w:rFonts w:ascii="Arial" w:hAnsi="Arial" w:cs="Arial"/>
                          <w:color w:val="000000" w:themeColor="text1"/>
                          <w:kern w:val="24"/>
                          <w:sz w:val="20"/>
                          <w:szCs w:val="20"/>
                        </w:rPr>
                        <w:t>DSF = disulfiram, cis = cisplatin, vin = vinorelbine, Cu = copper, TMZ = temozolomide, Zn = zinc</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b</w:t>
                      </w:r>
                      <w:r>
                        <w:rPr>
                          <w:rFonts w:ascii="Arial" w:hAnsi="Arial" w:cs="Arial"/>
                          <w:color w:val="000000" w:themeColor="text1"/>
                          <w:kern w:val="24"/>
                          <w:sz w:val="20"/>
                          <w:szCs w:val="20"/>
                        </w:rPr>
                        <w:t>NSCLC = non-small cell lung cancer, GBM = glioblastoma multiforme</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c</w:t>
                      </w:r>
                      <w:r>
                        <w:rPr>
                          <w:rFonts w:ascii="Arial" w:hAnsi="Arial" w:cs="Arial"/>
                          <w:color w:val="000000" w:themeColor="text1"/>
                          <w:kern w:val="24"/>
                          <w:sz w:val="20"/>
                          <w:szCs w:val="20"/>
                        </w:rPr>
                        <w:t>r = randomized, P = phase, Chemo = chemotherapy</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d</w:t>
                      </w:r>
                      <w:r>
                        <w:rPr>
                          <w:rFonts w:ascii="Arial" w:hAnsi="Arial" w:cs="Arial"/>
                          <w:color w:val="000000" w:themeColor="text1"/>
                          <w:kern w:val="24"/>
                          <w:sz w:val="20"/>
                          <w:szCs w:val="20"/>
                        </w:rPr>
                        <w:t>tid = three times daily, n = number, mg = milligram, m = meter, qhs = nightly, NA = not available</w:t>
                      </w:r>
                      <w:r>
                        <w:rPr>
                          <w:rFonts w:ascii="Arial" w:hAnsi="Arial" w:cs="Arial"/>
                          <w:color w:val="000000" w:themeColor="text1"/>
                          <w:kern w:val="24"/>
                          <w:sz w:val="20"/>
                          <w:szCs w:val="20"/>
                        </w:rPr>
                        <w:t xml:space="preserve"> </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B86BD8">
                        <w:rPr>
                          <w:rFonts w:ascii="Arial" w:hAnsi="Arial" w:cs="Arial"/>
                          <w:color w:val="000000" w:themeColor="text1"/>
                          <w:kern w:val="24"/>
                          <w:sz w:val="20"/>
                          <w:szCs w:val="20"/>
                          <w:vertAlign w:val="superscript"/>
                        </w:rPr>
                        <w:t>e</w:t>
                      </w:r>
                      <w:r>
                        <w:rPr>
                          <w:rFonts w:ascii="Arial" w:hAnsi="Arial" w:cs="Arial"/>
                          <w:color w:val="000000" w:themeColor="text1"/>
                          <w:kern w:val="24"/>
                          <w:sz w:val="20"/>
                          <w:szCs w:val="20"/>
                        </w:rPr>
                        <w:t>DLT = dose limiting toxicities, AE = adverse event</w:t>
                      </w:r>
                      <w:r>
                        <w:rPr>
                          <w:rFonts w:ascii="Arial" w:hAnsi="Arial" w:cs="Arial"/>
                          <w:color w:val="000000" w:themeColor="text1"/>
                          <w:kern w:val="24"/>
                          <w:sz w:val="20"/>
                          <w:szCs w:val="20"/>
                        </w:rPr>
                        <w:t xml:space="preserve">                                                                                                                                                                                                                        </w:t>
                      </w:r>
                      <w:r w:rsidRPr="00B86BD8">
                        <w:rPr>
                          <w:rFonts w:ascii="Arial" w:hAnsi="Arial" w:cs="Arial"/>
                          <w:color w:val="000000" w:themeColor="text1"/>
                          <w:kern w:val="24"/>
                          <w:sz w:val="20"/>
                          <w:szCs w:val="20"/>
                          <w:vertAlign w:val="superscript"/>
                        </w:rPr>
                        <w:t>f</w:t>
                      </w:r>
                      <w:r>
                        <w:rPr>
                          <w:rFonts w:ascii="Arial" w:hAnsi="Arial" w:cs="Arial"/>
                          <w:color w:val="000000" w:themeColor="text1"/>
                          <w:kern w:val="24"/>
                          <w:sz w:val="20"/>
                          <w:szCs w:val="20"/>
                        </w:rPr>
                        <w:t>SD = stable disease, m = month, PFS = progression free survival, OS = overall survival, d = day, TTP = time to progression</w:t>
                      </w:r>
                    </w:p>
                    <w:p w14:paraId="07D4F1D2" w14:textId="5AAFB9E3" w:rsidR="006029A0" w:rsidRDefault="006029A0" w:rsidP="006029A0">
                      <w:pPr>
                        <w:spacing w:line="240" w:lineRule="auto"/>
                        <w:rPr>
                          <w:rFonts w:ascii="Arial" w:hAnsi="Arial" w:cs="Arial"/>
                          <w:color w:val="000000" w:themeColor="text1"/>
                          <w:kern w:val="24"/>
                          <w:sz w:val="20"/>
                          <w:szCs w:val="20"/>
                        </w:rPr>
                      </w:pPr>
                    </w:p>
                    <w:p w14:paraId="775BFF7C" w14:textId="1F65376D" w:rsidR="006029A0" w:rsidRDefault="006029A0" w:rsidP="006029A0">
                      <w:pPr>
                        <w:spacing w:line="240" w:lineRule="auto"/>
                        <w:rPr>
                          <w:rFonts w:ascii="Arial" w:hAnsi="Arial" w:cs="Arial"/>
                          <w:color w:val="000000" w:themeColor="text1"/>
                          <w:kern w:val="24"/>
                          <w:sz w:val="20"/>
                          <w:szCs w:val="20"/>
                        </w:rPr>
                      </w:pPr>
                    </w:p>
                    <w:p w14:paraId="090C2259" w14:textId="77777777" w:rsidR="006029A0" w:rsidRDefault="006029A0" w:rsidP="006029A0">
                      <w:pPr>
                        <w:rPr>
                          <w:rFonts w:ascii="Arial" w:hAnsi="Arial" w:cs="Arial"/>
                          <w:color w:val="000000" w:themeColor="text1"/>
                          <w:kern w:val="24"/>
                          <w:sz w:val="20"/>
                          <w:szCs w:val="20"/>
                        </w:rPr>
                      </w:pPr>
                    </w:p>
                    <w:p w14:paraId="1D9F7AB7" w14:textId="77777777" w:rsidR="006029A0" w:rsidRDefault="006029A0" w:rsidP="006029A0">
                      <w:pPr>
                        <w:rPr>
                          <w:rFonts w:ascii="Arial" w:hAnsi="Arial" w:cs="Arial"/>
                          <w:color w:val="000000" w:themeColor="text1"/>
                          <w:kern w:val="24"/>
                          <w:sz w:val="20"/>
                          <w:szCs w:val="20"/>
                        </w:rPr>
                      </w:pPr>
                    </w:p>
                    <w:p w14:paraId="0F4DCB6D" w14:textId="77777777" w:rsidR="006029A0" w:rsidRDefault="006029A0" w:rsidP="006029A0">
                      <w:pPr>
                        <w:rPr>
                          <w:sz w:val="24"/>
                          <w:szCs w:val="24"/>
                        </w:rPr>
                      </w:pPr>
                      <w:r w:rsidRPr="00B86BD8">
                        <w:rPr>
                          <w:rFonts w:ascii="Arial" w:hAnsi="Arial" w:cs="Arial"/>
                          <w:color w:val="000000" w:themeColor="text1"/>
                          <w:kern w:val="24"/>
                          <w:sz w:val="20"/>
                          <w:szCs w:val="20"/>
                          <w:vertAlign w:val="superscript"/>
                        </w:rPr>
                        <w:t>f</w:t>
                      </w:r>
                      <w:r>
                        <w:rPr>
                          <w:rFonts w:ascii="Arial" w:hAnsi="Arial" w:cs="Arial"/>
                          <w:color w:val="000000" w:themeColor="text1"/>
                          <w:kern w:val="24"/>
                          <w:sz w:val="20"/>
                          <w:szCs w:val="20"/>
                        </w:rPr>
                        <w:t>SD = stable disease, m = month, PFS = progression free survival, OS = overall survival, d = day, TTP = time to progression</w:t>
                      </w:r>
                    </w:p>
                  </w:txbxContent>
                </v:textbox>
                <w10:wrap anchorx="margin"/>
              </v:rect>
            </w:pict>
          </mc:Fallback>
        </mc:AlternateContent>
      </w:r>
    </w:p>
    <w:p w14:paraId="32DB2B9D" w14:textId="78444909" w:rsidR="009A4C63" w:rsidRDefault="009A4C63"/>
    <w:p w14:paraId="6C950E38" w14:textId="2D4F7A19" w:rsidR="006029A0" w:rsidRPr="006029A0" w:rsidRDefault="006029A0" w:rsidP="006029A0"/>
    <w:p w14:paraId="5D0BDF61" w14:textId="2B858553" w:rsidR="006029A0" w:rsidRPr="006029A0" w:rsidRDefault="006029A0" w:rsidP="006029A0"/>
    <w:p w14:paraId="3C588902" w14:textId="2B8CF2FC" w:rsidR="006029A0" w:rsidRPr="006029A0" w:rsidRDefault="006029A0" w:rsidP="006029A0"/>
    <w:p w14:paraId="59527E8B" w14:textId="15C53ED3" w:rsidR="006029A0" w:rsidRDefault="006029A0" w:rsidP="006029A0"/>
    <w:p w14:paraId="4B07D08F" w14:textId="05D8E8BA" w:rsidR="006029A0" w:rsidRDefault="006029A0" w:rsidP="006029A0"/>
    <w:p w14:paraId="6D64D4D3" w14:textId="504597C4" w:rsidR="006029A0" w:rsidRDefault="006029A0" w:rsidP="006029A0"/>
    <w:p w14:paraId="18DC1073" w14:textId="4D6FC1E0" w:rsidR="006029A0" w:rsidRDefault="006029A0" w:rsidP="006029A0"/>
    <w:p w14:paraId="62675007" w14:textId="77777777" w:rsidR="006029A0" w:rsidRDefault="006029A0" w:rsidP="006029A0">
      <w:pPr>
        <w:spacing w:after="200" w:line="480" w:lineRule="auto"/>
        <w:jc w:val="both"/>
      </w:pPr>
    </w:p>
    <w:tbl>
      <w:tblPr>
        <w:tblpPr w:leftFromText="180" w:rightFromText="180" w:vertAnchor="text" w:horzAnchor="margin" w:tblpY="496"/>
        <w:tblW w:w="10550" w:type="dxa"/>
        <w:tblLayout w:type="fixed"/>
        <w:tblCellMar>
          <w:left w:w="0" w:type="dxa"/>
          <w:right w:w="0" w:type="dxa"/>
        </w:tblCellMar>
        <w:tblLook w:val="0420" w:firstRow="1" w:lastRow="0" w:firstColumn="0" w:lastColumn="0" w:noHBand="0" w:noVBand="1"/>
      </w:tblPr>
      <w:tblGrid>
        <w:gridCol w:w="1589"/>
        <w:gridCol w:w="1211"/>
        <w:gridCol w:w="1330"/>
        <w:gridCol w:w="1189"/>
        <w:gridCol w:w="1776"/>
        <w:gridCol w:w="1598"/>
        <w:gridCol w:w="1857"/>
      </w:tblGrid>
      <w:tr w:rsidR="006029A0" w:rsidRPr="00AE15F9" w14:paraId="683F95A8" w14:textId="77777777" w:rsidTr="006029A0">
        <w:trPr>
          <w:trHeight w:val="1020"/>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DE9C43"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Dose Cohort</w:t>
            </w:r>
            <w:r w:rsidRPr="00AE15F9">
              <w:rPr>
                <w:rFonts w:ascii="Arial" w:hAnsi="Arial" w:cs="Arial"/>
                <w:b/>
                <w:bCs/>
                <w:sz w:val="20"/>
                <w:szCs w:val="20"/>
                <w:vertAlign w:val="superscript"/>
              </w:rPr>
              <w:t>a</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1D7D3A"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Age</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59C71A"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Sex</w:t>
            </w:r>
            <w:r w:rsidRPr="00AE15F9">
              <w:rPr>
                <w:rFonts w:ascii="Arial" w:hAnsi="Arial" w:cs="Arial"/>
                <w:b/>
                <w:bCs/>
                <w:sz w:val="20"/>
                <w:szCs w:val="20"/>
                <w:vertAlign w:val="superscript"/>
              </w:rPr>
              <w:t>b</w:t>
            </w:r>
          </w:p>
        </w:tc>
        <w:tc>
          <w:tcPr>
            <w:tcW w:w="1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3810A8"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Race</w:t>
            </w:r>
            <w:r w:rsidRPr="00AE15F9">
              <w:rPr>
                <w:rFonts w:ascii="Arial" w:hAnsi="Arial" w:cs="Arial"/>
                <w:b/>
                <w:bCs/>
                <w:sz w:val="20"/>
                <w:szCs w:val="20"/>
                <w:vertAlign w:val="superscript"/>
              </w:rPr>
              <w:t>c</w:t>
            </w:r>
          </w:p>
        </w:tc>
        <w:tc>
          <w:tcPr>
            <w:tcW w:w="17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E3B933"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Primary Tumor Type</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544ADE7"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Prior Lines of Treatment</w:t>
            </w:r>
            <w:r w:rsidRPr="00AE15F9">
              <w:rPr>
                <w:rFonts w:ascii="Arial" w:hAnsi="Arial" w:cs="Arial"/>
                <w:b/>
                <w:bCs/>
                <w:sz w:val="20"/>
                <w:szCs w:val="20"/>
                <w:vertAlign w:val="superscript"/>
              </w:rPr>
              <w:t>d</w:t>
            </w:r>
          </w:p>
        </w:tc>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D01843" w14:textId="77777777" w:rsidR="006029A0" w:rsidRPr="00AE15F9" w:rsidRDefault="006029A0" w:rsidP="006029A0">
            <w:pPr>
              <w:jc w:val="center"/>
              <w:rPr>
                <w:rFonts w:ascii="Arial" w:hAnsi="Arial" w:cs="Arial"/>
                <w:b/>
                <w:bCs/>
                <w:sz w:val="20"/>
                <w:szCs w:val="20"/>
              </w:rPr>
            </w:pPr>
            <w:r w:rsidRPr="00AE15F9">
              <w:rPr>
                <w:rFonts w:ascii="Arial" w:hAnsi="Arial" w:cs="Arial"/>
                <w:b/>
                <w:bCs/>
                <w:sz w:val="20"/>
                <w:szCs w:val="20"/>
              </w:rPr>
              <w:t>Reason for discontinuation</w:t>
            </w:r>
            <w:r w:rsidRPr="00AE15F9">
              <w:rPr>
                <w:rFonts w:ascii="Arial" w:hAnsi="Arial" w:cs="Arial"/>
                <w:b/>
                <w:bCs/>
                <w:sz w:val="20"/>
                <w:szCs w:val="20"/>
                <w:vertAlign w:val="superscript"/>
              </w:rPr>
              <w:t>e</w:t>
            </w:r>
          </w:p>
        </w:tc>
      </w:tr>
      <w:tr w:rsidR="006029A0" w:rsidRPr="00AE15F9" w14:paraId="42669C1D" w14:textId="77777777" w:rsidTr="006029A0">
        <w:trPr>
          <w:trHeight w:val="1020"/>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5D4DA2"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2 mg</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782682"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56</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69F6DB"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F</w:t>
            </w:r>
          </w:p>
        </w:tc>
        <w:tc>
          <w:tcPr>
            <w:tcW w:w="1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302127"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C</w:t>
            </w:r>
          </w:p>
        </w:tc>
        <w:tc>
          <w:tcPr>
            <w:tcW w:w="17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7496BB"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Pancreas</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C75B4E"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4</w:t>
            </w:r>
          </w:p>
        </w:tc>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067941"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PD</w:t>
            </w:r>
          </w:p>
        </w:tc>
      </w:tr>
      <w:tr w:rsidR="006029A0" w:rsidRPr="00AE15F9" w14:paraId="293D3BC4" w14:textId="77777777" w:rsidTr="006029A0">
        <w:trPr>
          <w:trHeight w:val="1020"/>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7FE052"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2 mg</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CD972F"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51</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2DC767"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F</w:t>
            </w:r>
          </w:p>
        </w:tc>
        <w:tc>
          <w:tcPr>
            <w:tcW w:w="1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47B8C0"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C</w:t>
            </w:r>
          </w:p>
        </w:tc>
        <w:tc>
          <w:tcPr>
            <w:tcW w:w="17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875AD1"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Breast</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B3DF30"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13</w:t>
            </w:r>
          </w:p>
        </w:tc>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86176A"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PD</w:t>
            </w:r>
          </w:p>
        </w:tc>
      </w:tr>
      <w:tr w:rsidR="006029A0" w:rsidRPr="00AE15F9" w14:paraId="601F1A78" w14:textId="77777777" w:rsidTr="006029A0">
        <w:trPr>
          <w:trHeight w:val="1020"/>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2A843A"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2 mg</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1F7D7C"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62</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1DE4C5"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F</w:t>
            </w:r>
          </w:p>
        </w:tc>
        <w:tc>
          <w:tcPr>
            <w:tcW w:w="1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DE5AE4"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C</w:t>
            </w:r>
          </w:p>
        </w:tc>
        <w:tc>
          <w:tcPr>
            <w:tcW w:w="17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51CA72"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Breast</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D06DA6"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8</w:t>
            </w:r>
          </w:p>
        </w:tc>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0B6B45"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PD</w:t>
            </w:r>
          </w:p>
        </w:tc>
      </w:tr>
      <w:tr w:rsidR="006029A0" w:rsidRPr="00AE15F9" w14:paraId="101880B8" w14:textId="77777777" w:rsidTr="006029A0">
        <w:trPr>
          <w:trHeight w:val="1020"/>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4756B8"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2 mg</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D6A49D"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66</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75F7B9"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M</w:t>
            </w:r>
          </w:p>
        </w:tc>
        <w:tc>
          <w:tcPr>
            <w:tcW w:w="1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AD4221"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C</w:t>
            </w:r>
          </w:p>
        </w:tc>
        <w:tc>
          <w:tcPr>
            <w:tcW w:w="17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CEE898"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Prostate</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BDEBC2"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3</w:t>
            </w:r>
          </w:p>
        </w:tc>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0A3177"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PD</w:t>
            </w:r>
          </w:p>
        </w:tc>
      </w:tr>
      <w:tr w:rsidR="006029A0" w:rsidRPr="00AE15F9" w14:paraId="6CE1A335" w14:textId="77777777" w:rsidTr="006029A0">
        <w:trPr>
          <w:trHeight w:val="1020"/>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0EC832"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6 mg</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22E63B"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78</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E72486"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F</w:t>
            </w:r>
          </w:p>
        </w:tc>
        <w:tc>
          <w:tcPr>
            <w:tcW w:w="11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710045"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C</w:t>
            </w:r>
          </w:p>
        </w:tc>
        <w:tc>
          <w:tcPr>
            <w:tcW w:w="17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243DDF"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Urothelial</w:t>
            </w:r>
          </w:p>
        </w:tc>
        <w:tc>
          <w:tcPr>
            <w:tcW w:w="15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F664F94"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5</w:t>
            </w:r>
          </w:p>
        </w:tc>
        <w:tc>
          <w:tcPr>
            <w:tcW w:w="185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07CA1D" w14:textId="77777777" w:rsidR="006029A0" w:rsidRPr="00AE15F9" w:rsidRDefault="006029A0" w:rsidP="006029A0">
            <w:pPr>
              <w:rPr>
                <w:rFonts w:ascii="Arial" w:hAnsi="Arial" w:cs="Arial"/>
                <w:b/>
                <w:bCs/>
                <w:sz w:val="20"/>
                <w:szCs w:val="20"/>
              </w:rPr>
            </w:pPr>
            <w:r w:rsidRPr="00AE15F9">
              <w:rPr>
                <w:rFonts w:ascii="Arial" w:hAnsi="Arial" w:cs="Arial"/>
                <w:b/>
                <w:bCs/>
                <w:sz w:val="20"/>
                <w:szCs w:val="20"/>
              </w:rPr>
              <w:t>PD</w:t>
            </w:r>
          </w:p>
        </w:tc>
      </w:tr>
    </w:tbl>
    <w:p w14:paraId="02FD2183" w14:textId="5F9E992E" w:rsidR="006029A0" w:rsidRPr="006029A0" w:rsidRDefault="006029A0" w:rsidP="006029A0">
      <w:pPr>
        <w:spacing w:after="200" w:line="480" w:lineRule="auto"/>
        <w:jc w:val="both"/>
        <w:rPr>
          <w:rFonts w:ascii="Times New Roman" w:hAnsi="Times New Roman" w:cs="Times New Roman"/>
          <w:b/>
          <w:bCs/>
          <w:sz w:val="24"/>
          <w:szCs w:val="24"/>
        </w:rPr>
      </w:pPr>
      <w:r w:rsidRPr="00B17D51">
        <w:rPr>
          <w:rFonts w:ascii="Times New Roman" w:hAnsi="Times New Roman" w:cs="Times New Roman"/>
          <w:b/>
          <w:bCs/>
          <w:sz w:val="24"/>
          <w:szCs w:val="24"/>
        </w:rPr>
        <w:t xml:space="preserve">Supplementary Table 2. Characteristics of non-evaluable patients. </w:t>
      </w:r>
    </w:p>
    <w:p w14:paraId="6FC23F7A" w14:textId="21E62FAF" w:rsidR="006029A0" w:rsidRDefault="006029A0" w:rsidP="006029A0">
      <w:pPr>
        <w:rPr>
          <w:rFonts w:ascii="Arial" w:hAnsi="Arial" w:cs="Arial"/>
          <w:color w:val="000000" w:themeColor="text1"/>
          <w:kern w:val="24"/>
          <w:sz w:val="20"/>
          <w:szCs w:val="20"/>
        </w:rPr>
      </w:pPr>
      <w:r w:rsidRPr="00AE15F9">
        <w:rPr>
          <w:rFonts w:ascii="Arial" w:hAnsi="Arial" w:cs="Arial"/>
          <w:color w:val="000000" w:themeColor="text1"/>
          <w:kern w:val="24"/>
          <w:sz w:val="20"/>
          <w:szCs w:val="20"/>
          <w:vertAlign w:val="superscript"/>
        </w:rPr>
        <w:t>a</w:t>
      </w:r>
      <w:r>
        <w:rPr>
          <w:rFonts w:ascii="Arial" w:hAnsi="Arial" w:cs="Arial"/>
          <w:color w:val="000000" w:themeColor="text1"/>
          <w:kern w:val="24"/>
          <w:sz w:val="20"/>
          <w:szCs w:val="20"/>
        </w:rPr>
        <w:t>mg = milligrams</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AE15F9">
        <w:rPr>
          <w:rFonts w:ascii="Arial" w:hAnsi="Arial" w:cs="Arial"/>
          <w:color w:val="000000" w:themeColor="text1"/>
          <w:kern w:val="24"/>
          <w:sz w:val="20"/>
          <w:szCs w:val="20"/>
          <w:vertAlign w:val="superscript"/>
        </w:rPr>
        <w:t>b</w:t>
      </w:r>
      <w:r>
        <w:rPr>
          <w:rFonts w:ascii="Arial" w:hAnsi="Arial" w:cs="Arial"/>
          <w:color w:val="000000" w:themeColor="text1"/>
          <w:kern w:val="24"/>
          <w:sz w:val="20"/>
          <w:szCs w:val="20"/>
        </w:rPr>
        <w:t>F = female, M = male</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AE15F9">
        <w:rPr>
          <w:rFonts w:ascii="Arial" w:hAnsi="Arial" w:cs="Arial"/>
          <w:color w:val="000000" w:themeColor="text1"/>
          <w:kern w:val="24"/>
          <w:sz w:val="20"/>
          <w:szCs w:val="20"/>
          <w:vertAlign w:val="superscript"/>
        </w:rPr>
        <w:t>c</w:t>
      </w:r>
      <w:r>
        <w:rPr>
          <w:rFonts w:ascii="Arial" w:hAnsi="Arial" w:cs="Arial"/>
          <w:color w:val="000000" w:themeColor="text1"/>
          <w:kern w:val="24"/>
          <w:sz w:val="20"/>
          <w:szCs w:val="20"/>
        </w:rPr>
        <w:t>C = Caucasian</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AE15F9">
        <w:rPr>
          <w:rFonts w:ascii="Arial" w:hAnsi="Arial" w:cs="Arial"/>
          <w:color w:val="000000" w:themeColor="text1"/>
          <w:kern w:val="24"/>
          <w:sz w:val="20"/>
          <w:szCs w:val="20"/>
          <w:vertAlign w:val="superscript"/>
        </w:rPr>
        <w:t>d</w:t>
      </w:r>
      <w:r>
        <w:rPr>
          <w:rFonts w:ascii="Arial" w:hAnsi="Arial" w:cs="Arial"/>
          <w:color w:val="000000" w:themeColor="text1"/>
          <w:kern w:val="24"/>
          <w:sz w:val="20"/>
          <w:szCs w:val="20"/>
        </w:rPr>
        <w:t>Refers to prior chemotherapy or endocrine therapy</w:t>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r>
      <w:r>
        <w:rPr>
          <w:rFonts w:ascii="Arial" w:hAnsi="Arial" w:cs="Arial"/>
          <w:color w:val="000000" w:themeColor="text1"/>
          <w:kern w:val="24"/>
          <w:sz w:val="20"/>
          <w:szCs w:val="20"/>
        </w:rPr>
        <w:tab/>
        <w:t xml:space="preserve">            </w:t>
      </w:r>
      <w:r w:rsidRPr="00AE15F9">
        <w:rPr>
          <w:rFonts w:ascii="Arial" w:hAnsi="Arial" w:cs="Arial"/>
          <w:color w:val="000000" w:themeColor="text1"/>
          <w:kern w:val="24"/>
          <w:sz w:val="20"/>
          <w:szCs w:val="20"/>
          <w:vertAlign w:val="superscript"/>
        </w:rPr>
        <w:t>e</w:t>
      </w:r>
      <w:r>
        <w:rPr>
          <w:rFonts w:ascii="Arial" w:hAnsi="Arial" w:cs="Arial"/>
          <w:color w:val="000000" w:themeColor="text1"/>
          <w:kern w:val="24"/>
          <w:sz w:val="20"/>
          <w:szCs w:val="20"/>
        </w:rPr>
        <w:t>PD = progressive disease</w:t>
      </w:r>
    </w:p>
    <w:p w14:paraId="18EA65FC" w14:textId="080F9FBA" w:rsidR="006029A0" w:rsidRDefault="006029A0" w:rsidP="006029A0"/>
    <w:p w14:paraId="5A6F633B" w14:textId="7E3EC544" w:rsidR="00771E11" w:rsidRDefault="00771E11" w:rsidP="006029A0"/>
    <w:p w14:paraId="4922C50D" w14:textId="55EE6D98" w:rsidR="00771E11" w:rsidRDefault="00771E11" w:rsidP="006029A0"/>
    <w:p w14:paraId="513F2559" w14:textId="77777777" w:rsidR="00771E11" w:rsidRPr="006029A0" w:rsidRDefault="00771E11" w:rsidP="006029A0">
      <w:bookmarkStart w:id="2" w:name="_GoBack"/>
      <w:bookmarkEnd w:id="2"/>
    </w:p>
    <w:sectPr w:rsidR="00771E11" w:rsidRPr="006029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9A0"/>
    <w:rsid w:val="006029A0"/>
    <w:rsid w:val="00692CA8"/>
    <w:rsid w:val="00771E11"/>
    <w:rsid w:val="009A4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9A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2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9A0"/>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9A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2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9A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2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Vollherbst</dc:creator>
  <cp:keywords/>
  <dc:description/>
  <cp:lastModifiedBy>Acabodillo, Francis Juneth </cp:lastModifiedBy>
  <cp:revision>3</cp:revision>
  <dcterms:created xsi:type="dcterms:W3CDTF">2021-04-12T17:26:00Z</dcterms:created>
  <dcterms:modified xsi:type="dcterms:W3CDTF">2021-04-27T13:43:00Z</dcterms:modified>
</cp:coreProperties>
</file>