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gliatabella"/>
        <w:tblpPr w:leftFromText="141" w:rightFromText="141" w:horzAnchor="margin" w:tblpXSpec="center" w:tblpY="439"/>
        <w:tblW w:w="5000" w:type="pct"/>
        <w:tblLook w:val="04A0" w:firstRow="1" w:lastRow="0" w:firstColumn="1" w:lastColumn="0" w:noHBand="0" w:noVBand="1"/>
      </w:tblPr>
      <w:tblGrid>
        <w:gridCol w:w="2373"/>
        <w:gridCol w:w="1189"/>
        <w:gridCol w:w="1041"/>
        <w:gridCol w:w="595"/>
        <w:gridCol w:w="445"/>
        <w:gridCol w:w="445"/>
        <w:gridCol w:w="508"/>
        <w:gridCol w:w="573"/>
        <w:gridCol w:w="573"/>
        <w:gridCol w:w="575"/>
        <w:gridCol w:w="1305"/>
      </w:tblGrid>
      <w:tr w:rsidR="005B387E" w:rsidRPr="005B387E" w:rsidTr="005B387E">
        <w:trPr>
          <w:trHeight w:val="993"/>
        </w:trPr>
        <w:tc>
          <w:tcPr>
            <w:tcW w:w="1233" w:type="pct"/>
            <w:shd w:val="clear" w:color="auto" w:fill="E0E0E0"/>
          </w:tcPr>
          <w:p w:rsidR="005B387E" w:rsidRPr="00D63BD7" w:rsidRDefault="005B387E" w:rsidP="005B387E">
            <w:pPr>
              <w:jc w:val="center"/>
              <w:rPr>
                <w:rFonts w:ascii="Times" w:hAnsi="Times" w:cs="Times New Roman"/>
                <w:b/>
                <w:sz w:val="20"/>
                <w:szCs w:val="20"/>
                <w:lang w:val="en-GB"/>
              </w:rPr>
            </w:pPr>
            <w:bookmarkStart w:id="0" w:name="_Hlk25102033"/>
            <w:bookmarkStart w:id="1" w:name="_Hlk31290527"/>
            <w:r w:rsidRPr="00D63BD7">
              <w:rPr>
                <w:rFonts w:ascii="Times" w:hAnsi="Times" w:cs="Times New Roman"/>
                <w:b/>
                <w:sz w:val="20"/>
                <w:szCs w:val="20"/>
                <w:lang w:val="en-GB"/>
              </w:rPr>
              <w:t>Period (duration)</w:t>
            </w:r>
          </w:p>
        </w:tc>
        <w:tc>
          <w:tcPr>
            <w:tcW w:w="618" w:type="pct"/>
            <w:shd w:val="clear" w:color="auto" w:fill="E0E0E0"/>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 xml:space="preserve">Screening </w:t>
            </w:r>
            <w:r w:rsidRPr="00D63BD7">
              <w:rPr>
                <w:rFonts w:ascii="Times" w:hAnsi="Times" w:cs="Times New Roman"/>
                <w:bCs/>
                <w:sz w:val="20"/>
                <w:szCs w:val="20"/>
                <w:lang w:val="en-GB"/>
              </w:rPr>
              <w:t>(</w:t>
            </w:r>
            <w:r w:rsidRPr="00D63BD7">
              <w:rPr>
                <w:rFonts w:ascii="Times" w:hAnsi="Times" w:cs="Times New Roman"/>
                <w:bCs/>
                <w:sz w:val="20"/>
                <w:szCs w:val="20"/>
                <w:lang w:val="en-GB"/>
              </w:rPr>
              <w:sym w:font="Symbol" w:char="F0A3"/>
            </w:r>
            <w:r w:rsidRPr="00D63BD7">
              <w:rPr>
                <w:rFonts w:ascii="Times" w:hAnsi="Times" w:cs="Times New Roman"/>
                <w:bCs/>
                <w:sz w:val="20"/>
                <w:szCs w:val="20"/>
                <w:lang w:val="en-GB"/>
              </w:rPr>
              <w:t>42 days)</w:t>
            </w:r>
          </w:p>
        </w:tc>
        <w:tc>
          <w:tcPr>
            <w:tcW w:w="541" w:type="pct"/>
            <w:shd w:val="clear" w:color="auto" w:fill="E0E0E0"/>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 xml:space="preserve">Baseline </w:t>
            </w:r>
            <w:r w:rsidRPr="00D63BD7">
              <w:rPr>
                <w:rFonts w:ascii="Times" w:hAnsi="Times" w:cs="Times New Roman"/>
                <w:bCs/>
                <w:sz w:val="20"/>
                <w:szCs w:val="20"/>
                <w:lang w:val="en-GB"/>
              </w:rPr>
              <w:t>(1 day)</w:t>
            </w:r>
          </w:p>
        </w:tc>
        <w:tc>
          <w:tcPr>
            <w:tcW w:w="1930" w:type="pct"/>
            <w:gridSpan w:val="7"/>
            <w:shd w:val="clear" w:color="auto" w:fill="E0E0E0"/>
          </w:tcPr>
          <w:p w:rsidR="005B387E" w:rsidRPr="00D63BD7" w:rsidRDefault="005B387E" w:rsidP="005B387E">
            <w:pPr>
              <w:jc w:val="center"/>
              <w:rPr>
                <w:rFonts w:ascii="Times" w:hAnsi="Times" w:cs="Times New Roman"/>
                <w:b/>
                <w:bCs/>
                <w:sz w:val="20"/>
                <w:szCs w:val="20"/>
                <w:lang w:val="en-GB"/>
              </w:rPr>
            </w:pPr>
            <w:r w:rsidRPr="00D63BD7">
              <w:rPr>
                <w:rFonts w:ascii="Times" w:hAnsi="Times" w:cs="Times New Roman"/>
                <w:b/>
                <w:bCs/>
                <w:sz w:val="20"/>
                <w:szCs w:val="20"/>
                <w:lang w:val="en-GB"/>
              </w:rPr>
              <w:t>Treatment period</w:t>
            </w:r>
          </w:p>
          <w:p w:rsidR="005B387E" w:rsidRPr="00D63BD7" w:rsidRDefault="005B387E" w:rsidP="005B387E">
            <w:pPr>
              <w:widowControl w:val="0"/>
              <w:autoSpaceDE w:val="0"/>
              <w:autoSpaceDN w:val="0"/>
              <w:adjustRightInd w:val="0"/>
              <w:spacing w:after="240"/>
              <w:jc w:val="center"/>
              <w:rPr>
                <w:rFonts w:ascii="Times" w:hAnsi="Times" w:cs="Times New Roman"/>
                <w:sz w:val="20"/>
                <w:szCs w:val="20"/>
                <w:lang w:val="en-GB"/>
              </w:rPr>
            </w:pPr>
            <w:r w:rsidRPr="00D63BD7">
              <w:rPr>
                <w:rFonts w:ascii="Times" w:hAnsi="Times" w:cs="Times New Roman"/>
                <w:sz w:val="20"/>
                <w:szCs w:val="20"/>
                <w:lang w:val="en-GB"/>
              </w:rPr>
              <w:t>(± 2 days – q2w until w7 and then as shown)</w:t>
            </w:r>
          </w:p>
        </w:tc>
        <w:tc>
          <w:tcPr>
            <w:tcW w:w="678" w:type="pct"/>
            <w:shd w:val="clear" w:color="auto" w:fill="E0E0E0"/>
          </w:tcPr>
          <w:p w:rsidR="005B387E" w:rsidRPr="00D63BD7" w:rsidRDefault="005B387E" w:rsidP="005B387E">
            <w:pPr>
              <w:widowControl w:val="0"/>
              <w:autoSpaceDE w:val="0"/>
              <w:autoSpaceDN w:val="0"/>
              <w:adjustRightInd w:val="0"/>
              <w:jc w:val="center"/>
              <w:rPr>
                <w:rFonts w:ascii="Times" w:hAnsi="Times" w:cs="Times New Roman"/>
                <w:b/>
                <w:sz w:val="20"/>
                <w:szCs w:val="20"/>
                <w:lang w:val="en-GB"/>
              </w:rPr>
            </w:pPr>
            <w:r w:rsidRPr="00D63BD7">
              <w:rPr>
                <w:rFonts w:ascii="Times" w:hAnsi="Times" w:cs="Times New Roman"/>
                <w:b/>
                <w:sz w:val="20"/>
                <w:szCs w:val="20"/>
                <w:lang w:val="en-GB"/>
              </w:rPr>
              <w:t>Follow-up</w:t>
            </w:r>
          </w:p>
          <w:p w:rsidR="005B387E" w:rsidRPr="00D63BD7" w:rsidRDefault="005B387E" w:rsidP="005B387E">
            <w:pPr>
              <w:widowControl w:val="0"/>
              <w:autoSpaceDE w:val="0"/>
              <w:autoSpaceDN w:val="0"/>
              <w:adjustRightInd w:val="0"/>
              <w:jc w:val="center"/>
              <w:rPr>
                <w:rFonts w:ascii="Times" w:hAnsi="Times" w:cs="Times New Roman"/>
                <w:bCs/>
                <w:sz w:val="20"/>
                <w:szCs w:val="20"/>
                <w:lang w:val="en-GB"/>
              </w:rPr>
            </w:pPr>
            <w:r w:rsidRPr="00D63BD7">
              <w:rPr>
                <w:rFonts w:ascii="Times" w:hAnsi="Times" w:cs="Times New Roman"/>
                <w:bCs/>
                <w:sz w:val="18"/>
                <w:szCs w:val="18"/>
                <w:lang w:val="en-GB"/>
              </w:rPr>
              <w:t>every month for the 1</w:t>
            </w:r>
            <w:r w:rsidRPr="00D63BD7">
              <w:rPr>
                <w:rFonts w:ascii="Times" w:hAnsi="Times" w:cs="Times New Roman"/>
                <w:bCs/>
                <w:sz w:val="18"/>
                <w:szCs w:val="18"/>
                <w:vertAlign w:val="superscript"/>
                <w:lang w:val="en-GB"/>
              </w:rPr>
              <w:t>st</w:t>
            </w:r>
            <w:r w:rsidRPr="00D63BD7">
              <w:rPr>
                <w:rFonts w:ascii="Times" w:hAnsi="Times" w:cs="Times New Roman"/>
                <w:bCs/>
                <w:sz w:val="18"/>
                <w:szCs w:val="18"/>
                <w:lang w:val="en-GB"/>
              </w:rPr>
              <w:t xml:space="preserve"> year, then every 3 months for 30 months</w:t>
            </w:r>
          </w:p>
        </w:tc>
      </w:tr>
      <w:tr w:rsidR="005B387E" w:rsidRPr="005B387E" w:rsidTr="005B387E">
        <w:trPr>
          <w:trHeight w:val="376"/>
        </w:trPr>
        <w:tc>
          <w:tcPr>
            <w:tcW w:w="1233" w:type="pct"/>
            <w:tcBorders>
              <w:bottom w:val="single" w:sz="4" w:space="0" w:color="auto"/>
            </w:tcBorders>
            <w:shd w:val="clear" w:color="auto" w:fill="E0E0E0"/>
            <w:vAlign w:val="center"/>
          </w:tcPr>
          <w:p w:rsidR="005B387E" w:rsidRPr="00D63BD7" w:rsidRDefault="005B387E" w:rsidP="005B387E">
            <w:pPr>
              <w:rPr>
                <w:rFonts w:ascii="Times" w:hAnsi="Times" w:cs="Times New Roman"/>
                <w:b/>
                <w:sz w:val="20"/>
                <w:szCs w:val="20"/>
                <w:lang w:val="en-GB"/>
              </w:rPr>
            </w:pPr>
            <w:r w:rsidRPr="00D63BD7">
              <w:rPr>
                <w:rFonts w:ascii="Times" w:hAnsi="Times" w:cs="Times New Roman"/>
                <w:b/>
                <w:sz w:val="20"/>
                <w:szCs w:val="20"/>
                <w:lang w:val="en-GB"/>
              </w:rPr>
              <w:t>Visit</w:t>
            </w:r>
          </w:p>
        </w:tc>
        <w:tc>
          <w:tcPr>
            <w:tcW w:w="618" w:type="pct"/>
            <w:tcBorders>
              <w:bottom w:val="single" w:sz="4" w:space="0" w:color="auto"/>
            </w:tcBorders>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0</w:t>
            </w:r>
          </w:p>
        </w:tc>
        <w:tc>
          <w:tcPr>
            <w:tcW w:w="541" w:type="pct"/>
            <w:tcBorders>
              <w:bottom w:val="single" w:sz="4" w:space="0" w:color="auto"/>
            </w:tcBorders>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1</w:t>
            </w:r>
          </w:p>
        </w:tc>
        <w:tc>
          <w:tcPr>
            <w:tcW w:w="309" w:type="pct"/>
            <w:tcBorders>
              <w:bottom w:val="single" w:sz="4" w:space="0" w:color="auto"/>
            </w:tcBorders>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2</w:t>
            </w:r>
          </w:p>
        </w:tc>
        <w:tc>
          <w:tcPr>
            <w:tcW w:w="231" w:type="pct"/>
            <w:tcBorders>
              <w:bottom w:val="single" w:sz="4" w:space="0" w:color="auto"/>
            </w:tcBorders>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3</w:t>
            </w:r>
          </w:p>
        </w:tc>
        <w:tc>
          <w:tcPr>
            <w:tcW w:w="231" w:type="pct"/>
            <w:tcBorders>
              <w:bottom w:val="single" w:sz="4" w:space="0" w:color="auto"/>
            </w:tcBorders>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4</w:t>
            </w:r>
          </w:p>
        </w:tc>
        <w:tc>
          <w:tcPr>
            <w:tcW w:w="264" w:type="pct"/>
            <w:shd w:val="clear" w:color="auto" w:fill="E0E0E0"/>
            <w:vAlign w:val="center"/>
          </w:tcPr>
          <w:p w:rsidR="005B387E" w:rsidRPr="00D63BD7" w:rsidRDefault="005B387E" w:rsidP="005B387E">
            <w:pPr>
              <w:widowControl w:val="0"/>
              <w:autoSpaceDE w:val="0"/>
              <w:autoSpaceDN w:val="0"/>
              <w:adjustRightInd w:val="0"/>
              <w:jc w:val="center"/>
              <w:rPr>
                <w:rFonts w:ascii="Times" w:hAnsi="Times" w:cs="Times New Roman"/>
                <w:b/>
                <w:sz w:val="20"/>
                <w:szCs w:val="20"/>
                <w:lang w:val="en-GB"/>
              </w:rPr>
            </w:pPr>
            <w:r w:rsidRPr="00D63BD7">
              <w:rPr>
                <w:rFonts w:ascii="Times" w:hAnsi="Times" w:cs="Times New Roman"/>
                <w:b/>
                <w:sz w:val="20"/>
                <w:szCs w:val="20"/>
                <w:lang w:val="en-GB"/>
              </w:rPr>
              <w:t>5</w:t>
            </w:r>
          </w:p>
        </w:tc>
        <w:tc>
          <w:tcPr>
            <w:tcW w:w="298" w:type="pct"/>
            <w:shd w:val="clear" w:color="auto" w:fill="E0E0E0"/>
            <w:vAlign w:val="center"/>
          </w:tcPr>
          <w:p w:rsidR="005B387E" w:rsidRPr="00D63BD7" w:rsidRDefault="005B387E" w:rsidP="005B387E">
            <w:pPr>
              <w:widowControl w:val="0"/>
              <w:autoSpaceDE w:val="0"/>
              <w:autoSpaceDN w:val="0"/>
              <w:adjustRightInd w:val="0"/>
              <w:jc w:val="center"/>
              <w:rPr>
                <w:rFonts w:ascii="Times" w:hAnsi="Times" w:cs="Times New Roman"/>
                <w:sz w:val="20"/>
                <w:szCs w:val="20"/>
                <w:lang w:val="en-GB"/>
              </w:rPr>
            </w:pPr>
            <w:r w:rsidRPr="00D63BD7">
              <w:rPr>
                <w:rFonts w:ascii="Times" w:hAnsi="Times" w:cs="Times New Roman"/>
                <w:b/>
                <w:sz w:val="20"/>
                <w:szCs w:val="20"/>
                <w:lang w:val="en-GB"/>
              </w:rPr>
              <w:t>6</w:t>
            </w:r>
          </w:p>
        </w:tc>
        <w:tc>
          <w:tcPr>
            <w:tcW w:w="298" w:type="pct"/>
            <w:shd w:val="clear" w:color="auto" w:fill="E0E0E0"/>
            <w:vAlign w:val="center"/>
          </w:tcPr>
          <w:p w:rsidR="005B387E" w:rsidRPr="00D63BD7" w:rsidRDefault="005B387E" w:rsidP="005B387E">
            <w:pPr>
              <w:widowControl w:val="0"/>
              <w:autoSpaceDE w:val="0"/>
              <w:autoSpaceDN w:val="0"/>
              <w:adjustRightInd w:val="0"/>
              <w:jc w:val="center"/>
              <w:rPr>
                <w:rFonts w:ascii="Times" w:hAnsi="Times" w:cs="Times New Roman"/>
                <w:sz w:val="20"/>
                <w:szCs w:val="20"/>
                <w:lang w:val="en-GB"/>
              </w:rPr>
            </w:pPr>
            <w:r w:rsidRPr="00D63BD7">
              <w:rPr>
                <w:rFonts w:ascii="Times" w:hAnsi="Times" w:cs="Times New Roman"/>
                <w:b/>
                <w:sz w:val="20"/>
                <w:szCs w:val="20"/>
                <w:lang w:val="en-GB"/>
              </w:rPr>
              <w:t>7</w:t>
            </w:r>
          </w:p>
        </w:tc>
        <w:tc>
          <w:tcPr>
            <w:tcW w:w="299" w:type="pct"/>
            <w:shd w:val="clear" w:color="auto" w:fill="E0E0E0"/>
            <w:vAlign w:val="center"/>
          </w:tcPr>
          <w:p w:rsidR="005B387E" w:rsidRPr="00D63BD7" w:rsidRDefault="005B387E" w:rsidP="005B387E">
            <w:pPr>
              <w:widowControl w:val="0"/>
              <w:autoSpaceDE w:val="0"/>
              <w:autoSpaceDN w:val="0"/>
              <w:adjustRightInd w:val="0"/>
              <w:jc w:val="center"/>
              <w:rPr>
                <w:rFonts w:ascii="Times" w:hAnsi="Times" w:cs="Times New Roman"/>
                <w:sz w:val="20"/>
                <w:szCs w:val="20"/>
                <w:lang w:val="en-GB"/>
              </w:rPr>
            </w:pPr>
            <w:r w:rsidRPr="00D63BD7">
              <w:rPr>
                <w:rFonts w:ascii="Times" w:hAnsi="Times" w:cs="Times New Roman"/>
                <w:b/>
                <w:sz w:val="20"/>
                <w:szCs w:val="20"/>
                <w:lang w:val="en-GB"/>
              </w:rPr>
              <w:t>8</w:t>
            </w:r>
          </w:p>
        </w:tc>
        <w:tc>
          <w:tcPr>
            <w:tcW w:w="678" w:type="pct"/>
            <w:vMerge w:val="restart"/>
            <w:shd w:val="clear" w:color="auto" w:fill="E0E0E0"/>
            <w:vAlign w:val="center"/>
          </w:tcPr>
          <w:p w:rsidR="005B387E" w:rsidRPr="00D63BD7" w:rsidRDefault="005B387E" w:rsidP="005B387E">
            <w:pPr>
              <w:widowControl w:val="0"/>
              <w:autoSpaceDE w:val="0"/>
              <w:autoSpaceDN w:val="0"/>
              <w:adjustRightInd w:val="0"/>
              <w:rPr>
                <w:rFonts w:ascii="Times" w:hAnsi="Times" w:cs="Times New Roman"/>
                <w:sz w:val="20"/>
                <w:szCs w:val="20"/>
                <w:lang w:val="en-GB"/>
              </w:rPr>
            </w:pPr>
            <w:r w:rsidRPr="00D63BD7">
              <w:rPr>
                <w:rFonts w:ascii="Times" w:hAnsi="Times" w:cs="Times New Roman"/>
                <w:sz w:val="18"/>
                <w:szCs w:val="18"/>
                <w:lang w:val="en-GB"/>
              </w:rPr>
              <w:t xml:space="preserve">30/90 (±7days) from w24 </w:t>
            </w:r>
            <w:r w:rsidRPr="00D63BD7">
              <w:rPr>
                <w:rFonts w:ascii="Times" w:hAnsi="Times" w:cs="Times New Roman"/>
                <w:bCs/>
                <w:sz w:val="18"/>
                <w:szCs w:val="18"/>
                <w:lang w:val="en-GB"/>
              </w:rPr>
              <w:t>for 30 months</w:t>
            </w:r>
          </w:p>
        </w:tc>
      </w:tr>
      <w:tr w:rsidR="005B387E" w:rsidRPr="00D63BD7" w:rsidTr="005B387E">
        <w:trPr>
          <w:trHeight w:val="377"/>
        </w:trPr>
        <w:tc>
          <w:tcPr>
            <w:tcW w:w="1233" w:type="pct"/>
            <w:shd w:val="clear" w:color="auto" w:fill="E0E0E0"/>
            <w:vAlign w:val="center"/>
          </w:tcPr>
          <w:p w:rsidR="005B387E" w:rsidRPr="00D63BD7" w:rsidRDefault="005B387E" w:rsidP="005B387E">
            <w:pPr>
              <w:rPr>
                <w:rFonts w:ascii="Times" w:hAnsi="Times" w:cs="Times New Roman"/>
                <w:b/>
                <w:sz w:val="20"/>
                <w:szCs w:val="20"/>
                <w:lang w:val="en-GB"/>
              </w:rPr>
            </w:pPr>
            <w:bookmarkStart w:id="2" w:name="_Hlk30151358"/>
            <w:bookmarkStart w:id="3" w:name="_Hlk25102021"/>
            <w:r w:rsidRPr="00D63BD7">
              <w:rPr>
                <w:rFonts w:ascii="Times" w:hAnsi="Times" w:cs="Times New Roman"/>
                <w:b/>
                <w:sz w:val="20"/>
                <w:szCs w:val="20"/>
                <w:lang w:val="en-GB"/>
              </w:rPr>
              <w:t>Day</w:t>
            </w:r>
          </w:p>
        </w:tc>
        <w:tc>
          <w:tcPr>
            <w:tcW w:w="618"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-42 to 0</w:t>
            </w:r>
          </w:p>
        </w:tc>
        <w:tc>
          <w:tcPr>
            <w:tcW w:w="541"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1</w:t>
            </w:r>
          </w:p>
        </w:tc>
        <w:tc>
          <w:tcPr>
            <w:tcW w:w="309"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15</w:t>
            </w:r>
          </w:p>
        </w:tc>
        <w:tc>
          <w:tcPr>
            <w:tcW w:w="231"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29</w:t>
            </w:r>
          </w:p>
        </w:tc>
        <w:tc>
          <w:tcPr>
            <w:tcW w:w="231"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43</w:t>
            </w:r>
          </w:p>
        </w:tc>
        <w:tc>
          <w:tcPr>
            <w:tcW w:w="264"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71</w:t>
            </w:r>
          </w:p>
        </w:tc>
        <w:tc>
          <w:tcPr>
            <w:tcW w:w="298"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99</w:t>
            </w:r>
          </w:p>
        </w:tc>
        <w:tc>
          <w:tcPr>
            <w:tcW w:w="298"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127</w:t>
            </w:r>
          </w:p>
        </w:tc>
        <w:tc>
          <w:tcPr>
            <w:tcW w:w="299"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162</w:t>
            </w:r>
          </w:p>
        </w:tc>
        <w:tc>
          <w:tcPr>
            <w:tcW w:w="678" w:type="pct"/>
            <w:vMerge/>
            <w:shd w:val="clear" w:color="auto" w:fill="E0E0E0"/>
            <w:vAlign w:val="center"/>
          </w:tcPr>
          <w:p w:rsidR="005B387E" w:rsidRPr="00D63BD7" w:rsidRDefault="005B387E" w:rsidP="005B387E">
            <w:pPr>
              <w:jc w:val="center"/>
              <w:rPr>
                <w:rFonts w:ascii="Times" w:hAnsi="Times" w:cs="Times New Roman"/>
                <w:b/>
                <w:sz w:val="20"/>
                <w:szCs w:val="20"/>
                <w:lang w:val="en-GB"/>
              </w:rPr>
            </w:pPr>
          </w:p>
        </w:tc>
      </w:tr>
      <w:tr w:rsidR="005B387E" w:rsidRPr="00D63BD7" w:rsidTr="005B387E">
        <w:trPr>
          <w:trHeight w:val="377"/>
        </w:trPr>
        <w:tc>
          <w:tcPr>
            <w:tcW w:w="1233" w:type="pct"/>
            <w:shd w:val="clear" w:color="auto" w:fill="E0E0E0"/>
            <w:vAlign w:val="center"/>
          </w:tcPr>
          <w:p w:rsidR="005B387E" w:rsidRPr="00D63BD7" w:rsidRDefault="005B387E" w:rsidP="005B387E">
            <w:pPr>
              <w:rPr>
                <w:rFonts w:ascii="Times" w:hAnsi="Times" w:cs="Times New Roman"/>
                <w:b/>
                <w:sz w:val="20"/>
                <w:szCs w:val="20"/>
                <w:lang w:val="en-GB"/>
              </w:rPr>
            </w:pPr>
            <w:bookmarkStart w:id="4" w:name="_Hlk30151703"/>
            <w:bookmarkEnd w:id="2"/>
            <w:r w:rsidRPr="00D63BD7">
              <w:rPr>
                <w:rFonts w:ascii="Times" w:hAnsi="Times" w:cs="Times New Roman"/>
                <w:b/>
                <w:sz w:val="20"/>
                <w:szCs w:val="20"/>
                <w:lang w:val="en-GB"/>
              </w:rPr>
              <w:t>Week</w:t>
            </w:r>
          </w:p>
        </w:tc>
        <w:tc>
          <w:tcPr>
            <w:tcW w:w="618"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-6 to 0</w:t>
            </w:r>
          </w:p>
        </w:tc>
        <w:tc>
          <w:tcPr>
            <w:tcW w:w="541"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1</w:t>
            </w:r>
          </w:p>
        </w:tc>
        <w:tc>
          <w:tcPr>
            <w:tcW w:w="309"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3</w:t>
            </w:r>
          </w:p>
        </w:tc>
        <w:tc>
          <w:tcPr>
            <w:tcW w:w="231"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5</w:t>
            </w:r>
          </w:p>
        </w:tc>
        <w:tc>
          <w:tcPr>
            <w:tcW w:w="231"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7</w:t>
            </w:r>
          </w:p>
        </w:tc>
        <w:tc>
          <w:tcPr>
            <w:tcW w:w="264"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11</w:t>
            </w:r>
          </w:p>
        </w:tc>
        <w:tc>
          <w:tcPr>
            <w:tcW w:w="298"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15</w:t>
            </w:r>
          </w:p>
        </w:tc>
        <w:tc>
          <w:tcPr>
            <w:tcW w:w="298"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19</w:t>
            </w:r>
          </w:p>
        </w:tc>
        <w:tc>
          <w:tcPr>
            <w:tcW w:w="299" w:type="pct"/>
            <w:shd w:val="clear" w:color="auto" w:fill="E0E0E0"/>
            <w:vAlign w:val="center"/>
          </w:tcPr>
          <w:p w:rsidR="005B387E" w:rsidRPr="00D63BD7" w:rsidRDefault="005B387E" w:rsidP="005B387E">
            <w:pPr>
              <w:jc w:val="center"/>
              <w:rPr>
                <w:rFonts w:ascii="Times" w:hAnsi="Times" w:cs="Times New Roman"/>
                <w:b/>
                <w:sz w:val="20"/>
                <w:szCs w:val="20"/>
                <w:lang w:val="en-GB"/>
              </w:rPr>
            </w:pPr>
            <w:r w:rsidRPr="00D63BD7">
              <w:rPr>
                <w:rFonts w:ascii="Times" w:hAnsi="Times" w:cs="Times New Roman"/>
                <w:b/>
                <w:sz w:val="20"/>
                <w:szCs w:val="20"/>
                <w:lang w:val="en-GB"/>
              </w:rPr>
              <w:t>24</w:t>
            </w:r>
          </w:p>
        </w:tc>
        <w:tc>
          <w:tcPr>
            <w:tcW w:w="678" w:type="pct"/>
            <w:vMerge/>
            <w:shd w:val="clear" w:color="auto" w:fill="E0E0E0"/>
            <w:vAlign w:val="center"/>
          </w:tcPr>
          <w:p w:rsidR="005B387E" w:rsidRPr="00D63BD7" w:rsidRDefault="005B387E" w:rsidP="005B387E">
            <w:pPr>
              <w:jc w:val="center"/>
              <w:rPr>
                <w:rFonts w:ascii="Times" w:hAnsi="Times" w:cs="Times New Roman"/>
                <w:b/>
                <w:sz w:val="20"/>
                <w:szCs w:val="20"/>
                <w:lang w:val="en-GB"/>
              </w:rPr>
            </w:pPr>
          </w:p>
        </w:tc>
      </w:tr>
      <w:bookmarkEnd w:id="0"/>
      <w:bookmarkEnd w:id="3"/>
      <w:bookmarkEnd w:id="4"/>
      <w:tr w:rsidR="005B387E" w:rsidRPr="00D63BD7" w:rsidTr="005B387E">
        <w:tc>
          <w:tcPr>
            <w:tcW w:w="1233" w:type="pct"/>
            <w:vAlign w:val="center"/>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 xml:space="preserve">Informed Consent (a) </w:t>
            </w:r>
          </w:p>
        </w:tc>
        <w:tc>
          <w:tcPr>
            <w:tcW w:w="61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vAlign w:val="center"/>
          </w:tcPr>
          <w:p w:rsidR="005B387E" w:rsidRPr="00D63BD7" w:rsidRDefault="005B387E" w:rsidP="005B387E">
            <w:pPr>
              <w:jc w:val="center"/>
              <w:rPr>
                <w:rFonts w:ascii="Times" w:hAnsi="Times" w:cs="Times New Roman"/>
                <w:sz w:val="20"/>
                <w:szCs w:val="20"/>
                <w:lang w:val="en-GB"/>
              </w:rPr>
            </w:pPr>
          </w:p>
        </w:tc>
        <w:tc>
          <w:tcPr>
            <w:tcW w:w="309"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tcPr>
          <w:p w:rsidR="005B387E" w:rsidRPr="00D63BD7" w:rsidRDefault="005B387E" w:rsidP="005B387E">
            <w:pPr>
              <w:jc w:val="center"/>
              <w:rPr>
                <w:rFonts w:ascii="Times" w:hAnsi="Times" w:cs="Times New Roman"/>
                <w:sz w:val="20"/>
                <w:szCs w:val="20"/>
                <w:lang w:val="en-GB"/>
              </w:rPr>
            </w:pPr>
          </w:p>
        </w:tc>
        <w:tc>
          <w:tcPr>
            <w:tcW w:w="298" w:type="pct"/>
          </w:tcPr>
          <w:p w:rsidR="005B387E" w:rsidRPr="00D63BD7" w:rsidRDefault="005B387E" w:rsidP="005B387E">
            <w:pPr>
              <w:jc w:val="center"/>
              <w:rPr>
                <w:rFonts w:ascii="Times" w:hAnsi="Times" w:cs="Times New Roman"/>
                <w:sz w:val="20"/>
                <w:szCs w:val="20"/>
                <w:lang w:val="en-GB"/>
              </w:rPr>
            </w:pPr>
          </w:p>
        </w:tc>
        <w:tc>
          <w:tcPr>
            <w:tcW w:w="299" w:type="pct"/>
          </w:tcPr>
          <w:p w:rsidR="005B387E" w:rsidRPr="00D63BD7" w:rsidRDefault="005B387E" w:rsidP="005B387E">
            <w:pPr>
              <w:jc w:val="center"/>
              <w:rPr>
                <w:rFonts w:ascii="Times" w:hAnsi="Times" w:cs="Times New Roman"/>
                <w:sz w:val="20"/>
                <w:szCs w:val="20"/>
                <w:lang w:val="en-GB"/>
              </w:rPr>
            </w:pPr>
          </w:p>
        </w:tc>
        <w:tc>
          <w:tcPr>
            <w:tcW w:w="678" w:type="pct"/>
            <w:vAlign w:val="center"/>
          </w:tcPr>
          <w:p w:rsidR="005B387E" w:rsidRPr="00D63BD7" w:rsidRDefault="005B387E" w:rsidP="005B387E">
            <w:pPr>
              <w:jc w:val="center"/>
              <w:rPr>
                <w:rFonts w:ascii="Times" w:hAnsi="Times" w:cs="Times New Roman"/>
                <w:sz w:val="20"/>
                <w:szCs w:val="20"/>
                <w:lang w:val="en-GB"/>
              </w:rPr>
            </w:pP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 xml:space="preserve">Inclusion/Exclusion Criteria </w:t>
            </w:r>
          </w:p>
        </w:tc>
        <w:tc>
          <w:tcPr>
            <w:tcW w:w="61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309"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9" w:type="pct"/>
            <w:vAlign w:val="center"/>
          </w:tcPr>
          <w:p w:rsidR="005B387E" w:rsidRPr="00D63BD7" w:rsidRDefault="005B387E" w:rsidP="005B387E">
            <w:pPr>
              <w:jc w:val="center"/>
              <w:rPr>
                <w:rFonts w:ascii="Times" w:hAnsi="Times" w:cs="Times New Roman"/>
                <w:sz w:val="20"/>
                <w:szCs w:val="20"/>
                <w:lang w:val="en-GB"/>
              </w:rPr>
            </w:pPr>
          </w:p>
        </w:tc>
        <w:tc>
          <w:tcPr>
            <w:tcW w:w="678" w:type="pct"/>
            <w:vAlign w:val="center"/>
          </w:tcPr>
          <w:p w:rsidR="005B387E" w:rsidRPr="00D63BD7" w:rsidRDefault="005B387E" w:rsidP="005B387E">
            <w:pPr>
              <w:jc w:val="center"/>
              <w:rPr>
                <w:rFonts w:ascii="Times" w:hAnsi="Times" w:cs="Times New Roman"/>
                <w:sz w:val="20"/>
                <w:szCs w:val="20"/>
                <w:lang w:val="en-GB"/>
              </w:rPr>
            </w:pP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 xml:space="preserve">Pregnancy Test (WOCBP only) </w:t>
            </w:r>
          </w:p>
        </w:tc>
        <w:tc>
          <w:tcPr>
            <w:tcW w:w="61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 xml:space="preserve">  X*</w:t>
            </w:r>
          </w:p>
        </w:tc>
        <w:tc>
          <w:tcPr>
            <w:tcW w:w="541" w:type="pct"/>
            <w:vAlign w:val="center"/>
          </w:tcPr>
          <w:p w:rsidR="005B387E" w:rsidRPr="00D63BD7" w:rsidRDefault="005B387E" w:rsidP="005B387E">
            <w:pPr>
              <w:jc w:val="center"/>
              <w:rPr>
                <w:rFonts w:ascii="Times" w:hAnsi="Times" w:cs="Times New Roman"/>
                <w:sz w:val="20"/>
                <w:szCs w:val="20"/>
                <w:lang w:val="en-GB"/>
              </w:rPr>
            </w:pPr>
          </w:p>
        </w:tc>
        <w:tc>
          <w:tcPr>
            <w:tcW w:w="309"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9" w:type="pct"/>
            <w:vAlign w:val="center"/>
          </w:tcPr>
          <w:p w:rsidR="005B387E" w:rsidRPr="00D63BD7" w:rsidRDefault="005B387E" w:rsidP="005B387E">
            <w:pPr>
              <w:jc w:val="center"/>
              <w:rPr>
                <w:rFonts w:ascii="Times" w:hAnsi="Times" w:cs="Times New Roman"/>
                <w:sz w:val="20"/>
                <w:szCs w:val="20"/>
                <w:lang w:val="en-GB"/>
              </w:rPr>
            </w:pPr>
          </w:p>
        </w:tc>
        <w:tc>
          <w:tcPr>
            <w:tcW w:w="678" w:type="pct"/>
            <w:vAlign w:val="center"/>
          </w:tcPr>
          <w:p w:rsidR="005B387E" w:rsidRPr="00D63BD7" w:rsidRDefault="005B387E" w:rsidP="005B387E">
            <w:pPr>
              <w:jc w:val="center"/>
              <w:rPr>
                <w:rFonts w:ascii="Times" w:hAnsi="Times" w:cs="Times New Roman"/>
                <w:sz w:val="20"/>
                <w:szCs w:val="20"/>
                <w:lang w:val="en-GB"/>
              </w:rPr>
            </w:pP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 xml:space="preserve">Hepatitis B, C, and HIV test (j) </w:t>
            </w:r>
          </w:p>
        </w:tc>
        <w:tc>
          <w:tcPr>
            <w:tcW w:w="61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vAlign w:val="center"/>
          </w:tcPr>
          <w:p w:rsidR="005B387E" w:rsidRPr="00D63BD7" w:rsidRDefault="005B387E" w:rsidP="005B387E">
            <w:pPr>
              <w:jc w:val="center"/>
              <w:rPr>
                <w:rFonts w:ascii="Times" w:hAnsi="Times" w:cs="Times New Roman"/>
                <w:sz w:val="20"/>
                <w:szCs w:val="20"/>
                <w:lang w:val="en-GB"/>
              </w:rPr>
            </w:pPr>
          </w:p>
        </w:tc>
        <w:tc>
          <w:tcPr>
            <w:tcW w:w="309"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9" w:type="pct"/>
            <w:vAlign w:val="center"/>
          </w:tcPr>
          <w:p w:rsidR="005B387E" w:rsidRPr="00D63BD7" w:rsidRDefault="005B387E" w:rsidP="005B387E">
            <w:pPr>
              <w:jc w:val="center"/>
              <w:rPr>
                <w:rFonts w:ascii="Times" w:hAnsi="Times" w:cs="Times New Roman"/>
                <w:sz w:val="20"/>
                <w:szCs w:val="20"/>
                <w:lang w:val="en-GB"/>
              </w:rPr>
            </w:pPr>
          </w:p>
        </w:tc>
        <w:tc>
          <w:tcPr>
            <w:tcW w:w="678" w:type="pct"/>
            <w:vAlign w:val="center"/>
          </w:tcPr>
          <w:p w:rsidR="005B387E" w:rsidRPr="00D63BD7" w:rsidRDefault="005B387E" w:rsidP="005B387E">
            <w:pPr>
              <w:jc w:val="center"/>
              <w:rPr>
                <w:rFonts w:ascii="Times" w:hAnsi="Times" w:cs="Times New Roman"/>
                <w:sz w:val="20"/>
                <w:szCs w:val="20"/>
                <w:lang w:val="en-GB"/>
              </w:rPr>
            </w:pP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 xml:space="preserve">Demography </w:t>
            </w:r>
          </w:p>
        </w:tc>
        <w:tc>
          <w:tcPr>
            <w:tcW w:w="61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vAlign w:val="center"/>
          </w:tcPr>
          <w:p w:rsidR="005B387E" w:rsidRPr="00D63BD7" w:rsidRDefault="005B387E" w:rsidP="005B387E">
            <w:pPr>
              <w:jc w:val="center"/>
              <w:rPr>
                <w:rFonts w:ascii="Times" w:hAnsi="Times" w:cs="Times New Roman"/>
                <w:sz w:val="20"/>
                <w:szCs w:val="20"/>
                <w:lang w:val="en-GB"/>
              </w:rPr>
            </w:pPr>
          </w:p>
        </w:tc>
        <w:tc>
          <w:tcPr>
            <w:tcW w:w="309"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9" w:type="pct"/>
            <w:vAlign w:val="center"/>
          </w:tcPr>
          <w:p w:rsidR="005B387E" w:rsidRPr="00D63BD7" w:rsidRDefault="005B387E" w:rsidP="005B387E">
            <w:pPr>
              <w:jc w:val="center"/>
              <w:rPr>
                <w:rFonts w:ascii="Times" w:hAnsi="Times" w:cs="Times New Roman"/>
                <w:sz w:val="20"/>
                <w:szCs w:val="20"/>
                <w:lang w:val="en-GB"/>
              </w:rPr>
            </w:pPr>
          </w:p>
        </w:tc>
        <w:tc>
          <w:tcPr>
            <w:tcW w:w="678" w:type="pct"/>
            <w:vAlign w:val="center"/>
          </w:tcPr>
          <w:p w:rsidR="005B387E" w:rsidRPr="00D63BD7" w:rsidRDefault="005B387E" w:rsidP="005B387E">
            <w:pPr>
              <w:jc w:val="center"/>
              <w:rPr>
                <w:rFonts w:ascii="Times" w:hAnsi="Times" w:cs="Times New Roman"/>
                <w:sz w:val="20"/>
                <w:szCs w:val="20"/>
                <w:lang w:val="en-GB"/>
              </w:rPr>
            </w:pP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Medical History</w:t>
            </w:r>
          </w:p>
        </w:tc>
        <w:tc>
          <w:tcPr>
            <w:tcW w:w="61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vAlign w:val="center"/>
          </w:tcPr>
          <w:p w:rsidR="005B387E" w:rsidRPr="00D63BD7" w:rsidRDefault="005B387E" w:rsidP="005B387E">
            <w:pPr>
              <w:jc w:val="center"/>
              <w:rPr>
                <w:rFonts w:ascii="Times" w:hAnsi="Times" w:cs="Times New Roman"/>
                <w:sz w:val="20"/>
                <w:szCs w:val="20"/>
                <w:lang w:val="en-GB"/>
              </w:rPr>
            </w:pPr>
          </w:p>
        </w:tc>
        <w:tc>
          <w:tcPr>
            <w:tcW w:w="309"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9" w:type="pct"/>
            <w:vAlign w:val="center"/>
          </w:tcPr>
          <w:p w:rsidR="005B387E" w:rsidRPr="00D63BD7" w:rsidRDefault="005B387E" w:rsidP="005B387E">
            <w:pPr>
              <w:jc w:val="center"/>
              <w:rPr>
                <w:rFonts w:ascii="Times" w:hAnsi="Times" w:cs="Times New Roman"/>
                <w:sz w:val="20"/>
                <w:szCs w:val="20"/>
                <w:lang w:val="en-GB"/>
              </w:rPr>
            </w:pPr>
          </w:p>
        </w:tc>
        <w:tc>
          <w:tcPr>
            <w:tcW w:w="678" w:type="pct"/>
            <w:vAlign w:val="center"/>
          </w:tcPr>
          <w:p w:rsidR="005B387E" w:rsidRPr="00D63BD7" w:rsidRDefault="005B387E" w:rsidP="005B387E">
            <w:pPr>
              <w:jc w:val="center"/>
              <w:rPr>
                <w:rFonts w:ascii="Times" w:hAnsi="Times" w:cs="Times New Roman"/>
                <w:sz w:val="20"/>
                <w:szCs w:val="20"/>
                <w:lang w:val="en-GB"/>
              </w:rPr>
            </w:pP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Prior Medication Collection</w:t>
            </w:r>
          </w:p>
        </w:tc>
        <w:tc>
          <w:tcPr>
            <w:tcW w:w="61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vAlign w:val="center"/>
          </w:tcPr>
          <w:p w:rsidR="005B387E" w:rsidRPr="00D63BD7" w:rsidRDefault="005B387E" w:rsidP="005B387E">
            <w:pPr>
              <w:jc w:val="center"/>
              <w:rPr>
                <w:rFonts w:ascii="Times" w:hAnsi="Times" w:cs="Times New Roman"/>
                <w:sz w:val="20"/>
                <w:szCs w:val="20"/>
                <w:lang w:val="en-GB"/>
              </w:rPr>
            </w:pPr>
          </w:p>
        </w:tc>
        <w:tc>
          <w:tcPr>
            <w:tcW w:w="309"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9" w:type="pct"/>
            <w:vAlign w:val="center"/>
          </w:tcPr>
          <w:p w:rsidR="005B387E" w:rsidRPr="00D63BD7" w:rsidRDefault="005B387E" w:rsidP="005B387E">
            <w:pPr>
              <w:jc w:val="center"/>
              <w:rPr>
                <w:rFonts w:ascii="Times" w:hAnsi="Times" w:cs="Times New Roman"/>
                <w:sz w:val="20"/>
                <w:szCs w:val="20"/>
                <w:lang w:val="en-GB"/>
              </w:rPr>
            </w:pPr>
          </w:p>
        </w:tc>
        <w:tc>
          <w:tcPr>
            <w:tcW w:w="678" w:type="pct"/>
            <w:vAlign w:val="center"/>
          </w:tcPr>
          <w:p w:rsidR="005B387E" w:rsidRPr="00D63BD7" w:rsidRDefault="005B387E" w:rsidP="005B387E">
            <w:pPr>
              <w:jc w:val="center"/>
              <w:rPr>
                <w:rFonts w:ascii="Times" w:hAnsi="Times" w:cs="Times New Roman"/>
                <w:sz w:val="20"/>
                <w:szCs w:val="20"/>
                <w:lang w:val="en-GB"/>
              </w:rPr>
            </w:pP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OPL Biopsy (b)</w:t>
            </w:r>
          </w:p>
        </w:tc>
        <w:tc>
          <w:tcPr>
            <w:tcW w:w="61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vAlign w:val="center"/>
          </w:tcPr>
          <w:p w:rsidR="005B387E" w:rsidRPr="00D63BD7" w:rsidRDefault="005B387E" w:rsidP="005B387E">
            <w:pPr>
              <w:jc w:val="center"/>
              <w:rPr>
                <w:rFonts w:ascii="Times" w:hAnsi="Times" w:cs="Times New Roman"/>
                <w:sz w:val="20"/>
                <w:szCs w:val="20"/>
                <w:lang w:val="en-GB"/>
              </w:rPr>
            </w:pPr>
          </w:p>
        </w:tc>
        <w:tc>
          <w:tcPr>
            <w:tcW w:w="309"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9"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678" w:type="pct"/>
            <w:vAlign w:val="center"/>
          </w:tcPr>
          <w:p w:rsidR="005B387E" w:rsidRPr="00D63BD7" w:rsidRDefault="005B387E" w:rsidP="005B387E">
            <w:pPr>
              <w:jc w:val="center"/>
              <w:rPr>
                <w:rFonts w:ascii="Times" w:hAnsi="Times" w:cs="Times New Roman"/>
                <w:sz w:val="20"/>
                <w:szCs w:val="20"/>
                <w:lang w:val="en-GB"/>
              </w:rPr>
            </w:pP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LOH assessment (c)</w:t>
            </w:r>
          </w:p>
        </w:tc>
        <w:tc>
          <w:tcPr>
            <w:tcW w:w="61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vAlign w:val="center"/>
          </w:tcPr>
          <w:p w:rsidR="005B387E" w:rsidRPr="00D63BD7" w:rsidRDefault="005B387E" w:rsidP="005B387E">
            <w:pPr>
              <w:jc w:val="center"/>
              <w:rPr>
                <w:rFonts w:ascii="Times" w:hAnsi="Times" w:cs="Times New Roman"/>
                <w:sz w:val="20"/>
                <w:szCs w:val="20"/>
                <w:lang w:val="en-GB"/>
              </w:rPr>
            </w:pPr>
          </w:p>
        </w:tc>
        <w:tc>
          <w:tcPr>
            <w:tcW w:w="309"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9"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678" w:type="pct"/>
            <w:vAlign w:val="center"/>
          </w:tcPr>
          <w:p w:rsidR="005B387E" w:rsidRPr="00D63BD7" w:rsidRDefault="005B387E" w:rsidP="005B387E">
            <w:pPr>
              <w:jc w:val="center"/>
              <w:rPr>
                <w:rFonts w:ascii="Times" w:hAnsi="Times" w:cs="Times New Roman"/>
                <w:sz w:val="20"/>
                <w:szCs w:val="20"/>
                <w:lang w:val="en-GB"/>
              </w:rPr>
            </w:pP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Assessment of Signs and Symptoms</w:t>
            </w:r>
          </w:p>
        </w:tc>
        <w:tc>
          <w:tcPr>
            <w:tcW w:w="61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309"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64"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9"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678"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PD-L1 expression (d)</w:t>
            </w:r>
          </w:p>
        </w:tc>
        <w:tc>
          <w:tcPr>
            <w:tcW w:w="618" w:type="pct"/>
            <w:vAlign w:val="center"/>
          </w:tcPr>
          <w:p w:rsidR="005B387E" w:rsidRPr="00D63BD7" w:rsidRDefault="005B387E" w:rsidP="005B387E">
            <w:pPr>
              <w:jc w:val="center"/>
              <w:rPr>
                <w:rFonts w:ascii="Times" w:hAnsi="Times" w:cs="Times New Roman"/>
                <w:sz w:val="20"/>
                <w:szCs w:val="20"/>
                <w:lang w:val="en-GB"/>
              </w:rPr>
            </w:pPr>
          </w:p>
        </w:tc>
        <w:tc>
          <w:tcPr>
            <w:tcW w:w="541" w:type="pct"/>
            <w:vAlign w:val="center"/>
          </w:tcPr>
          <w:p w:rsidR="005B387E" w:rsidRPr="00D63BD7" w:rsidRDefault="005B387E" w:rsidP="005B387E">
            <w:pPr>
              <w:jc w:val="center"/>
              <w:rPr>
                <w:rFonts w:ascii="Times" w:hAnsi="Times" w:cs="Times New Roman"/>
                <w:sz w:val="20"/>
                <w:szCs w:val="20"/>
                <w:lang w:val="en-GB"/>
              </w:rPr>
            </w:pPr>
            <w:r>
              <w:rPr>
                <w:rFonts w:ascii="Times" w:hAnsi="Times" w:cs="Times New Roman"/>
                <w:sz w:val="20"/>
                <w:szCs w:val="20"/>
                <w:lang w:val="en-GB"/>
              </w:rPr>
              <w:t>X</w:t>
            </w:r>
          </w:p>
        </w:tc>
        <w:tc>
          <w:tcPr>
            <w:tcW w:w="309"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9" w:type="pct"/>
            <w:vAlign w:val="center"/>
          </w:tcPr>
          <w:p w:rsidR="005B387E" w:rsidRPr="00D63BD7" w:rsidRDefault="005B387E" w:rsidP="005B387E">
            <w:pPr>
              <w:jc w:val="center"/>
              <w:rPr>
                <w:rFonts w:ascii="Times" w:hAnsi="Times" w:cs="Times New Roman"/>
                <w:sz w:val="20"/>
                <w:szCs w:val="20"/>
                <w:lang w:val="en-GB"/>
              </w:rPr>
            </w:pPr>
          </w:p>
        </w:tc>
        <w:tc>
          <w:tcPr>
            <w:tcW w:w="678" w:type="pct"/>
            <w:vAlign w:val="center"/>
          </w:tcPr>
          <w:p w:rsidR="005B387E" w:rsidRPr="00D63BD7" w:rsidRDefault="005B387E" w:rsidP="005B387E">
            <w:pPr>
              <w:jc w:val="center"/>
              <w:rPr>
                <w:rFonts w:ascii="Times" w:hAnsi="Times" w:cs="Times New Roman"/>
                <w:sz w:val="20"/>
                <w:szCs w:val="20"/>
                <w:lang w:val="en-GB"/>
              </w:rPr>
            </w:pP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 xml:space="preserve">Blood and Saliva Sample for </w:t>
            </w:r>
            <w:r>
              <w:rPr>
                <w:rFonts w:ascii="Times" w:hAnsi="Times" w:cs="Times New Roman"/>
                <w:sz w:val="20"/>
                <w:szCs w:val="20"/>
                <w:lang w:val="en-GB"/>
              </w:rPr>
              <w:t>Biomarker assessments</w:t>
            </w:r>
            <w:r w:rsidRPr="00D63BD7">
              <w:rPr>
                <w:rFonts w:ascii="Times" w:hAnsi="Times" w:cs="Times New Roman"/>
                <w:sz w:val="20"/>
                <w:szCs w:val="20"/>
                <w:lang w:val="en-GB"/>
              </w:rPr>
              <w:t xml:space="preserve"> (e)</w:t>
            </w:r>
          </w:p>
        </w:tc>
        <w:tc>
          <w:tcPr>
            <w:tcW w:w="618" w:type="pct"/>
            <w:vAlign w:val="center"/>
          </w:tcPr>
          <w:p w:rsidR="005B387E" w:rsidRPr="00D63BD7" w:rsidRDefault="005B387E" w:rsidP="005B387E">
            <w:pPr>
              <w:jc w:val="center"/>
              <w:rPr>
                <w:rFonts w:ascii="Times" w:hAnsi="Times" w:cs="Times New Roman"/>
                <w:sz w:val="20"/>
                <w:szCs w:val="20"/>
                <w:lang w:val="en-GB"/>
              </w:rPr>
            </w:pPr>
          </w:p>
        </w:tc>
        <w:tc>
          <w:tcPr>
            <w:tcW w:w="541"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309"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p>
        </w:tc>
        <w:tc>
          <w:tcPr>
            <w:tcW w:w="231"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9"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678" w:type="pct"/>
            <w:vAlign w:val="center"/>
          </w:tcPr>
          <w:p w:rsidR="005B387E" w:rsidRPr="00D63BD7" w:rsidRDefault="005B387E" w:rsidP="005B387E">
            <w:pPr>
              <w:jc w:val="center"/>
              <w:rPr>
                <w:rFonts w:ascii="Times" w:hAnsi="Times" w:cs="Times New Roman"/>
                <w:sz w:val="20"/>
                <w:szCs w:val="20"/>
                <w:lang w:val="en-GB"/>
              </w:rPr>
            </w:pPr>
            <w:r>
              <w:rPr>
                <w:rFonts w:ascii="Times" w:hAnsi="Times" w:cs="Times New Roman"/>
                <w:sz w:val="20"/>
                <w:szCs w:val="20"/>
                <w:lang w:val="en-GB"/>
              </w:rPr>
              <w:t>X***</w:t>
            </w: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Physical examination</w:t>
            </w:r>
          </w:p>
        </w:tc>
        <w:tc>
          <w:tcPr>
            <w:tcW w:w="61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30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64"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67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Vital Signs and Oxygen Saturation (f)</w:t>
            </w:r>
          </w:p>
        </w:tc>
        <w:tc>
          <w:tcPr>
            <w:tcW w:w="61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30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64"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67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ECOG Performance Status</w:t>
            </w:r>
          </w:p>
        </w:tc>
        <w:tc>
          <w:tcPr>
            <w:tcW w:w="61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30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64"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67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Full Blood Count, Blood Chemistry and Urine Test (g)</w:t>
            </w:r>
          </w:p>
        </w:tc>
        <w:tc>
          <w:tcPr>
            <w:tcW w:w="61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30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64"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67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ECG 12 leads</w:t>
            </w:r>
          </w:p>
        </w:tc>
        <w:tc>
          <w:tcPr>
            <w:tcW w:w="61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 xml:space="preserve">X** </w:t>
            </w:r>
          </w:p>
        </w:tc>
        <w:tc>
          <w:tcPr>
            <w:tcW w:w="541"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309"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264"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299"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678" w:type="pct"/>
            <w:shd w:val="clear" w:color="auto" w:fill="auto"/>
            <w:vAlign w:val="center"/>
          </w:tcPr>
          <w:p w:rsidR="005B387E" w:rsidRPr="00D63BD7" w:rsidRDefault="005B387E" w:rsidP="005B387E">
            <w:pPr>
              <w:jc w:val="center"/>
              <w:rPr>
                <w:rFonts w:ascii="Times" w:hAnsi="Times" w:cs="Times New Roman"/>
                <w:sz w:val="20"/>
                <w:szCs w:val="20"/>
                <w:lang w:val="en-GB"/>
              </w:rPr>
            </w:pP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Concomitant Medication Collection</w:t>
            </w:r>
          </w:p>
        </w:tc>
        <w:tc>
          <w:tcPr>
            <w:tcW w:w="61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30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64"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67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Narrow Band Imaging Assessment (h)</w:t>
            </w:r>
          </w:p>
        </w:tc>
        <w:tc>
          <w:tcPr>
            <w:tcW w:w="61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 xml:space="preserve">  </w:t>
            </w:r>
          </w:p>
        </w:tc>
        <w:tc>
          <w:tcPr>
            <w:tcW w:w="54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309"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264"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p>
        </w:tc>
        <w:tc>
          <w:tcPr>
            <w:tcW w:w="29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67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 xml:space="preserve">AEs Assessment </w:t>
            </w:r>
          </w:p>
        </w:tc>
        <w:tc>
          <w:tcPr>
            <w:tcW w:w="61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54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30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64"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99"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678" w:type="pct"/>
            <w:shd w:val="clear" w:color="auto" w:fill="auto"/>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r>
      <w:tr w:rsidR="005B387E" w:rsidRPr="00D63BD7" w:rsidTr="005B387E">
        <w:tc>
          <w:tcPr>
            <w:tcW w:w="1233" w:type="pct"/>
          </w:tcPr>
          <w:p w:rsidR="005B387E" w:rsidRPr="00D63BD7" w:rsidRDefault="005B387E" w:rsidP="005B387E">
            <w:pPr>
              <w:rPr>
                <w:rFonts w:ascii="Times" w:hAnsi="Times" w:cs="Times New Roman"/>
                <w:sz w:val="20"/>
                <w:szCs w:val="20"/>
                <w:lang w:val="en-GB"/>
              </w:rPr>
            </w:pPr>
            <w:r w:rsidRPr="00D63BD7">
              <w:rPr>
                <w:rFonts w:ascii="Times" w:hAnsi="Times" w:cs="Times New Roman"/>
                <w:sz w:val="20"/>
                <w:szCs w:val="20"/>
                <w:lang w:val="en-GB"/>
              </w:rPr>
              <w:t>Avelumab Administration (</w:t>
            </w:r>
            <w:proofErr w:type="spellStart"/>
            <w:r w:rsidRPr="00D63BD7">
              <w:rPr>
                <w:rFonts w:ascii="Times" w:hAnsi="Times" w:cs="Times New Roman"/>
                <w:sz w:val="20"/>
                <w:szCs w:val="20"/>
                <w:lang w:val="en-GB"/>
              </w:rPr>
              <w:t>i</w:t>
            </w:r>
            <w:proofErr w:type="spellEnd"/>
            <w:r w:rsidRPr="00D63BD7">
              <w:rPr>
                <w:rFonts w:ascii="Times" w:hAnsi="Times" w:cs="Times New Roman"/>
                <w:sz w:val="20"/>
                <w:szCs w:val="20"/>
                <w:lang w:val="en-GB"/>
              </w:rPr>
              <w:t xml:space="preserve">) </w:t>
            </w:r>
          </w:p>
        </w:tc>
        <w:tc>
          <w:tcPr>
            <w:tcW w:w="618" w:type="pct"/>
            <w:vAlign w:val="center"/>
          </w:tcPr>
          <w:p w:rsidR="005B387E" w:rsidRPr="00D63BD7" w:rsidRDefault="005B387E" w:rsidP="005B387E">
            <w:pPr>
              <w:jc w:val="center"/>
              <w:rPr>
                <w:rFonts w:ascii="Times" w:hAnsi="Times" w:cs="Times New Roman"/>
                <w:sz w:val="20"/>
                <w:szCs w:val="20"/>
                <w:lang w:val="en-GB"/>
              </w:rPr>
            </w:pPr>
          </w:p>
        </w:tc>
        <w:tc>
          <w:tcPr>
            <w:tcW w:w="541"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309"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31" w:type="pct"/>
            <w:vAlign w:val="center"/>
          </w:tcPr>
          <w:p w:rsidR="005B387E" w:rsidRPr="00D63BD7" w:rsidRDefault="005B387E" w:rsidP="005B387E">
            <w:pPr>
              <w:jc w:val="center"/>
              <w:rPr>
                <w:rFonts w:ascii="Times" w:hAnsi="Times" w:cs="Times New Roman"/>
                <w:sz w:val="20"/>
                <w:szCs w:val="20"/>
                <w:lang w:val="en-GB"/>
              </w:rPr>
            </w:pPr>
            <w:r w:rsidRPr="00D63BD7">
              <w:rPr>
                <w:rFonts w:ascii="Times" w:hAnsi="Times" w:cs="Times New Roman"/>
                <w:sz w:val="20"/>
                <w:szCs w:val="20"/>
                <w:lang w:val="en-GB"/>
              </w:rPr>
              <w:t>X</w:t>
            </w:r>
          </w:p>
        </w:tc>
        <w:tc>
          <w:tcPr>
            <w:tcW w:w="264"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8" w:type="pct"/>
            <w:vAlign w:val="center"/>
          </w:tcPr>
          <w:p w:rsidR="005B387E" w:rsidRPr="00D63BD7" w:rsidRDefault="005B387E" w:rsidP="005B387E">
            <w:pPr>
              <w:jc w:val="center"/>
              <w:rPr>
                <w:rFonts w:ascii="Times" w:hAnsi="Times" w:cs="Times New Roman"/>
                <w:sz w:val="20"/>
                <w:szCs w:val="20"/>
                <w:lang w:val="en-GB"/>
              </w:rPr>
            </w:pPr>
          </w:p>
        </w:tc>
        <w:tc>
          <w:tcPr>
            <w:tcW w:w="299" w:type="pct"/>
            <w:vAlign w:val="center"/>
          </w:tcPr>
          <w:p w:rsidR="005B387E" w:rsidRPr="00D63BD7" w:rsidRDefault="005B387E" w:rsidP="005B387E">
            <w:pPr>
              <w:jc w:val="center"/>
              <w:rPr>
                <w:rFonts w:ascii="Times" w:hAnsi="Times" w:cs="Times New Roman"/>
                <w:sz w:val="20"/>
                <w:szCs w:val="20"/>
                <w:lang w:val="en-GB"/>
              </w:rPr>
            </w:pPr>
          </w:p>
        </w:tc>
        <w:tc>
          <w:tcPr>
            <w:tcW w:w="678" w:type="pct"/>
            <w:vAlign w:val="center"/>
          </w:tcPr>
          <w:p w:rsidR="005B387E" w:rsidRPr="00D63BD7" w:rsidRDefault="005B387E" w:rsidP="005B387E">
            <w:pPr>
              <w:jc w:val="center"/>
              <w:rPr>
                <w:rFonts w:ascii="Times" w:hAnsi="Times" w:cs="Times New Roman"/>
                <w:sz w:val="20"/>
                <w:szCs w:val="20"/>
                <w:lang w:val="en-GB"/>
              </w:rPr>
            </w:pPr>
          </w:p>
        </w:tc>
      </w:tr>
    </w:tbl>
    <w:p w:rsidR="005B387E" w:rsidRDefault="005B387E" w:rsidP="005B387E">
      <w:pPr>
        <w:pStyle w:val="Titolo2"/>
        <w:numPr>
          <w:ilvl w:val="0"/>
          <w:numId w:val="0"/>
        </w:numPr>
        <w:ind w:left="576" w:hanging="576"/>
        <w:rPr>
          <w:lang w:val="en-GB"/>
        </w:rPr>
      </w:pPr>
      <w:bookmarkStart w:id="5" w:name="_Toc34236841"/>
      <w:bookmarkEnd w:id="1"/>
      <w:r w:rsidRPr="00D63BD7">
        <w:rPr>
          <w:lang w:val="en-GB"/>
        </w:rPr>
        <w:t>Flow Chart/Time and Events Schedule</w:t>
      </w:r>
      <w:bookmarkEnd w:id="5"/>
    </w:p>
    <w:p w:rsidR="005B387E" w:rsidRDefault="005B387E" w:rsidP="005B387E">
      <w:pPr>
        <w:spacing w:line="276" w:lineRule="auto"/>
        <w:rPr>
          <w:rFonts w:ascii="Times" w:hAnsi="Times" w:cs="Times New Roman"/>
          <w:sz w:val="20"/>
          <w:szCs w:val="20"/>
          <w:lang w:val="en-GB"/>
        </w:rPr>
      </w:pPr>
    </w:p>
    <w:p w:rsidR="005B387E" w:rsidRPr="00D63BD7" w:rsidRDefault="005B387E" w:rsidP="005B387E">
      <w:pPr>
        <w:spacing w:line="276" w:lineRule="auto"/>
        <w:rPr>
          <w:rFonts w:ascii="Times" w:hAnsi="Times" w:cs="Times New Roman"/>
          <w:sz w:val="20"/>
          <w:szCs w:val="20"/>
          <w:lang w:val="en-GB"/>
        </w:rPr>
      </w:pPr>
      <w:r w:rsidRPr="00D63BD7">
        <w:rPr>
          <w:rFonts w:ascii="Times" w:hAnsi="Times" w:cs="Times New Roman"/>
          <w:sz w:val="20"/>
          <w:szCs w:val="20"/>
          <w:lang w:val="en-GB"/>
        </w:rPr>
        <w:t xml:space="preserve">* Within 24 hours prior to the initial administration of study drug at baseline. </w:t>
      </w:r>
    </w:p>
    <w:p w:rsidR="005B387E" w:rsidRDefault="005B387E" w:rsidP="005B387E">
      <w:pPr>
        <w:spacing w:line="276" w:lineRule="auto"/>
        <w:rPr>
          <w:rFonts w:ascii="Times" w:hAnsi="Times" w:cs="Times New Roman"/>
          <w:sz w:val="20"/>
          <w:szCs w:val="20"/>
          <w:lang w:val="en-GB"/>
        </w:rPr>
      </w:pPr>
      <w:r w:rsidRPr="00D63BD7">
        <w:rPr>
          <w:rFonts w:ascii="Times" w:hAnsi="Times" w:cs="Times New Roman"/>
          <w:sz w:val="20"/>
          <w:szCs w:val="20"/>
          <w:lang w:val="en-GB"/>
        </w:rPr>
        <w:t xml:space="preserve">** Within 14 days prior to the initial administration of study drug at baseline. </w:t>
      </w:r>
    </w:p>
    <w:p w:rsidR="005B387E" w:rsidRPr="00D63BD7" w:rsidRDefault="005B387E" w:rsidP="005B387E">
      <w:pPr>
        <w:spacing w:line="276" w:lineRule="auto"/>
        <w:rPr>
          <w:rFonts w:ascii="Times" w:hAnsi="Times" w:cs="Times New Roman"/>
          <w:sz w:val="20"/>
          <w:szCs w:val="20"/>
          <w:lang w:val="en-GB"/>
        </w:rPr>
      </w:pPr>
      <w:r>
        <w:rPr>
          <w:rFonts w:ascii="Times" w:hAnsi="Times" w:cs="Times New Roman"/>
          <w:sz w:val="20"/>
          <w:szCs w:val="20"/>
          <w:lang w:val="en-GB"/>
        </w:rPr>
        <w:t>***To be performed if OPL malignant transformation is confirmed.</w:t>
      </w:r>
    </w:p>
    <w:p w:rsidR="005B387E" w:rsidRPr="00D63BD7" w:rsidRDefault="005B387E" w:rsidP="005B387E">
      <w:pPr>
        <w:spacing w:line="276" w:lineRule="auto"/>
        <w:rPr>
          <w:rFonts w:ascii="Times" w:hAnsi="Times" w:cs="Times New Roman"/>
          <w:sz w:val="20"/>
          <w:szCs w:val="20"/>
          <w:lang w:val="en-GB"/>
        </w:rPr>
      </w:pPr>
    </w:p>
    <w:p w:rsidR="005B387E" w:rsidRPr="00D63BD7" w:rsidRDefault="005B387E" w:rsidP="005B387E">
      <w:pPr>
        <w:numPr>
          <w:ilvl w:val="0"/>
          <w:numId w:val="1"/>
        </w:numPr>
        <w:spacing w:line="276" w:lineRule="auto"/>
        <w:rPr>
          <w:rFonts w:ascii="Times" w:hAnsi="Times" w:cs="Times New Roman"/>
          <w:sz w:val="20"/>
          <w:szCs w:val="20"/>
          <w:lang w:val="en-GB"/>
        </w:rPr>
      </w:pPr>
      <w:bookmarkStart w:id="6" w:name="_Hlk31290565"/>
      <w:r w:rsidRPr="00D63BD7">
        <w:rPr>
          <w:rFonts w:ascii="Times" w:hAnsi="Times" w:cs="Times New Roman"/>
          <w:sz w:val="20"/>
          <w:szCs w:val="20"/>
          <w:lang w:val="en-GB"/>
        </w:rPr>
        <w:t xml:space="preserve">(a)  A signed, written informed consent form must be obtained from the patient prior to any study-specific procedures or </w:t>
      </w:r>
      <w:proofErr w:type="gramStart"/>
      <w:r w:rsidRPr="00D63BD7">
        <w:rPr>
          <w:rFonts w:ascii="Times" w:hAnsi="Times" w:cs="Times New Roman"/>
          <w:sz w:val="20"/>
          <w:szCs w:val="20"/>
          <w:lang w:val="en-GB"/>
        </w:rPr>
        <w:t>assessments;</w:t>
      </w:r>
      <w:proofErr w:type="gramEnd"/>
      <w:r w:rsidRPr="00D63BD7">
        <w:rPr>
          <w:rFonts w:ascii="Times" w:hAnsi="Times" w:cs="Times New Roman"/>
          <w:sz w:val="20"/>
          <w:szCs w:val="20"/>
          <w:lang w:val="en-GB"/>
        </w:rPr>
        <w:t xml:space="preserve"> </w:t>
      </w:r>
    </w:p>
    <w:p w:rsidR="005B387E" w:rsidRPr="00D63BD7" w:rsidRDefault="005B387E" w:rsidP="005B387E">
      <w:pPr>
        <w:numPr>
          <w:ilvl w:val="0"/>
          <w:numId w:val="1"/>
        </w:numPr>
        <w:spacing w:line="276" w:lineRule="auto"/>
        <w:rPr>
          <w:rFonts w:ascii="Times" w:hAnsi="Times" w:cs="Times New Roman"/>
          <w:sz w:val="20"/>
          <w:szCs w:val="20"/>
          <w:lang w:val="en-GB"/>
        </w:rPr>
      </w:pPr>
      <w:r w:rsidRPr="00D63BD7">
        <w:rPr>
          <w:rFonts w:ascii="Times" w:hAnsi="Times" w:cs="Times New Roman"/>
          <w:sz w:val="20"/>
          <w:szCs w:val="20"/>
          <w:lang w:val="en-GB"/>
        </w:rPr>
        <w:t xml:space="preserve">(b)  Sufficient evaluable OPL tissue obtained before the start of study drug treatment and 6 months after the first drug administration (block or minimum of 10 slides containing a minimum of 100 evaluable OPL cells obtained from core biopsy, punch biopsy, excisional biopsy or surgical specimen; a fine needle biopsy or brushing are not sufficient). </w:t>
      </w:r>
    </w:p>
    <w:p w:rsidR="005B387E" w:rsidRPr="00D63BD7" w:rsidRDefault="005B387E" w:rsidP="005B387E">
      <w:pPr>
        <w:spacing w:line="276" w:lineRule="auto"/>
        <w:ind w:left="720"/>
        <w:rPr>
          <w:rFonts w:ascii="Times" w:hAnsi="Times" w:cs="Times New Roman"/>
          <w:sz w:val="20"/>
          <w:szCs w:val="20"/>
          <w:lang w:val="en-GB"/>
        </w:rPr>
      </w:pPr>
      <w:r w:rsidRPr="00D63BD7">
        <w:rPr>
          <w:rFonts w:ascii="Times" w:hAnsi="Times" w:cs="Times New Roman"/>
          <w:sz w:val="20"/>
          <w:szCs w:val="20"/>
          <w:lang w:val="en-GB"/>
        </w:rPr>
        <w:lastRenderedPageBreak/>
        <w:t xml:space="preserve">If feasible, 6 months after the beginning of study drug treatment a complete resection of OPL will be performed. </w:t>
      </w:r>
    </w:p>
    <w:p w:rsidR="005B387E" w:rsidRPr="00D63BD7" w:rsidRDefault="005B387E" w:rsidP="005B387E">
      <w:pPr>
        <w:numPr>
          <w:ilvl w:val="0"/>
          <w:numId w:val="1"/>
        </w:numPr>
        <w:spacing w:line="276" w:lineRule="auto"/>
        <w:rPr>
          <w:rFonts w:ascii="Times" w:hAnsi="Times" w:cs="Times New Roman"/>
          <w:sz w:val="20"/>
          <w:szCs w:val="20"/>
          <w:lang w:val="en-GB"/>
        </w:rPr>
      </w:pPr>
      <w:r w:rsidRPr="00D63BD7">
        <w:rPr>
          <w:rFonts w:ascii="Times" w:hAnsi="Times" w:cs="Times New Roman"/>
          <w:sz w:val="20"/>
          <w:szCs w:val="20"/>
          <w:lang w:val="en-GB"/>
        </w:rPr>
        <w:t>(c)  LOH assessment. The following analysis will be performed to define LOH positivity: LOH at 3p14 and/or 9p21 plus at least at one additional chromosomal site (4q, 8p,11p,13q, or 17p) or patients with a prior oral cancer history and LOH at 3p14 and/or 9p21 (LOH defined according to EPOC trial).</w:t>
      </w:r>
    </w:p>
    <w:p w:rsidR="005B387E" w:rsidRPr="00D63BD7" w:rsidRDefault="005B387E" w:rsidP="005B387E">
      <w:pPr>
        <w:numPr>
          <w:ilvl w:val="0"/>
          <w:numId w:val="1"/>
        </w:numPr>
        <w:spacing w:line="276" w:lineRule="auto"/>
        <w:rPr>
          <w:rFonts w:ascii="Times" w:hAnsi="Times" w:cs="Times New Roman"/>
          <w:sz w:val="20"/>
          <w:szCs w:val="20"/>
          <w:lang w:val="en-GB"/>
        </w:rPr>
      </w:pPr>
      <w:r w:rsidRPr="00D63BD7">
        <w:rPr>
          <w:rFonts w:ascii="Times" w:hAnsi="Times" w:cs="Times New Roman"/>
          <w:sz w:val="20"/>
          <w:szCs w:val="20"/>
          <w:lang w:val="en-GB"/>
        </w:rPr>
        <w:t>(d)  PD-L1 expression by OPL cells will be measured by immunohistochemical analysis of formalin-fixed, paraffin-embedded blocks or slides.</w:t>
      </w:r>
    </w:p>
    <w:p w:rsidR="005B387E" w:rsidRPr="00D63BD7" w:rsidRDefault="005B387E" w:rsidP="005B387E">
      <w:pPr>
        <w:numPr>
          <w:ilvl w:val="0"/>
          <w:numId w:val="1"/>
        </w:numPr>
        <w:spacing w:line="276" w:lineRule="auto"/>
        <w:rPr>
          <w:rFonts w:ascii="Times" w:hAnsi="Times" w:cs="Times New Roman"/>
          <w:sz w:val="20"/>
          <w:szCs w:val="20"/>
          <w:lang w:val="en-GB"/>
        </w:rPr>
      </w:pPr>
      <w:r w:rsidRPr="00D63BD7">
        <w:rPr>
          <w:rFonts w:ascii="Times" w:hAnsi="Times" w:cs="Times New Roman"/>
          <w:sz w:val="20"/>
          <w:szCs w:val="20"/>
          <w:lang w:val="en-GB"/>
        </w:rPr>
        <w:t>(e)  Blood (</w:t>
      </w:r>
      <w:r>
        <w:rPr>
          <w:rFonts w:ascii="Times" w:hAnsi="Times" w:cs="Times New Roman"/>
          <w:sz w:val="20"/>
          <w:szCs w:val="20"/>
          <w:lang w:val="en-GB"/>
        </w:rPr>
        <w:t xml:space="preserve">about </w:t>
      </w:r>
      <w:r w:rsidRPr="00D63BD7">
        <w:rPr>
          <w:rFonts w:ascii="Times" w:hAnsi="Times" w:cs="Times New Roman"/>
          <w:sz w:val="20"/>
          <w:szCs w:val="20"/>
          <w:lang w:val="en-GB"/>
        </w:rPr>
        <w:t>20 mL) and saliva sample (</w:t>
      </w:r>
      <w:r>
        <w:rPr>
          <w:rFonts w:ascii="Times" w:hAnsi="Times" w:cs="Times New Roman"/>
          <w:sz w:val="20"/>
          <w:szCs w:val="20"/>
          <w:lang w:val="en-GB"/>
        </w:rPr>
        <w:t xml:space="preserve">about </w:t>
      </w:r>
      <w:r w:rsidRPr="00D63BD7">
        <w:rPr>
          <w:rFonts w:ascii="Times" w:hAnsi="Times" w:cs="Times New Roman"/>
          <w:sz w:val="20"/>
          <w:szCs w:val="20"/>
          <w:lang w:val="en-GB"/>
        </w:rPr>
        <w:t>5 ml) at baseline, just after the 4</w:t>
      </w:r>
      <w:r w:rsidRPr="00D63BD7">
        <w:rPr>
          <w:rFonts w:ascii="Times" w:hAnsi="Times" w:cs="Times New Roman"/>
          <w:sz w:val="20"/>
          <w:szCs w:val="20"/>
          <w:vertAlign w:val="superscript"/>
          <w:lang w:val="en-GB"/>
        </w:rPr>
        <w:t>th</w:t>
      </w:r>
      <w:r w:rsidRPr="00D63BD7">
        <w:rPr>
          <w:rFonts w:ascii="Times" w:hAnsi="Times" w:cs="Times New Roman"/>
          <w:sz w:val="20"/>
          <w:szCs w:val="20"/>
          <w:lang w:val="en-GB"/>
        </w:rPr>
        <w:t xml:space="preserve"> administration of the drug</w:t>
      </w:r>
      <w:r>
        <w:rPr>
          <w:rFonts w:ascii="Times" w:hAnsi="Times" w:cs="Times New Roman"/>
          <w:sz w:val="20"/>
          <w:szCs w:val="20"/>
          <w:lang w:val="en-GB"/>
        </w:rPr>
        <w:t>,</w:t>
      </w:r>
      <w:r w:rsidRPr="00D63BD7">
        <w:rPr>
          <w:rFonts w:ascii="Times" w:hAnsi="Times" w:cs="Times New Roman"/>
          <w:sz w:val="20"/>
          <w:szCs w:val="20"/>
          <w:lang w:val="en-GB"/>
        </w:rPr>
        <w:t xml:space="preserve"> 6 months after start of treatment</w:t>
      </w:r>
      <w:r>
        <w:rPr>
          <w:rFonts w:ascii="Times" w:hAnsi="Times" w:cs="Times New Roman"/>
          <w:sz w:val="20"/>
          <w:szCs w:val="20"/>
          <w:lang w:val="en-GB"/>
        </w:rPr>
        <w:t xml:space="preserve"> and at OPL malignant transformation</w:t>
      </w:r>
      <w:r w:rsidRPr="00D63BD7">
        <w:rPr>
          <w:rFonts w:ascii="Times" w:hAnsi="Times" w:cs="Times New Roman"/>
          <w:sz w:val="20"/>
          <w:szCs w:val="20"/>
          <w:lang w:val="en-GB"/>
        </w:rPr>
        <w:t xml:space="preserve">. Detailed instructions of the obtaining, processing, labelling, handling, storage and shipment of specimens will be provided in a separate Work Instruction at the time of study initiation. </w:t>
      </w:r>
    </w:p>
    <w:p w:rsidR="005B387E" w:rsidRPr="00D63BD7" w:rsidRDefault="005B387E" w:rsidP="005B387E">
      <w:pPr>
        <w:numPr>
          <w:ilvl w:val="0"/>
          <w:numId w:val="1"/>
        </w:numPr>
        <w:spacing w:line="276" w:lineRule="auto"/>
        <w:rPr>
          <w:rFonts w:ascii="Times" w:hAnsi="Times" w:cs="Times New Roman"/>
          <w:sz w:val="20"/>
          <w:szCs w:val="20"/>
          <w:lang w:val="en-GB"/>
        </w:rPr>
      </w:pPr>
      <w:r w:rsidRPr="00D63BD7">
        <w:rPr>
          <w:rFonts w:ascii="Times" w:hAnsi="Times" w:cs="Times New Roman"/>
          <w:sz w:val="20"/>
          <w:szCs w:val="20"/>
          <w:lang w:val="en-GB"/>
        </w:rPr>
        <w:t xml:space="preserve">(f)  Including blood pressure, heart rate, temperature, and oxygen saturation by pulse oximetry (at rest). Obtain vital signs at the screening visit and within 72 hours prior to the first dose. </w:t>
      </w:r>
    </w:p>
    <w:p w:rsidR="005B387E" w:rsidRPr="00D63BD7" w:rsidRDefault="005B387E" w:rsidP="005B387E">
      <w:pPr>
        <w:numPr>
          <w:ilvl w:val="0"/>
          <w:numId w:val="1"/>
        </w:numPr>
        <w:spacing w:line="276" w:lineRule="auto"/>
        <w:rPr>
          <w:rFonts w:ascii="Times" w:hAnsi="Times" w:cs="Times New Roman"/>
          <w:sz w:val="20"/>
          <w:szCs w:val="20"/>
          <w:lang w:val="en-GB"/>
        </w:rPr>
      </w:pPr>
      <w:r w:rsidRPr="00D63BD7">
        <w:rPr>
          <w:rFonts w:ascii="Times" w:hAnsi="Times" w:cs="Times New Roman"/>
          <w:sz w:val="20"/>
          <w:szCs w:val="20"/>
          <w:lang w:val="en-GB"/>
        </w:rPr>
        <w:t xml:space="preserve">(g)  CBC w/differential, LFTs (ALT, AST, total bilirubin, alkaline phosphatase), BUN or serum urea level, creatinine, Ca, Mg, Na, K, Cl, LDH, CK, CRP, glucose, amylase, lipase, TSH with reflexive Free T4, Free T3, ACTH (only at visit 1) and urine chemical-physical examination. On-study local laboratory assessments should be done within 72 hours prior to each dose. </w:t>
      </w:r>
    </w:p>
    <w:p w:rsidR="005B387E" w:rsidRPr="00D63BD7" w:rsidRDefault="005B387E" w:rsidP="005B387E">
      <w:pPr>
        <w:numPr>
          <w:ilvl w:val="0"/>
          <w:numId w:val="1"/>
        </w:numPr>
        <w:spacing w:line="276" w:lineRule="auto"/>
        <w:rPr>
          <w:rFonts w:ascii="Times" w:hAnsi="Times" w:cs="Times New Roman"/>
          <w:sz w:val="20"/>
          <w:szCs w:val="20"/>
          <w:lang w:val="en-GB"/>
        </w:rPr>
      </w:pPr>
      <w:r w:rsidRPr="00D63BD7">
        <w:rPr>
          <w:rFonts w:ascii="Times" w:hAnsi="Times" w:cs="Times New Roman"/>
          <w:sz w:val="20"/>
          <w:szCs w:val="20"/>
          <w:lang w:val="en-GB"/>
        </w:rPr>
        <w:t>(h)  Narrow band imaging (optional in selected centres)</w:t>
      </w:r>
    </w:p>
    <w:p w:rsidR="005B387E" w:rsidRPr="00D63BD7" w:rsidRDefault="005B387E" w:rsidP="005B387E">
      <w:pPr>
        <w:numPr>
          <w:ilvl w:val="0"/>
          <w:numId w:val="1"/>
        </w:numPr>
        <w:spacing w:line="276" w:lineRule="auto"/>
        <w:rPr>
          <w:rFonts w:ascii="Times" w:hAnsi="Times" w:cs="Times New Roman"/>
          <w:sz w:val="20"/>
          <w:szCs w:val="20"/>
          <w:lang w:val="en-GB"/>
        </w:rPr>
      </w:pPr>
      <w:r w:rsidRPr="00D63BD7">
        <w:rPr>
          <w:rFonts w:ascii="Times" w:hAnsi="Times" w:cs="Times New Roman"/>
          <w:sz w:val="20"/>
          <w:szCs w:val="20"/>
          <w:lang w:val="en-GB"/>
        </w:rPr>
        <w:t>(</w:t>
      </w:r>
      <w:proofErr w:type="spellStart"/>
      <w:r w:rsidRPr="00D63BD7">
        <w:rPr>
          <w:rFonts w:ascii="Times" w:hAnsi="Times" w:cs="Times New Roman"/>
          <w:sz w:val="20"/>
          <w:szCs w:val="20"/>
          <w:lang w:val="en-GB"/>
        </w:rPr>
        <w:t>i</w:t>
      </w:r>
      <w:proofErr w:type="spellEnd"/>
      <w:r w:rsidRPr="00D63BD7">
        <w:rPr>
          <w:rFonts w:ascii="Times" w:hAnsi="Times" w:cs="Times New Roman"/>
          <w:sz w:val="20"/>
          <w:szCs w:val="20"/>
          <w:lang w:val="en-GB"/>
        </w:rPr>
        <w:t xml:space="preserve">)  Avelumab monotherapy at 800 mg every 2 weeks as a 60-minute IV infusion on Day 1 of a treatment cycle every 2 weeks (14 days) up to a total of 4 administrations. Subjects may be dosed no less than 12 days between doses. </w:t>
      </w:r>
    </w:p>
    <w:p w:rsidR="005B387E" w:rsidRPr="00D63BD7" w:rsidRDefault="005B387E" w:rsidP="005B387E">
      <w:pPr>
        <w:numPr>
          <w:ilvl w:val="0"/>
          <w:numId w:val="1"/>
        </w:numPr>
        <w:spacing w:line="276" w:lineRule="auto"/>
        <w:rPr>
          <w:rFonts w:ascii="Times" w:hAnsi="Times" w:cs="Times New Roman"/>
          <w:lang w:val="en-GB"/>
        </w:rPr>
      </w:pPr>
      <w:r w:rsidRPr="00D63BD7">
        <w:rPr>
          <w:rFonts w:ascii="Times" w:hAnsi="Times" w:cs="Times New Roman"/>
          <w:sz w:val="20"/>
          <w:szCs w:val="20"/>
          <w:lang w:val="en-GB"/>
        </w:rPr>
        <w:t xml:space="preserve">(j)  Hepatitis B surface antigen (HBV </w:t>
      </w:r>
      <w:proofErr w:type="spellStart"/>
      <w:r w:rsidRPr="00D63BD7">
        <w:rPr>
          <w:rFonts w:ascii="Times" w:hAnsi="Times" w:cs="Times New Roman"/>
          <w:sz w:val="20"/>
          <w:szCs w:val="20"/>
          <w:lang w:val="en-GB"/>
        </w:rPr>
        <w:t>sAg</w:t>
      </w:r>
      <w:proofErr w:type="spellEnd"/>
      <w:r w:rsidRPr="00D63BD7">
        <w:rPr>
          <w:rFonts w:ascii="Times" w:hAnsi="Times" w:cs="Times New Roman"/>
          <w:sz w:val="20"/>
          <w:szCs w:val="20"/>
          <w:lang w:val="en-GB"/>
        </w:rPr>
        <w:t>), and hepatitis C antibody (HCV Ab) or hepatitis C RNA (HCV RNA). Subjects who test positive for hepatitis C but test negative for ribonucleic acid are allowed to enrol.</w:t>
      </w:r>
      <w:r w:rsidRPr="00D63BD7">
        <w:rPr>
          <w:rFonts w:ascii="Times" w:hAnsi="Times" w:cs="Times New Roman"/>
          <w:lang w:val="en-GB"/>
        </w:rPr>
        <w:t xml:space="preserve"> </w:t>
      </w:r>
    </w:p>
    <w:bookmarkEnd w:id="6"/>
    <w:p w:rsidR="005B387E" w:rsidRPr="005B387E" w:rsidRDefault="005B387E">
      <w:pPr>
        <w:rPr>
          <w:lang w:val="en-US"/>
        </w:rPr>
      </w:pPr>
    </w:p>
    <w:sectPr w:rsidR="005B387E" w:rsidRPr="005B387E" w:rsidSect="00041F7A">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B5254BB"/>
    <w:multiLevelType w:val="multilevel"/>
    <w:tmpl w:val="8530FE4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1855"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87E"/>
    <w:rsid w:val="00041F7A"/>
    <w:rsid w:val="005B387E"/>
    <w:rsid w:val="009127C1"/>
    <w:rsid w:val="00E02A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F6CB637"/>
  <w15:chartTrackingRefBased/>
  <w15:docId w15:val="{91B3953F-3B85-BC4F-8DB3-A25303D6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387E"/>
    <w:rPr>
      <w:rFonts w:eastAsiaTheme="minorEastAsia"/>
      <w:lang w:eastAsia="it-IT"/>
    </w:rPr>
  </w:style>
  <w:style w:type="paragraph" w:styleId="Titolo1">
    <w:name w:val="heading 1"/>
    <w:basedOn w:val="Normale"/>
    <w:next w:val="Normale"/>
    <w:link w:val="Titolo1Carattere"/>
    <w:uiPriority w:val="9"/>
    <w:qFormat/>
    <w:rsid w:val="005B387E"/>
    <w:pPr>
      <w:keepNext/>
      <w:pageBreakBefore/>
      <w:widowControl w:val="0"/>
      <w:numPr>
        <w:numId w:val="2"/>
      </w:numPr>
      <w:tabs>
        <w:tab w:val="left" w:pos="1271"/>
      </w:tabs>
      <w:kinsoku w:val="0"/>
      <w:overflowPunct w:val="0"/>
      <w:autoSpaceDE w:val="0"/>
      <w:autoSpaceDN w:val="0"/>
      <w:adjustRightInd w:val="0"/>
      <w:spacing w:before="480" w:after="240"/>
      <w:jc w:val="both"/>
      <w:outlineLvl w:val="0"/>
    </w:pPr>
    <w:rPr>
      <w:rFonts w:ascii="Times" w:hAnsi="Times" w:cs="Arial"/>
      <w:b/>
      <w:bCs/>
      <w:lang w:val="en-US"/>
    </w:rPr>
  </w:style>
  <w:style w:type="paragraph" w:styleId="Titolo2">
    <w:name w:val="heading 2"/>
    <w:basedOn w:val="Paragrafoelenco"/>
    <w:next w:val="Normale"/>
    <w:link w:val="Titolo2Carattere"/>
    <w:autoRedefine/>
    <w:uiPriority w:val="9"/>
    <w:unhideWhenUsed/>
    <w:qFormat/>
    <w:rsid w:val="005B387E"/>
    <w:pPr>
      <w:keepNext/>
      <w:widowControl w:val="0"/>
      <w:numPr>
        <w:ilvl w:val="1"/>
        <w:numId w:val="2"/>
      </w:numPr>
      <w:tabs>
        <w:tab w:val="left" w:pos="220"/>
        <w:tab w:val="left" w:pos="720"/>
      </w:tabs>
      <w:autoSpaceDE w:val="0"/>
      <w:autoSpaceDN w:val="0"/>
      <w:adjustRightInd w:val="0"/>
      <w:spacing w:after="240" w:line="360" w:lineRule="atLeast"/>
      <w:outlineLvl w:val="1"/>
    </w:pPr>
    <w:rPr>
      <w:rFonts w:ascii="Times" w:hAnsi="Times" w:cs="Times New Roman"/>
      <w:b/>
      <w:lang w:val="en-US"/>
    </w:rPr>
  </w:style>
  <w:style w:type="paragraph" w:styleId="Titolo3">
    <w:name w:val="heading 3"/>
    <w:basedOn w:val="Normale"/>
    <w:next w:val="Normale"/>
    <w:link w:val="Titolo3Carattere"/>
    <w:autoRedefine/>
    <w:uiPriority w:val="9"/>
    <w:unhideWhenUsed/>
    <w:qFormat/>
    <w:rsid w:val="005B387E"/>
    <w:pPr>
      <w:keepNext/>
      <w:widowControl w:val="0"/>
      <w:numPr>
        <w:ilvl w:val="2"/>
        <w:numId w:val="2"/>
      </w:numPr>
      <w:kinsoku w:val="0"/>
      <w:overflowPunct w:val="0"/>
      <w:autoSpaceDE w:val="0"/>
      <w:autoSpaceDN w:val="0"/>
      <w:adjustRightInd w:val="0"/>
      <w:spacing w:before="240" w:after="120"/>
      <w:jc w:val="both"/>
      <w:outlineLvl w:val="2"/>
    </w:pPr>
    <w:rPr>
      <w:rFonts w:ascii="Times New Roman" w:hAnsi="Times New Roman" w:cs="Times New Roman"/>
      <w:b/>
      <w:bCs/>
      <w:i/>
      <w:iCs/>
      <w:lang w:val="en-GB"/>
    </w:rPr>
  </w:style>
  <w:style w:type="paragraph" w:styleId="Titolo4">
    <w:name w:val="heading 4"/>
    <w:basedOn w:val="Normale"/>
    <w:next w:val="Normale"/>
    <w:link w:val="Titolo4Carattere"/>
    <w:uiPriority w:val="9"/>
    <w:unhideWhenUsed/>
    <w:qFormat/>
    <w:rsid w:val="005B387E"/>
    <w:pPr>
      <w:widowControl w:val="0"/>
      <w:numPr>
        <w:ilvl w:val="3"/>
        <w:numId w:val="2"/>
      </w:numPr>
      <w:tabs>
        <w:tab w:val="left" w:pos="2127"/>
      </w:tabs>
      <w:kinsoku w:val="0"/>
      <w:overflowPunct w:val="0"/>
      <w:autoSpaceDE w:val="0"/>
      <w:autoSpaceDN w:val="0"/>
      <w:adjustRightInd w:val="0"/>
      <w:spacing w:before="360" w:after="120"/>
      <w:jc w:val="both"/>
      <w:outlineLvl w:val="3"/>
    </w:pPr>
    <w:rPr>
      <w:rFonts w:ascii="Arial" w:hAnsi="Arial" w:cs="Arial"/>
      <w:b/>
      <w:bCs/>
      <w:i/>
      <w:iCs/>
    </w:rPr>
  </w:style>
  <w:style w:type="paragraph" w:styleId="Titolo5">
    <w:name w:val="heading 5"/>
    <w:basedOn w:val="Normale"/>
    <w:next w:val="Normale"/>
    <w:link w:val="Titolo5Carattere"/>
    <w:uiPriority w:val="9"/>
    <w:semiHidden/>
    <w:unhideWhenUsed/>
    <w:qFormat/>
    <w:rsid w:val="005B387E"/>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5B387E"/>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5B387E"/>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5B387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5B387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Tabellagriglia2-colore1">
    <w:name w:val="Grid Table 2 Accent 1"/>
    <w:basedOn w:val="Tabellaprofessionale"/>
    <w:uiPriority w:val="47"/>
    <w:rsid w:val="00E02A33"/>
    <w:pPr>
      <w:spacing w:after="160" w:line="259" w:lineRule="auto"/>
    </w:pPr>
    <w:tblPr>
      <w:tblStyleRowBandSize w:val="1"/>
      <w:tblStyleColBandSize w:val="1"/>
      <w:tblBorders>
        <w:top w:val="single" w:sz="2" w:space="0" w:color="8EAADB" w:themeColor="accent1" w:themeTint="99"/>
        <w:left w:val="none" w:sz="0" w:space="0" w:color="auto"/>
        <w:bottom w:val="single" w:sz="2" w:space="0" w:color="8EAADB" w:themeColor="accent1" w:themeTint="99"/>
        <w:right w:val="none" w:sz="0" w:space="0" w:color="auto"/>
        <w:insideH w:val="single" w:sz="2" w:space="0" w:color="8EAADB" w:themeColor="accent1" w:themeTint="99"/>
        <w:insideV w:val="single" w:sz="2" w:space="0" w:color="8EAADB" w:themeColor="accent1" w:themeTint="99"/>
      </w:tblBorders>
    </w:tblPr>
    <w:tcPr>
      <w:shd w:val="clear" w:color="auto" w:fill="auto"/>
    </w:tcPr>
    <w:tblStylePr w:type="firstRow">
      <w:rPr>
        <w:b/>
        <w:bCs/>
        <w:color w:val="auto"/>
      </w:rPr>
      <w:tblPr/>
      <w:tcPr>
        <w:tcBorders>
          <w:top w:val="nil"/>
          <w:bottom w:val="single" w:sz="12" w:space="0" w:color="8EAADB" w:themeColor="accent1" w:themeTint="99"/>
          <w:insideH w:val="nil"/>
          <w:insideV w:val="nil"/>
          <w:tl2br w:val="none" w:sz="0" w:space="0" w:color="auto"/>
          <w:tr2bl w:val="none" w:sz="0" w:space="0" w:color="auto"/>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professionale">
    <w:name w:val="Table Professional"/>
    <w:basedOn w:val="Tabellanormale"/>
    <w:uiPriority w:val="99"/>
    <w:semiHidden/>
    <w:unhideWhenUsed/>
    <w:rsid w:val="00E02A3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Stile1">
    <w:name w:val="Stile1"/>
    <w:basedOn w:val="Tabellanormale"/>
    <w:uiPriority w:val="99"/>
    <w:rsid w:val="00E02A33"/>
    <w:tblPr>
      <w:tblStyleRowBandSize w:val="1"/>
    </w:tblPr>
    <w:tblStylePr w:type="firstRow">
      <w:tblPr/>
      <w:tcPr>
        <w:shd w:val="clear" w:color="auto" w:fill="B4C6E7" w:themeFill="accent1" w:themeFillTint="66"/>
      </w:tcPr>
    </w:tblStylePr>
  </w:style>
  <w:style w:type="table" w:styleId="Grigliatabella">
    <w:name w:val="Table Grid"/>
    <w:basedOn w:val="Tabellanormale"/>
    <w:uiPriority w:val="99"/>
    <w:rsid w:val="005B387E"/>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5B387E"/>
    <w:rPr>
      <w:rFonts w:ascii="Times" w:eastAsiaTheme="minorEastAsia" w:hAnsi="Times" w:cs="Arial"/>
      <w:b/>
      <w:bCs/>
      <w:lang w:val="en-US" w:eastAsia="it-IT"/>
    </w:rPr>
  </w:style>
  <w:style w:type="character" w:customStyle="1" w:styleId="Titolo2Carattere">
    <w:name w:val="Titolo 2 Carattere"/>
    <w:basedOn w:val="Carpredefinitoparagrafo"/>
    <w:link w:val="Titolo2"/>
    <w:uiPriority w:val="9"/>
    <w:rsid w:val="005B387E"/>
    <w:rPr>
      <w:rFonts w:ascii="Times" w:eastAsiaTheme="minorEastAsia" w:hAnsi="Times" w:cs="Times New Roman"/>
      <w:b/>
      <w:lang w:val="en-US" w:eastAsia="it-IT"/>
    </w:rPr>
  </w:style>
  <w:style w:type="character" w:customStyle="1" w:styleId="Titolo3Carattere">
    <w:name w:val="Titolo 3 Carattere"/>
    <w:basedOn w:val="Carpredefinitoparagrafo"/>
    <w:link w:val="Titolo3"/>
    <w:uiPriority w:val="9"/>
    <w:rsid w:val="005B387E"/>
    <w:rPr>
      <w:rFonts w:ascii="Times New Roman" w:eastAsiaTheme="minorEastAsia" w:hAnsi="Times New Roman" w:cs="Times New Roman"/>
      <w:b/>
      <w:bCs/>
      <w:i/>
      <w:iCs/>
      <w:lang w:val="en-GB" w:eastAsia="it-IT"/>
    </w:rPr>
  </w:style>
  <w:style w:type="character" w:customStyle="1" w:styleId="Titolo4Carattere">
    <w:name w:val="Titolo 4 Carattere"/>
    <w:basedOn w:val="Carpredefinitoparagrafo"/>
    <w:link w:val="Titolo4"/>
    <w:uiPriority w:val="9"/>
    <w:rsid w:val="005B387E"/>
    <w:rPr>
      <w:rFonts w:ascii="Arial" w:eastAsiaTheme="minorEastAsia" w:hAnsi="Arial" w:cs="Arial"/>
      <w:b/>
      <w:bCs/>
      <w:i/>
      <w:iCs/>
      <w:lang w:eastAsia="it-IT"/>
    </w:rPr>
  </w:style>
  <w:style w:type="character" w:customStyle="1" w:styleId="Titolo5Carattere">
    <w:name w:val="Titolo 5 Carattere"/>
    <w:basedOn w:val="Carpredefinitoparagrafo"/>
    <w:link w:val="Titolo5"/>
    <w:uiPriority w:val="9"/>
    <w:semiHidden/>
    <w:rsid w:val="005B387E"/>
    <w:rPr>
      <w:rFonts w:asciiTheme="majorHAnsi" w:eastAsiaTheme="majorEastAsia" w:hAnsiTheme="majorHAnsi" w:cstheme="majorBidi"/>
      <w:color w:val="2F5496" w:themeColor="accent1" w:themeShade="BF"/>
      <w:lang w:eastAsia="it-IT"/>
    </w:rPr>
  </w:style>
  <w:style w:type="character" w:customStyle="1" w:styleId="Titolo6Carattere">
    <w:name w:val="Titolo 6 Carattere"/>
    <w:basedOn w:val="Carpredefinitoparagrafo"/>
    <w:link w:val="Titolo6"/>
    <w:uiPriority w:val="9"/>
    <w:semiHidden/>
    <w:rsid w:val="005B387E"/>
    <w:rPr>
      <w:rFonts w:asciiTheme="majorHAnsi" w:eastAsiaTheme="majorEastAsia" w:hAnsiTheme="majorHAnsi" w:cstheme="majorBidi"/>
      <w:color w:val="1F3763" w:themeColor="accent1" w:themeShade="7F"/>
      <w:lang w:eastAsia="it-IT"/>
    </w:rPr>
  </w:style>
  <w:style w:type="character" w:customStyle="1" w:styleId="Titolo7Carattere">
    <w:name w:val="Titolo 7 Carattere"/>
    <w:basedOn w:val="Carpredefinitoparagrafo"/>
    <w:link w:val="Titolo7"/>
    <w:uiPriority w:val="9"/>
    <w:semiHidden/>
    <w:rsid w:val="005B387E"/>
    <w:rPr>
      <w:rFonts w:asciiTheme="majorHAnsi" w:eastAsiaTheme="majorEastAsia" w:hAnsiTheme="majorHAnsi" w:cstheme="majorBidi"/>
      <w:i/>
      <w:iCs/>
      <w:color w:val="1F3763" w:themeColor="accent1" w:themeShade="7F"/>
      <w:lang w:eastAsia="it-IT"/>
    </w:rPr>
  </w:style>
  <w:style w:type="character" w:customStyle="1" w:styleId="Titolo8Carattere">
    <w:name w:val="Titolo 8 Carattere"/>
    <w:basedOn w:val="Carpredefinitoparagrafo"/>
    <w:link w:val="Titolo8"/>
    <w:uiPriority w:val="9"/>
    <w:semiHidden/>
    <w:rsid w:val="005B387E"/>
    <w:rPr>
      <w:rFonts w:asciiTheme="majorHAnsi" w:eastAsiaTheme="majorEastAsia" w:hAnsiTheme="majorHAnsi" w:cstheme="majorBidi"/>
      <w:color w:val="272727" w:themeColor="text1" w:themeTint="D8"/>
      <w:sz w:val="21"/>
      <w:szCs w:val="21"/>
      <w:lang w:eastAsia="it-IT"/>
    </w:rPr>
  </w:style>
  <w:style w:type="character" w:customStyle="1" w:styleId="Titolo9Carattere">
    <w:name w:val="Titolo 9 Carattere"/>
    <w:basedOn w:val="Carpredefinitoparagrafo"/>
    <w:link w:val="Titolo9"/>
    <w:uiPriority w:val="9"/>
    <w:semiHidden/>
    <w:rsid w:val="005B387E"/>
    <w:rPr>
      <w:rFonts w:asciiTheme="majorHAnsi" w:eastAsiaTheme="majorEastAsia" w:hAnsiTheme="majorHAnsi" w:cstheme="majorBidi"/>
      <w:i/>
      <w:iCs/>
      <w:color w:val="272727" w:themeColor="text1" w:themeTint="D8"/>
      <w:sz w:val="21"/>
      <w:szCs w:val="21"/>
      <w:lang w:eastAsia="it-IT"/>
    </w:rPr>
  </w:style>
  <w:style w:type="paragraph" w:styleId="Paragrafoelenco">
    <w:name w:val="List Paragraph"/>
    <w:basedOn w:val="Normale"/>
    <w:uiPriority w:val="34"/>
    <w:qFormat/>
    <w:rsid w:val="005B3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595</Words>
  <Characters>3396</Characters>
  <Application>Microsoft Office Word</Application>
  <DocSecurity>0</DocSecurity>
  <Lines>28</Lines>
  <Paragraphs>7</Paragraphs>
  <ScaleCrop>false</ScaleCrop>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Gurizzan</dc:creator>
  <cp:keywords/>
  <dc:description/>
  <cp:lastModifiedBy>Cristina Gurizzan</cp:lastModifiedBy>
  <cp:revision>1</cp:revision>
  <dcterms:created xsi:type="dcterms:W3CDTF">2020-12-18T20:27:00Z</dcterms:created>
  <dcterms:modified xsi:type="dcterms:W3CDTF">2020-12-18T20:28:00Z</dcterms:modified>
</cp:coreProperties>
</file>