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BB79E" w14:textId="247FB0EF" w:rsidR="00F036E5" w:rsidRPr="005B27D9" w:rsidRDefault="00F036E5" w:rsidP="005B27D9">
      <w:pPr>
        <w:spacing w:line="480" w:lineRule="auto"/>
        <w:rPr>
          <w:rFonts w:ascii="Arial" w:hAnsi="Arial" w:cs="Arial"/>
          <w:b/>
          <w:sz w:val="24"/>
          <w:szCs w:val="24"/>
        </w:rPr>
      </w:pPr>
      <w:bookmarkStart w:id="0" w:name="_Hlk67744600"/>
      <w:bookmarkStart w:id="1" w:name="_GoBack"/>
      <w:bookmarkEnd w:id="1"/>
      <w:r w:rsidRPr="005B27D9">
        <w:rPr>
          <w:rFonts w:ascii="Arial" w:hAnsi="Arial" w:cs="Arial"/>
          <w:b/>
          <w:sz w:val="24"/>
          <w:szCs w:val="24"/>
        </w:rPr>
        <w:t xml:space="preserve">Supplementary </w:t>
      </w:r>
      <w:r w:rsidR="00D42009" w:rsidRPr="005B27D9">
        <w:rPr>
          <w:rFonts w:ascii="Arial" w:hAnsi="Arial" w:cs="Arial"/>
          <w:b/>
          <w:sz w:val="24"/>
          <w:szCs w:val="24"/>
        </w:rPr>
        <w:t>D</w:t>
      </w:r>
      <w:r w:rsidRPr="005B27D9">
        <w:rPr>
          <w:rFonts w:ascii="Arial" w:hAnsi="Arial" w:cs="Arial"/>
          <w:b/>
          <w:sz w:val="24"/>
          <w:szCs w:val="24"/>
        </w:rPr>
        <w:t xml:space="preserve">ata </w:t>
      </w:r>
      <w:r w:rsidR="00373FFF">
        <w:rPr>
          <w:rFonts w:ascii="Arial" w:hAnsi="Arial" w:cs="Arial"/>
          <w:b/>
          <w:sz w:val="24"/>
          <w:szCs w:val="24"/>
        </w:rPr>
        <w:t>3</w:t>
      </w:r>
      <w:r w:rsidRPr="005B27D9">
        <w:rPr>
          <w:rFonts w:ascii="Arial" w:hAnsi="Arial" w:cs="Arial"/>
          <w:b/>
          <w:sz w:val="24"/>
          <w:szCs w:val="24"/>
        </w:rPr>
        <w:t>. IC</w:t>
      </w:r>
      <w:r w:rsidRPr="005B27D9">
        <w:rPr>
          <w:rFonts w:ascii="Arial" w:hAnsi="Arial" w:cs="Arial"/>
          <w:b/>
          <w:sz w:val="24"/>
          <w:szCs w:val="24"/>
          <w:vertAlign w:val="subscript"/>
        </w:rPr>
        <w:t>50</w:t>
      </w:r>
      <w:r w:rsidRPr="005B27D9">
        <w:rPr>
          <w:rFonts w:ascii="Arial" w:hAnsi="Arial" w:cs="Arial"/>
          <w:b/>
          <w:sz w:val="24"/>
          <w:szCs w:val="24"/>
        </w:rPr>
        <w:t xml:space="preserve"> values of other agents.</w:t>
      </w:r>
    </w:p>
    <w:p w14:paraId="495BF0EF" w14:textId="6B3D1AD4" w:rsidR="004C72B4" w:rsidRDefault="004C72B4" w:rsidP="005B27D9">
      <w:pPr>
        <w:spacing w:line="480" w:lineRule="auto"/>
        <w:rPr>
          <w:rFonts w:ascii="Arial" w:hAnsi="Arial" w:cs="Arial"/>
          <w:sz w:val="24"/>
          <w:szCs w:val="24"/>
        </w:rPr>
      </w:pPr>
      <w:r w:rsidRPr="003375F8">
        <w:rPr>
          <w:noProof/>
        </w:rPr>
        <w:drawing>
          <wp:inline distT="0" distB="0" distL="0" distR="0" wp14:anchorId="223B20F7" wp14:editId="516C7793">
            <wp:extent cx="3171825" cy="2523736"/>
            <wp:effectExtent l="0" t="0" r="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702" cy="255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86697" w14:textId="1925B061" w:rsidR="004C72B4" w:rsidRDefault="004C72B4" w:rsidP="005B27D9">
      <w:pPr>
        <w:spacing w:line="480" w:lineRule="auto"/>
        <w:rPr>
          <w:rFonts w:ascii="Arial" w:hAnsi="Arial" w:cs="Arial"/>
          <w:sz w:val="24"/>
          <w:szCs w:val="24"/>
        </w:rPr>
      </w:pPr>
    </w:p>
    <w:p w14:paraId="55EC47B0" w14:textId="19670240" w:rsidR="004C72B4" w:rsidRPr="00705834" w:rsidRDefault="004C72B4" w:rsidP="005B27D9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xpression of </w:t>
      </w:r>
      <w:r w:rsidRPr="00475434">
        <w:rPr>
          <w:rFonts w:ascii="Arial" w:hAnsi="Arial" w:cs="Arial"/>
          <w:sz w:val="24"/>
          <w:szCs w:val="24"/>
        </w:rPr>
        <w:t>folate metabolism pathway components</w:t>
      </w:r>
      <w:r>
        <w:rPr>
          <w:rFonts w:ascii="Arial" w:hAnsi="Arial" w:cs="Arial"/>
          <w:sz w:val="24"/>
          <w:szCs w:val="24"/>
        </w:rPr>
        <w:t xml:space="preserve">. </w:t>
      </w:r>
      <w:r w:rsidRPr="00AC5E88">
        <w:rPr>
          <w:rFonts w:ascii="Arial" w:hAnsi="Arial" w:cs="Arial"/>
          <w:bCs/>
          <w:sz w:val="24"/>
          <w:szCs w:val="24"/>
        </w:rPr>
        <w:t xml:space="preserve">Total RNA (10 ng) from parental and PDX-resistant cells was obtained, and mRNA expression was evaluated using </w:t>
      </w:r>
      <w:proofErr w:type="spellStart"/>
      <w:r w:rsidRPr="00AC5E88">
        <w:rPr>
          <w:rFonts w:ascii="Arial" w:hAnsi="Arial" w:cs="Arial"/>
          <w:bCs/>
          <w:sz w:val="24"/>
          <w:szCs w:val="24"/>
        </w:rPr>
        <w:t>Clariom</w:t>
      </w:r>
      <w:proofErr w:type="spellEnd"/>
      <w:r w:rsidRPr="00AC5E88">
        <w:rPr>
          <w:rFonts w:ascii="Arial" w:hAnsi="Arial" w:cs="Arial"/>
          <w:bCs/>
          <w:sz w:val="24"/>
          <w:szCs w:val="24"/>
        </w:rPr>
        <w:t xml:space="preserve"> S Arrays.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Pr="00475434">
        <w:rPr>
          <w:rFonts w:ascii="Arial" w:hAnsi="Arial" w:cs="Arial"/>
          <w:sz w:val="24"/>
          <w:szCs w:val="24"/>
        </w:rPr>
        <w:t xml:space="preserve">There were no significant differences in the expression levels </w:t>
      </w:r>
      <w:r w:rsidR="00E257F7" w:rsidRPr="00475434">
        <w:rPr>
          <w:rFonts w:ascii="Arial" w:hAnsi="Arial" w:cs="Arial"/>
          <w:sz w:val="24"/>
          <w:szCs w:val="24"/>
        </w:rPr>
        <w:t xml:space="preserve">in </w:t>
      </w:r>
      <w:r w:rsidR="00E257F7">
        <w:rPr>
          <w:rFonts w:ascii="Arial" w:hAnsi="Arial" w:cs="Arial"/>
          <w:sz w:val="24"/>
          <w:szCs w:val="24"/>
        </w:rPr>
        <w:t>either</w:t>
      </w:r>
      <w:r w:rsidR="00E257F7" w:rsidRPr="00475434">
        <w:rPr>
          <w:rFonts w:ascii="Arial" w:hAnsi="Arial" w:cs="Arial"/>
          <w:sz w:val="24"/>
          <w:szCs w:val="24"/>
        </w:rPr>
        <w:t xml:space="preserve"> PDX-resistant cell line</w:t>
      </w:r>
      <w:r w:rsidR="00E257F7">
        <w:rPr>
          <w:rFonts w:ascii="Arial" w:hAnsi="Arial" w:cs="Arial"/>
          <w:sz w:val="24"/>
          <w:szCs w:val="24"/>
        </w:rPr>
        <w:t xml:space="preserve">. </w:t>
      </w:r>
      <w:r w:rsidR="00E257F7" w:rsidRPr="00D86C2C">
        <w:rPr>
          <w:rFonts w:ascii="Arial" w:hAnsi="Arial" w:cs="Arial"/>
          <w:i/>
          <w:sz w:val="24"/>
          <w:szCs w:val="24"/>
        </w:rPr>
        <w:t>SLC19A1</w:t>
      </w:r>
      <w:r w:rsidR="00E257F7">
        <w:rPr>
          <w:rFonts w:ascii="Arial" w:hAnsi="Arial" w:cs="Arial"/>
          <w:sz w:val="24"/>
          <w:szCs w:val="24"/>
        </w:rPr>
        <w:t xml:space="preserve">; </w:t>
      </w:r>
      <w:r w:rsidR="00E257F7" w:rsidRPr="00E257F7">
        <w:rPr>
          <w:rFonts w:ascii="Arial" w:hAnsi="Arial" w:cs="Arial"/>
          <w:sz w:val="24"/>
          <w:szCs w:val="24"/>
        </w:rPr>
        <w:t>solute carrier family 19 member 1</w:t>
      </w:r>
      <w:r w:rsidR="00E257F7">
        <w:rPr>
          <w:rFonts w:ascii="Arial" w:hAnsi="Arial" w:cs="Arial"/>
          <w:sz w:val="24"/>
          <w:szCs w:val="24"/>
        </w:rPr>
        <w:t xml:space="preserve">(known as RFC1), </w:t>
      </w:r>
      <w:r w:rsidR="00E257F7" w:rsidRPr="00D86C2C">
        <w:rPr>
          <w:rFonts w:ascii="Arial" w:hAnsi="Arial" w:cs="Arial"/>
          <w:i/>
          <w:sz w:val="24"/>
          <w:szCs w:val="24"/>
        </w:rPr>
        <w:t>SLC46A1</w:t>
      </w:r>
      <w:r w:rsidR="00E257F7">
        <w:rPr>
          <w:rFonts w:ascii="Arial" w:hAnsi="Arial" w:cs="Arial"/>
          <w:sz w:val="24"/>
          <w:szCs w:val="24"/>
        </w:rPr>
        <w:t xml:space="preserve">; </w:t>
      </w:r>
      <w:r w:rsidR="00E257F7" w:rsidRPr="00E257F7">
        <w:rPr>
          <w:rFonts w:ascii="Arial" w:hAnsi="Arial" w:cs="Arial"/>
          <w:sz w:val="24"/>
          <w:szCs w:val="24"/>
        </w:rPr>
        <w:t>solute carrier family 46 member 1</w:t>
      </w:r>
      <w:r w:rsidR="00E257F7">
        <w:rPr>
          <w:rFonts w:ascii="Arial" w:hAnsi="Arial" w:cs="Arial"/>
          <w:sz w:val="24"/>
          <w:szCs w:val="24"/>
        </w:rPr>
        <w:t>,</w:t>
      </w:r>
      <w:r w:rsidR="00E257F7" w:rsidRPr="00475434">
        <w:rPr>
          <w:rFonts w:ascii="Arial" w:hAnsi="Arial" w:cs="Arial"/>
          <w:sz w:val="24"/>
          <w:szCs w:val="24"/>
        </w:rPr>
        <w:t xml:space="preserve"> </w:t>
      </w:r>
      <w:r w:rsidRPr="00475434">
        <w:rPr>
          <w:rFonts w:ascii="Arial" w:hAnsi="Arial" w:cs="Arial"/>
          <w:i/>
          <w:iCs/>
          <w:sz w:val="24"/>
          <w:szCs w:val="24"/>
        </w:rPr>
        <w:t>FPGS</w:t>
      </w:r>
      <w:r w:rsidR="00E257F7" w:rsidRPr="00D86C2C">
        <w:rPr>
          <w:rFonts w:ascii="Arial" w:hAnsi="Arial" w:cs="Arial"/>
          <w:iCs/>
          <w:sz w:val="24"/>
          <w:szCs w:val="24"/>
        </w:rPr>
        <w:t>;</w:t>
      </w:r>
      <w:r w:rsidR="00E257F7" w:rsidRPr="00E257F7">
        <w:t xml:space="preserve"> </w:t>
      </w:r>
      <w:r w:rsidR="00E257F7" w:rsidRPr="00D86C2C">
        <w:rPr>
          <w:rFonts w:ascii="Arial" w:hAnsi="Arial" w:cs="Arial"/>
          <w:iCs/>
          <w:sz w:val="24"/>
          <w:szCs w:val="24"/>
        </w:rPr>
        <w:t>folylpolyglutamate synthase</w:t>
      </w:r>
      <w:r w:rsidRPr="00D86C2C">
        <w:rPr>
          <w:rFonts w:ascii="Arial" w:hAnsi="Arial" w:cs="Arial"/>
          <w:iCs/>
          <w:sz w:val="24"/>
          <w:szCs w:val="24"/>
        </w:rPr>
        <w:t>,</w:t>
      </w:r>
      <w:r w:rsidRPr="00475434">
        <w:rPr>
          <w:rFonts w:ascii="Arial" w:hAnsi="Arial" w:cs="Arial"/>
          <w:i/>
          <w:iCs/>
          <w:sz w:val="24"/>
          <w:szCs w:val="24"/>
        </w:rPr>
        <w:t xml:space="preserve"> </w:t>
      </w:r>
      <w:r w:rsidR="00E257F7">
        <w:rPr>
          <w:rFonts w:ascii="Arial" w:hAnsi="Arial" w:cs="Arial"/>
          <w:i/>
          <w:iCs/>
          <w:sz w:val="24"/>
          <w:szCs w:val="24"/>
        </w:rPr>
        <w:t>GGH;</w:t>
      </w:r>
      <w:r w:rsidR="00E257F7" w:rsidRPr="00E257F7">
        <w:t xml:space="preserve"> </w:t>
      </w:r>
      <w:r w:rsidR="00E257F7" w:rsidRPr="00D86C2C">
        <w:rPr>
          <w:rFonts w:ascii="Arial" w:hAnsi="Arial" w:cs="Arial"/>
          <w:iCs/>
          <w:sz w:val="24"/>
          <w:szCs w:val="24"/>
        </w:rPr>
        <w:t>gamma-glutamyl hydrolase,</w:t>
      </w:r>
      <w:r w:rsidR="00E257F7">
        <w:rPr>
          <w:rFonts w:ascii="Arial" w:hAnsi="Arial" w:cs="Arial"/>
          <w:iCs/>
          <w:sz w:val="24"/>
          <w:szCs w:val="24"/>
        </w:rPr>
        <w:t xml:space="preserve"> </w:t>
      </w:r>
      <w:r w:rsidRPr="00475434">
        <w:rPr>
          <w:rFonts w:ascii="Arial" w:hAnsi="Arial" w:cs="Arial"/>
          <w:i/>
          <w:iCs/>
          <w:sz w:val="24"/>
          <w:szCs w:val="24"/>
        </w:rPr>
        <w:t>DHFR</w:t>
      </w:r>
      <w:r w:rsidR="00E257F7" w:rsidRPr="00D86C2C">
        <w:rPr>
          <w:rFonts w:ascii="Arial" w:hAnsi="Arial" w:cs="Arial"/>
          <w:iCs/>
          <w:sz w:val="24"/>
          <w:szCs w:val="24"/>
        </w:rPr>
        <w:t>;</w:t>
      </w:r>
      <w:r w:rsidR="00E257F7" w:rsidRPr="00E257F7">
        <w:t xml:space="preserve"> </w:t>
      </w:r>
      <w:r w:rsidR="00E257F7" w:rsidRPr="00D86C2C">
        <w:rPr>
          <w:rFonts w:ascii="Arial" w:hAnsi="Arial" w:cs="Arial"/>
          <w:iCs/>
          <w:sz w:val="24"/>
          <w:szCs w:val="24"/>
        </w:rPr>
        <w:t>dihydrofolate reductase</w:t>
      </w:r>
      <w:r w:rsidRPr="00475434">
        <w:rPr>
          <w:rFonts w:ascii="Arial" w:hAnsi="Arial" w:cs="Arial"/>
          <w:sz w:val="24"/>
          <w:szCs w:val="24"/>
        </w:rPr>
        <w:t xml:space="preserve">, </w:t>
      </w:r>
      <w:r w:rsidR="00E257F7" w:rsidRPr="00D86C2C">
        <w:rPr>
          <w:rFonts w:ascii="Arial" w:hAnsi="Arial" w:cs="Arial"/>
          <w:i/>
          <w:sz w:val="24"/>
          <w:szCs w:val="24"/>
        </w:rPr>
        <w:t>TS</w:t>
      </w:r>
      <w:r w:rsidR="00E257F7">
        <w:rPr>
          <w:rFonts w:ascii="Arial" w:hAnsi="Arial" w:cs="Arial"/>
          <w:sz w:val="24"/>
          <w:szCs w:val="24"/>
        </w:rPr>
        <w:t xml:space="preserve">; </w:t>
      </w:r>
      <w:r w:rsidRPr="00475434">
        <w:rPr>
          <w:rFonts w:ascii="Arial" w:hAnsi="Arial" w:cs="Arial"/>
          <w:sz w:val="24"/>
          <w:szCs w:val="24"/>
        </w:rPr>
        <w:t>thymidylate synthase</w:t>
      </w:r>
      <w:r w:rsidR="00E257F7">
        <w:rPr>
          <w:rFonts w:ascii="Arial" w:hAnsi="Arial" w:cs="Arial"/>
          <w:sz w:val="24"/>
          <w:szCs w:val="24"/>
        </w:rPr>
        <w:t>.</w:t>
      </w:r>
      <w:r w:rsidR="00705834">
        <w:rPr>
          <w:rFonts w:ascii="Arial" w:hAnsi="Arial" w:cs="Arial"/>
          <w:sz w:val="24"/>
          <w:szCs w:val="24"/>
        </w:rPr>
        <w:t xml:space="preserve"> </w:t>
      </w:r>
      <w:r w:rsidR="00705834" w:rsidRPr="00705834">
        <w:rPr>
          <w:rFonts w:ascii="Arial" w:hAnsi="Arial" w:cs="Arial"/>
          <w:sz w:val="24"/>
          <w:szCs w:val="24"/>
        </w:rPr>
        <w:t>CEM/P, PDX-resistance CEM cell.  MOLT4/P, PDX-resistance MOLT4 cell.</w:t>
      </w:r>
    </w:p>
    <w:bookmarkEnd w:id="0"/>
    <w:p w14:paraId="644C0901" w14:textId="77777777" w:rsidR="000C4A3C" w:rsidRPr="004C72B4" w:rsidRDefault="000C4A3C" w:rsidP="00E047FF">
      <w:pPr>
        <w:spacing w:line="480" w:lineRule="auto"/>
        <w:rPr>
          <w:rFonts w:ascii="Arial" w:hAnsi="Arial" w:cs="Arial" w:hint="eastAsia"/>
          <w:sz w:val="24"/>
          <w:szCs w:val="24"/>
        </w:rPr>
      </w:pPr>
    </w:p>
    <w:sectPr w:rsidR="000C4A3C" w:rsidRPr="004C72B4" w:rsidSect="005B27D9">
      <w:headerReference w:type="default" r:id="rId8"/>
      <w:pgSz w:w="11906" w:h="16838"/>
      <w:pgMar w:top="1440" w:right="1440" w:bottom="1440" w:left="1440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3017D" w14:textId="77777777" w:rsidR="004B26C7" w:rsidRDefault="004B26C7">
      <w:r>
        <w:separator/>
      </w:r>
    </w:p>
  </w:endnote>
  <w:endnote w:type="continuationSeparator" w:id="0">
    <w:p w14:paraId="3E5FC5EF" w14:textId="77777777" w:rsidR="004B26C7" w:rsidRDefault="004B2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361B0" w14:textId="77777777" w:rsidR="004B26C7" w:rsidRDefault="004B26C7">
      <w:r>
        <w:separator/>
      </w:r>
    </w:p>
  </w:footnote>
  <w:footnote w:type="continuationSeparator" w:id="0">
    <w:p w14:paraId="06C445E8" w14:textId="77777777" w:rsidR="004B26C7" w:rsidRDefault="004B2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5665925"/>
      <w:docPartObj>
        <w:docPartGallery w:val="Page Numbers (Top of Page)"/>
        <w:docPartUnique/>
      </w:docPartObj>
    </w:sdtPr>
    <w:sdtEndPr/>
    <w:sdtContent>
      <w:p w14:paraId="18DDFE3B" w14:textId="77777777" w:rsidR="003B2EDF" w:rsidRDefault="00EC626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C626A">
          <w:rPr>
            <w:noProof/>
            <w:lang w:val="ja-JP"/>
          </w:rPr>
          <w:t>2</w:t>
        </w:r>
        <w:r>
          <w:fldChar w:fldCharType="end"/>
        </w:r>
      </w:p>
    </w:sdtContent>
  </w:sdt>
  <w:p w14:paraId="176ED795" w14:textId="77777777" w:rsidR="003B2EDF" w:rsidRDefault="004B26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E5"/>
    <w:rsid w:val="000230DC"/>
    <w:rsid w:val="00045C49"/>
    <w:rsid w:val="00064C29"/>
    <w:rsid w:val="00067CC4"/>
    <w:rsid w:val="00095E6A"/>
    <w:rsid w:val="000B32A9"/>
    <w:rsid w:val="000C4A3C"/>
    <w:rsid w:val="0016068E"/>
    <w:rsid w:val="001D219E"/>
    <w:rsid w:val="00251F8E"/>
    <w:rsid w:val="00290B1C"/>
    <w:rsid w:val="00293B64"/>
    <w:rsid w:val="002A28C8"/>
    <w:rsid w:val="00332892"/>
    <w:rsid w:val="00373FFF"/>
    <w:rsid w:val="00420D7A"/>
    <w:rsid w:val="0045780B"/>
    <w:rsid w:val="00487CA9"/>
    <w:rsid w:val="004B26C7"/>
    <w:rsid w:val="004C72B4"/>
    <w:rsid w:val="00503FC3"/>
    <w:rsid w:val="00505D31"/>
    <w:rsid w:val="0058300B"/>
    <w:rsid w:val="005905AE"/>
    <w:rsid w:val="005B27D9"/>
    <w:rsid w:val="005D4A75"/>
    <w:rsid w:val="005F1AA7"/>
    <w:rsid w:val="006367D2"/>
    <w:rsid w:val="00656775"/>
    <w:rsid w:val="006A31D0"/>
    <w:rsid w:val="006C0679"/>
    <w:rsid w:val="00705834"/>
    <w:rsid w:val="00754EB2"/>
    <w:rsid w:val="00783690"/>
    <w:rsid w:val="00910AEC"/>
    <w:rsid w:val="009A51DA"/>
    <w:rsid w:val="00A40E2F"/>
    <w:rsid w:val="00A73C10"/>
    <w:rsid w:val="00B41473"/>
    <w:rsid w:val="00B46C09"/>
    <w:rsid w:val="00B6638C"/>
    <w:rsid w:val="00B95D63"/>
    <w:rsid w:val="00C41C4D"/>
    <w:rsid w:val="00CA0C92"/>
    <w:rsid w:val="00CA14C0"/>
    <w:rsid w:val="00D01CE6"/>
    <w:rsid w:val="00D42009"/>
    <w:rsid w:val="00D86C2C"/>
    <w:rsid w:val="00E047FF"/>
    <w:rsid w:val="00E22F29"/>
    <w:rsid w:val="00E257F7"/>
    <w:rsid w:val="00EC626A"/>
    <w:rsid w:val="00ED2E5C"/>
    <w:rsid w:val="00EF708F"/>
    <w:rsid w:val="00F036E5"/>
    <w:rsid w:val="00F9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657BC4"/>
  <w15:docId w15:val="{886D8521-C73D-489A-9A44-F8187339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36E5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6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36E5"/>
    <w:rPr>
      <w:rFonts w:eastAsiaTheme="minorEastAsia"/>
      <w:kern w:val="2"/>
      <w:sz w:val="21"/>
      <w:lang w:eastAsia="ja-JP"/>
    </w:rPr>
  </w:style>
  <w:style w:type="character" w:styleId="a5">
    <w:name w:val="annotation reference"/>
    <w:basedOn w:val="a0"/>
    <w:uiPriority w:val="99"/>
    <w:semiHidden/>
    <w:unhideWhenUsed/>
    <w:rsid w:val="00F036E5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F036E5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F036E5"/>
    <w:rPr>
      <w:rFonts w:eastAsiaTheme="minorEastAsia"/>
      <w:kern w:val="2"/>
      <w:sz w:val="21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F036E5"/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F036E5"/>
    <w:rPr>
      <w:rFonts w:ascii="Tahoma" w:eastAsiaTheme="minorEastAsia" w:hAnsi="Tahoma" w:cs="Tahoma"/>
      <w:kern w:val="2"/>
      <w:sz w:val="16"/>
      <w:szCs w:val="16"/>
      <w:lang w:eastAsia="ja-JP"/>
    </w:rPr>
  </w:style>
  <w:style w:type="character" w:styleId="aa">
    <w:name w:val="line number"/>
    <w:basedOn w:val="a0"/>
    <w:uiPriority w:val="99"/>
    <w:semiHidden/>
    <w:unhideWhenUsed/>
    <w:rsid w:val="00F036E5"/>
  </w:style>
  <w:style w:type="paragraph" w:styleId="ab">
    <w:name w:val="annotation subject"/>
    <w:basedOn w:val="a6"/>
    <w:next w:val="a6"/>
    <w:link w:val="ac"/>
    <w:uiPriority w:val="99"/>
    <w:semiHidden/>
    <w:unhideWhenUsed/>
    <w:rsid w:val="00F036E5"/>
    <w:pPr>
      <w:jc w:val="both"/>
    </w:pPr>
    <w:rPr>
      <w:b/>
      <w:bCs/>
      <w:sz w:val="20"/>
      <w:szCs w:val="20"/>
    </w:rPr>
  </w:style>
  <w:style w:type="character" w:customStyle="1" w:styleId="ac">
    <w:name w:val="コメント内容 (文字)"/>
    <w:basedOn w:val="a7"/>
    <w:link w:val="ab"/>
    <w:uiPriority w:val="99"/>
    <w:semiHidden/>
    <w:rsid w:val="00F036E5"/>
    <w:rPr>
      <w:rFonts w:eastAsiaTheme="minorEastAsia"/>
      <w:b/>
      <w:bCs/>
      <w:kern w:val="2"/>
      <w:sz w:val="20"/>
      <w:szCs w:val="20"/>
      <w:lang w:eastAsia="ja-JP"/>
    </w:rPr>
  </w:style>
  <w:style w:type="character" w:styleId="ad">
    <w:name w:val="Hyperlink"/>
    <w:basedOn w:val="a0"/>
    <w:uiPriority w:val="99"/>
    <w:unhideWhenUsed/>
    <w:rsid w:val="00EC626A"/>
    <w:rPr>
      <w:color w:val="0000FF" w:themeColor="hyperlink"/>
      <w:u w:val="single"/>
    </w:rPr>
  </w:style>
  <w:style w:type="table" w:styleId="ae">
    <w:name w:val="Table Grid"/>
    <w:basedOn w:val="a1"/>
    <w:uiPriority w:val="39"/>
    <w:rsid w:val="00B46C09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65677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56775"/>
    <w:rPr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13694-F5FB-42FC-A372-455F8365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</dc:creator>
  <cp:lastModifiedBy>Hosono N.</cp:lastModifiedBy>
  <cp:revision>3</cp:revision>
  <dcterms:created xsi:type="dcterms:W3CDTF">2021-07-27T12:26:00Z</dcterms:created>
  <dcterms:modified xsi:type="dcterms:W3CDTF">2021-07-27T12:29:00Z</dcterms:modified>
</cp:coreProperties>
</file>