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12D" w:rsidRDefault="00EE312D" w:rsidP="00EE312D">
      <w:pPr>
        <w:spacing w:line="259" w:lineRule="auto"/>
        <w:rPr>
          <w:b/>
          <w:szCs w:val="24"/>
        </w:rPr>
      </w:pPr>
      <w:r>
        <w:rPr>
          <w:b/>
          <w:szCs w:val="24"/>
        </w:rPr>
        <w:t>Additional file 2: Supplementary Figures</w:t>
      </w:r>
    </w:p>
    <w:p w:rsidR="00EE312D" w:rsidRDefault="00EE312D">
      <w:pPr>
        <w:spacing w:line="259" w:lineRule="auto"/>
        <w:rPr>
          <w:b/>
          <w:noProof/>
          <w:szCs w:val="24"/>
        </w:rPr>
        <w:sectPr w:rsidR="00EE312D" w:rsidSect="00EE312D">
          <w:pgSz w:w="11906" w:h="16838" w:code="9"/>
          <w:pgMar w:top="1418" w:right="1418" w:bottom="1418" w:left="1418" w:header="709" w:footer="709" w:gutter="0"/>
          <w:pgNumType w:start="1"/>
          <w:cols w:space="708"/>
          <w:docGrid w:linePitch="360"/>
        </w:sectPr>
      </w:pPr>
    </w:p>
    <w:p w:rsidR="00EE312D" w:rsidRDefault="00EE312D" w:rsidP="00EE312D">
      <w:pPr>
        <w:spacing w:line="259" w:lineRule="auto"/>
        <w:jc w:val="center"/>
        <w:rPr>
          <w:b/>
          <w:szCs w:val="24"/>
        </w:rPr>
      </w:pPr>
      <w:r>
        <w:rPr>
          <w:b/>
          <w:noProof/>
          <w:szCs w:val="24"/>
        </w:rPr>
        <w:drawing>
          <wp:anchor distT="0" distB="0" distL="114300" distR="114300" simplePos="0" relativeHeight="251658240" behindDoc="1" locked="0" layoutInCell="1" allowOverlap="1">
            <wp:simplePos x="0" y="0"/>
            <wp:positionH relativeFrom="margin">
              <wp:posOffset>-424180</wp:posOffset>
            </wp:positionH>
            <wp:positionV relativeFrom="page">
              <wp:posOffset>901700</wp:posOffset>
            </wp:positionV>
            <wp:extent cx="9347200" cy="5222293"/>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chart_quality-control_FFQ.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49915" cy="5223810"/>
                    </a:xfrm>
                    <a:prstGeom prst="rect">
                      <a:avLst/>
                    </a:prstGeom>
                  </pic:spPr>
                </pic:pic>
              </a:graphicData>
            </a:graphic>
            <wp14:sizeRelH relativeFrom="margin">
              <wp14:pctWidth>0</wp14:pctWidth>
            </wp14:sizeRelH>
            <wp14:sizeRelV relativeFrom="margin">
              <wp14:pctHeight>0</wp14:pctHeight>
            </wp14:sizeRelV>
          </wp:anchor>
        </w:drawing>
      </w:r>
    </w:p>
    <w:p w:rsidR="00EE312D" w:rsidRDefault="00EE312D">
      <w:pPr>
        <w:spacing w:line="259" w:lineRule="auto"/>
        <w:rPr>
          <w:b/>
          <w:i/>
          <w:iCs/>
          <w:sz w:val="18"/>
          <w:szCs w:val="18"/>
        </w:rPr>
        <w:sectPr w:rsidR="00EE312D" w:rsidSect="008753D8">
          <w:pgSz w:w="16838" w:h="11906" w:orient="landscape" w:code="9"/>
          <w:pgMar w:top="1418" w:right="1418" w:bottom="1418" w:left="1418" w:header="709" w:footer="709" w:gutter="0"/>
          <w:pgNumType w:start="1"/>
          <w:cols w:space="708"/>
          <w:docGrid w:linePitch="360"/>
        </w:sectPr>
      </w:pPr>
    </w:p>
    <w:p w:rsidR="00EE312D" w:rsidRPr="00DD2736" w:rsidRDefault="00EE312D" w:rsidP="00EE312D">
      <w:pPr>
        <w:pStyle w:val="Caption"/>
        <w:rPr>
          <w:color w:val="auto"/>
          <w:sz w:val="20"/>
          <w:szCs w:val="20"/>
        </w:rPr>
      </w:pPr>
      <w:r w:rsidRPr="00DD2736">
        <w:rPr>
          <w:b/>
          <w:color w:val="auto"/>
          <w:sz w:val="20"/>
          <w:szCs w:val="20"/>
        </w:rPr>
        <w:t xml:space="preserve">Figure 1. </w:t>
      </w:r>
      <w:r w:rsidRPr="00DD2736">
        <w:rPr>
          <w:color w:val="auto"/>
          <w:sz w:val="20"/>
          <w:szCs w:val="20"/>
        </w:rPr>
        <w:t>Upon receiving food frequency questionnaires (FFQs) from CRCbiome participants, completion is</w:t>
      </w:r>
      <w:r w:rsidR="00DD2736">
        <w:rPr>
          <w:color w:val="auto"/>
          <w:sz w:val="20"/>
          <w:szCs w:val="20"/>
        </w:rPr>
        <w:t xml:space="preserve"> </w:t>
      </w:r>
      <w:r w:rsidRPr="00DD2736">
        <w:rPr>
          <w:color w:val="auto"/>
          <w:sz w:val="20"/>
          <w:szCs w:val="20"/>
        </w:rPr>
        <w:t>reviewed by researchers with expertise in nutritional epidemiology. Participants with FFQs of insufficient quality are contacted for clarification of inconsistencies and missing data. Reviewed questionnaires are then scanned using the Cardiff TeleForm program at the University of Oslo (UiO). Food and nutrient calculations are conducted using the software system KBS (“</w:t>
      </w:r>
      <w:r w:rsidRPr="00DD2736">
        <w:rPr>
          <w:b/>
          <w:color w:val="auto"/>
          <w:sz w:val="20"/>
          <w:szCs w:val="20"/>
        </w:rPr>
        <w:t>K</w:t>
      </w:r>
      <w:r w:rsidRPr="00DD2736">
        <w:rPr>
          <w:color w:val="auto"/>
          <w:sz w:val="20"/>
          <w:szCs w:val="20"/>
        </w:rPr>
        <w:t>ost</w:t>
      </w:r>
      <w:r w:rsidRPr="00DD2736">
        <w:rPr>
          <w:b/>
          <w:color w:val="auto"/>
          <w:sz w:val="20"/>
          <w:szCs w:val="20"/>
        </w:rPr>
        <w:t>b</w:t>
      </w:r>
      <w:r w:rsidRPr="00DD2736">
        <w:rPr>
          <w:color w:val="auto"/>
          <w:sz w:val="20"/>
          <w:szCs w:val="20"/>
        </w:rPr>
        <w:t>eregnings</w:t>
      </w:r>
      <w:r w:rsidRPr="00DD2736">
        <w:rPr>
          <w:b/>
          <w:color w:val="auto"/>
          <w:sz w:val="20"/>
          <w:szCs w:val="20"/>
        </w:rPr>
        <w:t>s</w:t>
      </w:r>
      <w:r w:rsidRPr="00DD2736">
        <w:rPr>
          <w:color w:val="auto"/>
          <w:sz w:val="20"/>
          <w:szCs w:val="20"/>
        </w:rPr>
        <w:t xml:space="preserve">ystem”/Dietary Calculation System) with the latest version of the food database, largely based on the Norwegian Food Composition Table </w:t>
      </w:r>
      <w:r w:rsidRPr="00DD2736">
        <w:rPr>
          <w:color w:val="auto"/>
          <w:sz w:val="20"/>
          <w:szCs w:val="20"/>
        </w:rPr>
        <w:fldChar w:fldCharType="begin" w:fldLock="1"/>
      </w:r>
      <w:r w:rsidRPr="00DD2736">
        <w:rPr>
          <w:color w:val="auto"/>
          <w:sz w:val="20"/>
          <w:szCs w:val="20"/>
        </w:rPr>
        <w:instrText>ADDIN CSL_CITATION {"citationItems":[{"id":"ITEM-1","itemData":{"URL":"www.matvaretabellen.no","accessed":{"date-parts":[["2020","6","16"]]},"author":[{"dropping-particle":"","family":"Norwegian Food Safety Authority","given":"","non-dropping-particle":"","parse-names":false,"suffix":""}],"id":"ITEM-1","issued":{"date-parts":[["0"]]},"title":"Norwegian Food Composition Database 2019","type":"webpage"},"uris":["http://www.mendeley.com/documents/?uuid=5ad92ae3-8b9b-49b0-9432-6425a9198ef3"]}],"mendeley":{"formattedCitation":"(1)","plainTextFormattedCitation":"(1)","previouslyFormattedCitation":"(63)"},"properties":{"noteIndex":0},"schema":"https://github.com/citation-style-language/schema/raw/master/csl-citation.json"}</w:instrText>
      </w:r>
      <w:r w:rsidRPr="00DD2736">
        <w:rPr>
          <w:color w:val="auto"/>
          <w:sz w:val="20"/>
          <w:szCs w:val="20"/>
        </w:rPr>
        <w:fldChar w:fldCharType="separate"/>
      </w:r>
      <w:r w:rsidRPr="00DD2736">
        <w:rPr>
          <w:i w:val="0"/>
          <w:noProof/>
          <w:color w:val="auto"/>
          <w:sz w:val="20"/>
          <w:szCs w:val="20"/>
        </w:rPr>
        <w:t>(1)</w:t>
      </w:r>
      <w:r w:rsidRPr="00DD2736">
        <w:rPr>
          <w:color w:val="auto"/>
          <w:sz w:val="20"/>
          <w:szCs w:val="20"/>
        </w:rPr>
        <w:fldChar w:fldCharType="end"/>
      </w:r>
      <w:r w:rsidRPr="00DD2736">
        <w:rPr>
          <w:color w:val="auto"/>
          <w:sz w:val="20"/>
          <w:szCs w:val="20"/>
        </w:rPr>
        <w:t xml:space="preserve">. Missing answers are imputed as zero in line with common practice </w:t>
      </w:r>
      <w:r w:rsidRPr="00DD2736">
        <w:rPr>
          <w:color w:val="auto"/>
          <w:sz w:val="20"/>
          <w:szCs w:val="20"/>
        </w:rPr>
        <w:fldChar w:fldCharType="begin" w:fldLock="1"/>
      </w:r>
      <w:r w:rsidRPr="00DD2736">
        <w:rPr>
          <w:color w:val="auto"/>
          <w:sz w:val="20"/>
          <w:szCs w:val="20"/>
        </w:rPr>
        <w:instrText>ADDIN CSL_CITATION {"citationItems":[{"id":"ITEM-1","itemData":{"DOI":"10.1079/phn2001315","ISSN":"1368-9800","PMID":"12003662","abstract":"OBJECTIVES To evaluate the reproducibility of, and to compare and calibrate, diet measures by the Northern Sweden 84-item food-frequency questionnaire (FFQ) with measures from 24-hour diet recalls (24-HDR). DESIGN Randomly selected respondents from the EPIC (diet-cancer) and MONICA (diet-cardiovascular disease) study cohort in Northern Sweden were invited to answer the FFQ twice over a one-year interval (FFQ1 and FFQ2), and to complete ten 24-hour recalls (reference method) in the months between. Plasma beta-carotene concentrations were determined from a subset of 47 participants. SETTING Västerbotten and Norrbotten, Northern Sweden. PARTICIPANTS Ninety-six men and 99 women, who completed the study. RESULTS The reproducibility of the FFQ was high in terms of both mean energy and nutrient intakes and relative ranking of participants by intake levels (median Pearson correlation of 0.68). Moderately higher food intake frequencies were recorded by FFQ1 compared with 24-hour recalls for dairy products, bread/cereals, vegetables, fruits and potato/rice/pasta, whereas meat, fish, sweet snacks and alcoholic beverage intakes were lower. The median Spearman coefficient of correlation between FFQ1 and the average of ten 24-HDR measurements was 0.50. Daily energy and nutrient intakes were similar for FFQ1 and 24-HDR measurements, except for fibre, vitamin C, beta-carotene and retinol (FFQ1&gt;24-HDR) and sucrose and cholesterol Pearson coefficients of correlation between FFQ1 and 24-HDR corrected for attenuation due to residual day-to-day variation in the 24-HDR measurements ranged from 0.36 to 0.79 (median 0.54). Adjustment for energy had only very moderate effects on the correlation estimates. Calibration coefficients estimated by linear regression of the 24-HDR on the FFQ1 measurements varied between 0.30 and 0.59 for all nutrients except alcohol, which had calibration coefficients close to 1.0. These low calibration coefficients indicate that relative risk estimates corresponding to an absolute difference in dietary intake levels measured by the FFQ will generally be biased towards 1.0. Plasma beta-carotene levels had a Pearson coefficient of correlation of 0.47 with the 24-HDR measurements, and of 0.23 with FFQ1 measurements. CONCLUSIONS The Northern Sweden FFQ measurements have good reproducibility and an estimated level of validity similar to that of FFQ measurements in other prospective cohort studies. The results from this study will form the basis for the co…","author":[{"dropping-particle":"","family":"Johansson","given":"Ingegerd","non-dropping-particle":"","parse-names":false,"suffix":""},{"dropping-particle":"","family":"Hallmans","given":"Göran","non-dropping-particle":"","parse-names":false,"suffix":""},{"dropping-particle":"","family":"Wikman","given":"Åsa","non-dropping-particle":"","parse-names":false,"suffix":""},{"dropping-particle":"","family":"Biessy","given":"Carine","non-dropping-particle":"","parse-names":false,"suffix":""},{"dropping-particle":"","family":"Riboli","given":"Elio","non-dropping-particle":"","parse-names":false,"suffix":""},{"dropping-particle":"","family":"Kaaks","given":"Rudolf","non-dropping-particle":"","parse-names":false,"suffix":""}],"container-title":"Public Health Nutrition","id":"ITEM-1","issue":"3","issued":{"date-parts":[["2002"]]},"page":"487-496","title":"Validation and calibration of food-frequency questionnaire measurements in the Northern Sweden Health and Disease cohort","type":"article-journal","volume":"5"},"uris":["http://www.mendeley.com/documents/?uuid=ad336b0d-4ba3-4d3c-b71f-fe6c19f4019d"]},{"id":"ITEM-2","itemData":{"DOI":"10.1186/1475-2891-9-37","ISSN":"14752891","abstract":"Background. We have developed a food frequency questionnaire (FFQ) for the assessment of habitual diet, with special focus on the intake of fruit, vegetables and other antioxidant-rich foods and beverages. The aim of the present study was to evaluate the relative validity of the intakes of energy, food and nutrients from the FFQ. Methods. Energy intake was evaluated against independent measures of energy expenditure using the ActiReg system (motion detection), whereas 7-days weighed food records were used to study the relative validity of food and nutrient intake. The relationship between methods was investigated using correlation analyses and cross-classification of participants. The visual agreement between the methods was evaluated using Bland-Altman plots. Results. We observed that the FFQ underestimated the energy intake by approximately 11% compared to the energy expenditure measured by the ActiReg. The correlation coefficient between energy intake and energy expenditure was 0.54 and 32% of the participants were defined as under-reporters. Compared to the weighed food records the percentages of energy from fat and added sugar from the FFQ were underestimated, whereas the percentage of energy from total carbohydrates and protein were slightly overestimated. The intake of foods rich in antioxidants did not vary significantly between the FFQ and weighed food records, with the exceptions of berries, coffee, tea and vegetables which were overestimated. Spearman's Rank Order Correlations between FFQ and weighed food records were 0.41 for berries, 0.58 for chocolate, 0.78 for coffee, 0.61 for fruit, 0.57 for fruit and berry juices, 0.40 for nuts, 0.74 for tea, 0.38 for vegetables and 0.70 for the intake of wine. Conclusions. Our new FFQ provides a good estimate of the average energy intake and it obtains valid data on average intake of most antioxidant-rich foods and beverages. Our study also showed that the FFQs ability to rank participants according to intake of total antioxidants and most of the antioxidant-rich foods was good. © 2010 Carlsen et al; licensee BioMed Central Ltd.","author":[{"dropping-particle":"","family":"Carlsen","given":"Monica H.","non-dropping-particle":"","parse-names":false,"suffix":""},{"dropping-particle":"","family":"Lillegaard","given":"Inger Tl","non-dropping-particle":"","parse-names":false,"suffix":""},{"dropping-particle":"","family":"Karlsen","given":"Anette","non-dropping-particle":"","parse-names":false,"suffix":""},{"dropping-particle":"","family":"Blomhoff","given":"Rune","non-dropping-particle":"","parse-names":false,"suffix":""},{"dropping-particle":"","family":"Drevon","given":"Christian A.","non-dropping-particle":"","parse-names":false,"suffix":""},{"dropping-particle":"","family":"Andersen","given":"Lene F.","non-dropping-particle":"","parse-names":false,"suffix":""}],"container-title":"Nutrition Journal","id":"ITEM-2","issue":"1","issued":{"date-parts":[["2010"]]},"note":"Monica Carlsen et al (2010)\n\n270-items FFQ validert mhp energi (mot måling av energiforbruk) og inntak av frukt, grønnsaker og andre antioksidantrike matvarer (mot 7d-WR)","page":"1-9","title":"Evaluation of energy and dietary intake estimates from a food frequency questionnaire using independent energy expenditure measurement and weighed food records","type":"article-journal","volume":"9"},"uris":["http://www.mendeley.com/documents/?uuid=16ae37fd-e486-43b1-a7a6-6880a128df2f"]},{"id":"ITEM-3","itemData":{"DOI":"10.1017/S0007114510005246","ISBN":"0007114510005","ISSN":"00071145","abstract":"The aim of the present study was to validate the intakes of fruit, juice and vegetables from an FFQ. In sub-study I (n 147), intakes from the FFQ were evaluated against 7d weighed food records (WR) and plasma carotenoid concentrations, whereas in sub-study II (n 85), the intakes were evaluated against plasma carotenoid concentrations and amounts of flavonoids in 24h urine samples. Relative validity was evaluated by comparing median intakes, estimating correlation coefficients and validity coefficients using the method of triads. In sub-study I, we observed no significant difference in daily median fruit intake between the FFQ and the WR, whereas the intake of vegetables was higher from the FFQ than from the WR. The correlations between intakes from the FFQ and the WR ranged from 031 to 058. In sub-study II, the intakes of fruit and vegetables correlated significantly with plasma carotenoid concentrations and urinary flavonoids. The validity coefficients for the intakes of fruit and vegetables from the FFQ ranged from 061 to 088 in sub-study I and from 060 to 094 in sub-study II. In summary, based on the associations observed between intakes from the FFQ and the biomarkers and the FFQ validity coefficients, the FFQ was found valid and suitable for ranking individuals according to their usual intake of fruit, juice and vegetables. © 2011 The Authors.","author":[{"dropping-particle":"","family":"Carlsen","given":"Monica H.","non-dropping-particle":"","parse-names":false,"suffix":""},{"dropping-particle":"","family":"Karlsen","given":"Anette","non-dropping-particle":"","parse-names":false,"suffix":""},{"dropping-particle":"","family":"Lillegaard","given":"Inger T L","non-dropping-particle":"","parse-names":false,"suffix":""},{"dropping-particle":"","family":"Gran","given":"Jon M.","non-dropping-particle":"","parse-names":false,"suffix":""},{"dropping-particle":"","family":"Drevon","given":"Christian A.","non-dropping-particle":"","parse-names":false,"suffix":""},{"dropping-particle":"","family":"Blomhoff","given":"Rune","non-dropping-particle":"","parse-names":false,"suffix":""},{"dropping-particle":"","family":"Andersen","given":"Lene F.","non-dropping-particle":"","parse-names":false,"suffix":""}],"container-title":"British Journal of Nutrition","id":"ITEM-3","issue":"10","issued":{"date-parts":[["2011"]]},"note":"Monica Carlsen et al (2011)\n\nValidering av frukt, juice og grønnsaksinntak fra et 270-items FFQ mot 7d-WR.","page":"1530-1538","title":"Relative validity of fruit and vegetable intake estimated from an FFQ, using carotenoid and flavonoid biomarkers and the method of triads","type":"article-journal","volume":"105"},"uris":["http://www.mendeley.com/documents/?uuid=816be39e-dd41-4413-9e4c-01e0281f4a02"]},{"id":"ITEM-4","itemData":{"DOI":"10.1093/ije/25.2.235","ISSN":"0300-5771","abstract":"Background. In retrospective studies of dietary habits and breast cancer risk, recall bias is a concern since diet has been publicized as a cause of breast cancer. Methods. In a case-control study of diet and breast cancer risk nested within a cohort of women screened with mammography, we contrasted answers to a retrospective dietary interview with answers to a dietary questionnaire which was filled out before any diagnostic procedures for breast cancer were undertaken. The source population was all women aged 40-74 in two counties in Sweden invited to mammographic screening and asked to fill out a questionnaire before the screening. Cases and controls were subsequently defined - matched on age, county of residence, and time of mammography - and approached for an interview. Results. In all, 265 cases and 431 controls participated in the study. Means of monthly frequencies differed between the questionnaire and the interview for both cases and controls to a similar degree in all food groups. The percentage of agreement in the questionnaire's and the interview's classifications of study subjects into quartiles of monthly intake varied between 31% and 57%. Kappa statistics in all food groups were below 0.41. These measures of agreement did not differ between cases and controls. The confidence intervals for odds ratios of breast cancer risk obtained from the two measurements overlapped for all food groups. In a regression analysis, case subjects with low responses on the questionnaire about intake of meat, snacks, and coffee and tea gave higher responses on interview than did controls who had tow questionnaire responses for these food groups. The reverse was also true: cases' responses that were high on the questionnaire were lower on interview for these food groups than were controls' responses. Conclusions. We found few signs of recall bias, and the few indications of a differential misclassification that we found were not in food groups that have been publicly discussed as causes of breast cancer.","author":[{"dropping-particle":"","family":"Holmberg","given":"L","non-dropping-particle":"","parse-names":false,"suffix":""},{"dropping-particle":"","family":"Ohlander","given":"E M","non-dropping-particle":"","parse-names":false,"suffix":""},{"dropping-particle":"","family":"Byers","given":"T","non-dropping-particle":"","parse-names":false,"suffix":""},{"dropping-particle":"","family":"Zack","given":"M","non-dropping-particle":"","parse-names":false,"suffix":""},{"dropping-particle":"","family":"Wolk","given":"A","non-dropping-particle":"","parse-names":false,"suffix":""},{"dropping-particle":"","family":"Bruce","given":"Å","non-dropping-particle":"","parse-names":false,"suffix":""},{"dropping-particle":"","family":"Bergstrom","given":"R","non-dropping-particle":"","parse-names":false,"suffix":""},{"dropping-particle":"","family":"Bergkvist","given":"L","non-dropping-particle":"","parse-names":false,"suffix":""},{"dropping-particle":"","family":"Adami","given":"Hans Olov","non-dropping-particle":"","parse-names":false,"suffix":""}],"container-title":"International Journal of Epidemiology","id":"ITEM-4","issue":"2","issued":{"date-parts":[["1996"]]},"page":"235-244","title":"A Search for Recall Bias in a Case-Control Study of Diet and Breast Cancer","type":"article-journal","volume":"25"},"uris":["http://www.mendeley.com/documents/?uuid=3160b244-0613-43d6-b779-8b024525d88c"]}],"mendeley":{"formattedCitation":"(2–5)","plainTextFormattedCitation":"(2–5)","previouslyFormattedCitation":"(59,61,64,65)"},"properties":{"noteIndex":0},"schema":"https://github.com/citation-style-language/schema/raw/master/csl-citation.json"}</w:instrText>
      </w:r>
      <w:r w:rsidRPr="00DD2736">
        <w:rPr>
          <w:color w:val="auto"/>
          <w:sz w:val="20"/>
          <w:szCs w:val="20"/>
        </w:rPr>
        <w:fldChar w:fldCharType="separate"/>
      </w:r>
      <w:r w:rsidRPr="00DD2736">
        <w:rPr>
          <w:i w:val="0"/>
          <w:noProof/>
          <w:color w:val="auto"/>
          <w:sz w:val="20"/>
          <w:szCs w:val="20"/>
        </w:rPr>
        <w:t>(2–5)</w:t>
      </w:r>
      <w:r w:rsidRPr="00DD2736">
        <w:rPr>
          <w:color w:val="auto"/>
          <w:sz w:val="20"/>
          <w:szCs w:val="20"/>
        </w:rPr>
        <w:fldChar w:fldCharType="end"/>
      </w:r>
      <w:r w:rsidRPr="00DD2736">
        <w:rPr>
          <w:color w:val="auto"/>
          <w:sz w:val="20"/>
          <w:szCs w:val="20"/>
        </w:rPr>
        <w:t xml:space="preserve">. Any FFQs regarded as potentially problematic during the data handling process are listed. Dietary intake data and the list of potentially problematic FFQs are then returned to the Cancer Registry of Norway (CRN). Potentially problematic FFQs are reviewed according to a set of predefined criteria, including inconsistency in reporting, number of missing pages and amount of missing food items. Based on these criteria, FFQs are graded as being of low, medium or sufficient quality. Whereas low quality FFQs will be excluded from all analysis where diet is the primary exposure, medium quality FFQs will be included unless sensitivity analysis indicates substantial attenuation of effect estimates. Lastly, in line with common practice in nutrition studies </w:t>
      </w:r>
      <w:r w:rsidRPr="00DD2736">
        <w:rPr>
          <w:color w:val="auto"/>
          <w:sz w:val="20"/>
          <w:szCs w:val="20"/>
        </w:rPr>
        <w:fldChar w:fldCharType="begin" w:fldLock="1"/>
      </w:r>
      <w:r w:rsidRPr="00DD2736">
        <w:rPr>
          <w:color w:val="auto"/>
          <w:sz w:val="20"/>
          <w:szCs w:val="20"/>
        </w:rPr>
        <w:instrText>ADDIN CSL_CITATION {"citationItems":[{"id":"ITEM-1","itemData":{"ISBN":"9780199754038 0199754039","abstract":"This text is intended for those who wish to understand the complex relationships between diet and risks of important diseases, such as cancer and cardiovascular disease. It is aimed both at researchers engaged in the unraveling of these complex relationships and at readers of the rapidly multiplying and often confusing scholarly literature on the subject. The book starts with an overview of research strategies in nutritional epidemiology-still a relatively new discipline that combines the vast knowledge compiled by nutritionists during this century with the methodologies developed by epidemiologists to study the determinants of diseases with multiple etiologies and long latent periods. A major section is devoted to the methods of dietary assessment using data on food intake, biochemical indicators of diet, and measures of body composition and size. The reproducibility and validity of each approach and the implications of measurement error are considered in detail. The analysis, presentation, and interpretation of data from epidemiologic studies of diet and disease are explored in depth. Particular attention is paid to the important influence of total energy intake on findings in such studies. To illustrate methodological issues in nutritional epidemiology, relationships of dietary factors to the incidence of lung and breast cancer, heart disease, and birth defects are examined in depth. -- Publisher.","author":[{"dropping-particle":"","family":"Willett","given":"Walter.","non-dropping-particle":"","parse-names":false,"suffix":""}],"id":"ITEM-1","issued":{"date-parts":[["2013"]]},"language":"English","publisher":"Oxford University Press","publisher-place":"Oxford; New York","title":"Nutritional epidemiology","type":"book"},"uris":["http://www.mendeley.com/documents/?uuid=dc49afd5-ab52-4bd3-bc69-bc6f89a5b9b5"]}],"mendeley":{"formattedCitation":"(6)","plainTextFormattedCitation":"(6)","previouslyFormattedCitation":"(66)"},"properties":{"noteIndex":0},"schema":"https://github.com/citation-style-language/schema/raw/master/csl-citation.json"}</w:instrText>
      </w:r>
      <w:r w:rsidRPr="00DD2736">
        <w:rPr>
          <w:color w:val="auto"/>
          <w:sz w:val="20"/>
          <w:szCs w:val="20"/>
        </w:rPr>
        <w:fldChar w:fldCharType="separate"/>
      </w:r>
      <w:r w:rsidRPr="00DD2736">
        <w:rPr>
          <w:i w:val="0"/>
          <w:noProof/>
          <w:color w:val="auto"/>
          <w:sz w:val="20"/>
          <w:szCs w:val="20"/>
        </w:rPr>
        <w:t>(6)</w:t>
      </w:r>
      <w:r w:rsidRPr="00DD2736">
        <w:rPr>
          <w:color w:val="auto"/>
          <w:sz w:val="20"/>
          <w:szCs w:val="20"/>
        </w:rPr>
        <w:fldChar w:fldCharType="end"/>
      </w:r>
      <w:r w:rsidRPr="00DD2736">
        <w:rPr>
          <w:color w:val="auto"/>
          <w:sz w:val="20"/>
          <w:szCs w:val="20"/>
        </w:rPr>
        <w:t>, observations with extreme energy intake levels in both the upper and lower range will be excluded.</w:t>
      </w:r>
    </w:p>
    <w:p w:rsidR="00EE312D" w:rsidRDefault="00EE312D">
      <w:pPr>
        <w:spacing w:line="259" w:lineRule="auto"/>
      </w:pPr>
      <w:r>
        <w:br w:type="page"/>
      </w:r>
    </w:p>
    <w:p w:rsidR="00EE312D" w:rsidRPr="00EE312D" w:rsidRDefault="00EE312D" w:rsidP="00EE312D">
      <w:pPr>
        <w:rPr>
          <w:b/>
        </w:rPr>
      </w:pPr>
      <w:r w:rsidRPr="00EE312D">
        <w:rPr>
          <w:b/>
        </w:rPr>
        <w:lastRenderedPageBreak/>
        <w:t>References</w:t>
      </w:r>
      <w:bookmarkStart w:id="0" w:name="_GoBack"/>
      <w:bookmarkEnd w:id="0"/>
    </w:p>
    <w:p w:rsidR="00EE312D" w:rsidRPr="00EE312D" w:rsidRDefault="00EE312D" w:rsidP="00EE312D">
      <w:pPr>
        <w:widowControl w:val="0"/>
        <w:autoSpaceDE w:val="0"/>
        <w:autoSpaceDN w:val="0"/>
        <w:adjustRightInd w:val="0"/>
        <w:ind w:left="640" w:hanging="640"/>
        <w:rPr>
          <w:rFonts w:cs="Times New Roman"/>
          <w:noProof/>
          <w:szCs w:val="24"/>
        </w:rPr>
      </w:pPr>
      <w:r>
        <w:fldChar w:fldCharType="begin" w:fldLock="1"/>
      </w:r>
      <w:r>
        <w:instrText xml:space="preserve">ADDIN Mendeley Bibliography CSL_BIBLIOGRAPHY </w:instrText>
      </w:r>
      <w:r>
        <w:fldChar w:fldCharType="separate"/>
      </w:r>
      <w:r w:rsidRPr="00EE312D">
        <w:rPr>
          <w:rFonts w:cs="Times New Roman"/>
          <w:noProof/>
          <w:szCs w:val="24"/>
        </w:rPr>
        <w:t xml:space="preserve">1. </w:t>
      </w:r>
      <w:r w:rsidRPr="00EE312D">
        <w:rPr>
          <w:rFonts w:cs="Times New Roman"/>
          <w:noProof/>
          <w:szCs w:val="24"/>
        </w:rPr>
        <w:tab/>
        <w:t>Norwegian Food Safety Authority. Norwegian Food Comp</w:t>
      </w:r>
      <w:r>
        <w:rPr>
          <w:rFonts w:cs="Times New Roman"/>
          <w:noProof/>
          <w:szCs w:val="24"/>
        </w:rPr>
        <w:t>osition Database 2019</w:t>
      </w:r>
      <w:r w:rsidRPr="00EE312D">
        <w:rPr>
          <w:rFonts w:cs="Times New Roman"/>
          <w:noProof/>
          <w:szCs w:val="24"/>
        </w:rPr>
        <w:t>. [ci</w:t>
      </w:r>
      <w:r>
        <w:rPr>
          <w:rFonts w:cs="Times New Roman"/>
          <w:noProof/>
          <w:szCs w:val="24"/>
        </w:rPr>
        <w:t>ted 2020 Jun 16]. http://</w:t>
      </w:r>
      <w:r w:rsidRPr="00EE312D">
        <w:rPr>
          <w:rFonts w:cs="Times New Roman"/>
          <w:noProof/>
          <w:szCs w:val="24"/>
        </w:rPr>
        <w:t>www.matvaretabellen.no</w:t>
      </w:r>
    </w:p>
    <w:p w:rsidR="00EE312D" w:rsidRPr="00EE312D" w:rsidRDefault="00EE312D" w:rsidP="00EE312D">
      <w:pPr>
        <w:widowControl w:val="0"/>
        <w:autoSpaceDE w:val="0"/>
        <w:autoSpaceDN w:val="0"/>
        <w:adjustRightInd w:val="0"/>
        <w:ind w:left="640" w:hanging="640"/>
        <w:rPr>
          <w:rFonts w:cs="Times New Roman"/>
          <w:noProof/>
          <w:szCs w:val="24"/>
        </w:rPr>
      </w:pPr>
      <w:r w:rsidRPr="00EE312D">
        <w:rPr>
          <w:rFonts w:cs="Times New Roman"/>
          <w:noProof/>
          <w:szCs w:val="24"/>
        </w:rPr>
        <w:t xml:space="preserve">2. </w:t>
      </w:r>
      <w:r w:rsidRPr="00EE312D">
        <w:rPr>
          <w:rFonts w:cs="Times New Roman"/>
          <w:noProof/>
          <w:szCs w:val="24"/>
        </w:rPr>
        <w:tab/>
        <w:t xml:space="preserve">Johansson I, Hallmans G, Wikman Å, Biessy C, Riboli E, Kaaks R. Validation and calibration of food-frequency questionnaire measurements in the Northern Sweden Health and Disease cohort. Public Health Nutr. 2002;5:487–96. </w:t>
      </w:r>
    </w:p>
    <w:p w:rsidR="00EE312D" w:rsidRPr="00EE312D" w:rsidRDefault="00EE312D" w:rsidP="00EE312D">
      <w:pPr>
        <w:widowControl w:val="0"/>
        <w:autoSpaceDE w:val="0"/>
        <w:autoSpaceDN w:val="0"/>
        <w:adjustRightInd w:val="0"/>
        <w:ind w:left="640" w:hanging="640"/>
        <w:rPr>
          <w:rFonts w:cs="Times New Roman"/>
          <w:noProof/>
          <w:szCs w:val="24"/>
        </w:rPr>
      </w:pPr>
      <w:r w:rsidRPr="00EE312D">
        <w:rPr>
          <w:rFonts w:cs="Times New Roman"/>
          <w:noProof/>
          <w:szCs w:val="24"/>
        </w:rPr>
        <w:t xml:space="preserve">3. </w:t>
      </w:r>
      <w:r w:rsidRPr="00EE312D">
        <w:rPr>
          <w:rFonts w:cs="Times New Roman"/>
          <w:noProof/>
          <w:szCs w:val="24"/>
        </w:rPr>
        <w:tab/>
        <w:t xml:space="preserve">Carlsen MH, Lillegaard IT, Karlsen A, Blomhoff R, Drevon CA, Andersen LF. Evaluation of energy and dietary intake estimates from a food frequency questionnaire using independent energy expenditure measurement and weighed food records. Nutr J. 2010;9:1–9. </w:t>
      </w:r>
    </w:p>
    <w:p w:rsidR="00EE312D" w:rsidRPr="00EE312D" w:rsidRDefault="00EE312D" w:rsidP="00EE312D">
      <w:pPr>
        <w:widowControl w:val="0"/>
        <w:autoSpaceDE w:val="0"/>
        <w:autoSpaceDN w:val="0"/>
        <w:adjustRightInd w:val="0"/>
        <w:ind w:left="640" w:hanging="640"/>
        <w:rPr>
          <w:rFonts w:cs="Times New Roman"/>
          <w:noProof/>
          <w:szCs w:val="24"/>
        </w:rPr>
      </w:pPr>
      <w:r w:rsidRPr="00EE312D">
        <w:rPr>
          <w:rFonts w:cs="Times New Roman"/>
          <w:noProof/>
          <w:szCs w:val="24"/>
        </w:rPr>
        <w:t xml:space="preserve">4. </w:t>
      </w:r>
      <w:r w:rsidRPr="00EE312D">
        <w:rPr>
          <w:rFonts w:cs="Times New Roman"/>
          <w:noProof/>
          <w:szCs w:val="24"/>
        </w:rPr>
        <w:tab/>
        <w:t xml:space="preserve">Carlsen MH, Karlsen A, Lillegaard ITL, Gran JM, Drevon CA, Blomhoff R, Andersen LF. Relative validity of fruit and vegetable intake estimated from an FFQ, using carotenoid and flavonoid biomarkers and the method of triads. Br J Nutr. 2011;105:1530–8. </w:t>
      </w:r>
    </w:p>
    <w:p w:rsidR="00EE312D" w:rsidRPr="00EE312D" w:rsidRDefault="00EE312D" w:rsidP="00EE312D">
      <w:pPr>
        <w:widowControl w:val="0"/>
        <w:autoSpaceDE w:val="0"/>
        <w:autoSpaceDN w:val="0"/>
        <w:adjustRightInd w:val="0"/>
        <w:ind w:left="640" w:hanging="640"/>
        <w:rPr>
          <w:rFonts w:cs="Times New Roman"/>
          <w:noProof/>
          <w:szCs w:val="24"/>
        </w:rPr>
      </w:pPr>
      <w:r w:rsidRPr="00EE312D">
        <w:rPr>
          <w:rFonts w:cs="Times New Roman"/>
          <w:noProof/>
          <w:szCs w:val="24"/>
        </w:rPr>
        <w:t xml:space="preserve">5. </w:t>
      </w:r>
      <w:r w:rsidRPr="00EE312D">
        <w:rPr>
          <w:rFonts w:cs="Times New Roman"/>
          <w:noProof/>
          <w:szCs w:val="24"/>
        </w:rPr>
        <w:tab/>
        <w:t xml:space="preserve">Holmberg L, Ohlander EM, Byers T, Zack M, Wolk A, Bruce Å, Bergstrom R, Bergkvist L, Adami HO. A Search for Recall Bias in a Case-Control Study of Diet and Breast Cancer. Int J Epidemiol. 1996;25:235–44. </w:t>
      </w:r>
    </w:p>
    <w:p w:rsidR="00EE312D" w:rsidRPr="00EE312D" w:rsidRDefault="00EE312D" w:rsidP="00EE312D">
      <w:pPr>
        <w:widowControl w:val="0"/>
        <w:autoSpaceDE w:val="0"/>
        <w:autoSpaceDN w:val="0"/>
        <w:adjustRightInd w:val="0"/>
        <w:ind w:left="640" w:hanging="640"/>
        <w:rPr>
          <w:rFonts w:cs="Times New Roman"/>
          <w:noProof/>
        </w:rPr>
      </w:pPr>
      <w:r w:rsidRPr="00EE312D">
        <w:rPr>
          <w:rFonts w:cs="Times New Roman"/>
          <w:noProof/>
          <w:szCs w:val="24"/>
        </w:rPr>
        <w:t xml:space="preserve">6. </w:t>
      </w:r>
      <w:r w:rsidRPr="00EE312D">
        <w:rPr>
          <w:rFonts w:cs="Times New Roman"/>
          <w:noProof/>
          <w:szCs w:val="24"/>
        </w:rPr>
        <w:tab/>
        <w:t xml:space="preserve">Willett W. Nutritional epidemiology. Oxford; New York: Oxford University Press; 2013. </w:t>
      </w:r>
    </w:p>
    <w:p w:rsidR="00EE312D" w:rsidRPr="00EE312D" w:rsidRDefault="00EE312D" w:rsidP="00EE312D">
      <w:r>
        <w:fldChar w:fldCharType="end"/>
      </w:r>
    </w:p>
    <w:p w:rsidR="0011466E" w:rsidRDefault="00DD2736"/>
    <w:sectPr w:rsidR="0011466E" w:rsidSect="00EE312D">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12D" w:rsidRDefault="00EE312D" w:rsidP="00EE312D">
      <w:pPr>
        <w:spacing w:after="0" w:line="240" w:lineRule="auto"/>
      </w:pPr>
      <w:r>
        <w:separator/>
      </w:r>
    </w:p>
  </w:endnote>
  <w:endnote w:type="continuationSeparator" w:id="0">
    <w:p w:rsidR="00EE312D" w:rsidRDefault="00EE312D" w:rsidP="00EE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12D" w:rsidRDefault="00EE312D" w:rsidP="00EE312D">
      <w:pPr>
        <w:spacing w:after="0" w:line="240" w:lineRule="auto"/>
      </w:pPr>
      <w:r>
        <w:separator/>
      </w:r>
    </w:p>
  </w:footnote>
  <w:footnote w:type="continuationSeparator" w:id="0">
    <w:p w:rsidR="00EE312D" w:rsidRDefault="00EE312D" w:rsidP="00EE31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12D"/>
    <w:rsid w:val="00406A3C"/>
    <w:rsid w:val="00CD63ED"/>
    <w:rsid w:val="00DD2736"/>
    <w:rsid w:val="00EE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A59430-5E7F-4FD8-B9AB-99BF0E9E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12D"/>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31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312D"/>
    <w:rPr>
      <w:rFonts w:ascii="Times New Roman" w:hAnsi="Times New Roman"/>
      <w:sz w:val="24"/>
    </w:rPr>
  </w:style>
  <w:style w:type="paragraph" w:styleId="Caption">
    <w:name w:val="caption"/>
    <w:basedOn w:val="Normal"/>
    <w:next w:val="Normal"/>
    <w:uiPriority w:val="35"/>
    <w:unhideWhenUsed/>
    <w:qFormat/>
    <w:rsid w:val="00EE312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E312D"/>
    <w:pPr>
      <w:tabs>
        <w:tab w:val="center" w:pos="4703"/>
        <w:tab w:val="right" w:pos="9406"/>
      </w:tabs>
      <w:spacing w:after="0" w:line="240" w:lineRule="auto"/>
    </w:pPr>
  </w:style>
  <w:style w:type="character" w:customStyle="1" w:styleId="HeaderChar">
    <w:name w:val="Header Char"/>
    <w:basedOn w:val="DefaultParagraphFont"/>
    <w:link w:val="Header"/>
    <w:uiPriority w:val="99"/>
    <w:rsid w:val="00EE312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Sørlie Kværner</dc:creator>
  <cp:keywords/>
  <dc:description/>
  <cp:lastModifiedBy>Ane Sørlie Kværner</cp:lastModifiedBy>
  <cp:revision>2</cp:revision>
  <dcterms:created xsi:type="dcterms:W3CDTF">2020-12-14T09:30:00Z</dcterms:created>
  <dcterms:modified xsi:type="dcterms:W3CDTF">2020-12-14T09:40:00Z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http://www.zotero.org/styles/the-american-journal-of-clinical-nutrition</vt:lpwstr>
  </property>
  <property fmtid="{D5CDD505-2E9C-101B-9397-08002B2CF9AE}" pid="21" name="Mendeley Recent Style Name 9_1">
    <vt:lpwstr>The American Journal of Clinical Nutrition</vt:lpwstr>
  </property>
  <property fmtid="{D5CDD505-2E9C-101B-9397-08002B2CF9AE}" pid="22" name="Mendeley Document_1">
    <vt:lpwstr>True</vt:lpwstr>
  </property>
  <property fmtid="{D5CDD505-2E9C-101B-9397-08002B2CF9AE}" pid="23" name="Mendeley Unique User Id_1">
    <vt:lpwstr>6d184f68-d901-3385-ab00-3112c8f3e36b</vt:lpwstr>
  </property>
  <property fmtid="{D5CDD505-2E9C-101B-9397-08002B2CF9AE}" pid="24" name="Mendeley Citation Style_1">
    <vt:lpwstr>http://www.zotero.org/styles/the-american-journal-of-clinical-nutrition</vt:lpwstr>
  </property>
</Properties>
</file>