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846906" w14:textId="0B112C92" w:rsidR="00822BE5" w:rsidRPr="00BE78AF" w:rsidRDefault="00BE78AF" w:rsidP="00BE78AF">
      <w:pPr>
        <w:pStyle w:val="Heading2"/>
        <w:rPr>
          <w:rFonts w:asciiTheme="minorHAnsi" w:hAnsiTheme="minorHAnsi" w:cstheme="minorHAnsi"/>
          <w:bCs/>
          <w:iCs/>
          <w:color w:val="auto"/>
        </w:rPr>
      </w:pPr>
      <w:bookmarkStart w:id="0" w:name="_Toc528115000"/>
      <w:r w:rsidRPr="00BE78AF">
        <w:rPr>
          <w:rFonts w:asciiTheme="minorHAnsi" w:hAnsiTheme="minorHAnsi" w:cstheme="minorHAnsi"/>
          <w:bCs/>
          <w:iCs/>
          <w:color w:val="auto"/>
        </w:rPr>
        <w:t xml:space="preserve">Additional File 1: </w:t>
      </w:r>
      <w:r w:rsidRPr="00BE78AF">
        <w:rPr>
          <w:rFonts w:asciiTheme="minorHAnsi" w:hAnsiTheme="minorHAnsi" w:cstheme="minorHAnsi"/>
          <w:color w:val="auto"/>
        </w:rPr>
        <w:t>Additional information regarding the clinical data and model results</w:t>
      </w:r>
    </w:p>
    <w:p w14:paraId="2C51FADF" w14:textId="77777777" w:rsidR="007D7832" w:rsidRDefault="007D7832" w:rsidP="007D7832">
      <w:pPr>
        <w:spacing w:after="0"/>
        <w:jc w:val="both"/>
        <w:rPr>
          <w:bCs/>
          <w:iCs/>
        </w:rPr>
      </w:pPr>
    </w:p>
    <w:p w14:paraId="664C523C" w14:textId="7617ED65" w:rsidR="007D7832" w:rsidRPr="007D7832" w:rsidRDefault="007D7832" w:rsidP="007D7832">
      <w:pPr>
        <w:spacing w:after="0"/>
        <w:jc w:val="both"/>
        <w:rPr>
          <w:bCs/>
          <w:iCs/>
        </w:rPr>
      </w:pPr>
      <w:r w:rsidRPr="007D7832">
        <w:rPr>
          <w:bCs/>
          <w:iCs/>
        </w:rPr>
        <w:t xml:space="preserve">Cost-effectiveness analysis of first-line treatment with </w:t>
      </w:r>
      <w:proofErr w:type="spellStart"/>
      <w:r w:rsidRPr="007D7832">
        <w:rPr>
          <w:bCs/>
          <w:iCs/>
        </w:rPr>
        <w:t>crizotinib</w:t>
      </w:r>
      <w:proofErr w:type="spellEnd"/>
      <w:r w:rsidRPr="007D7832">
        <w:rPr>
          <w:bCs/>
          <w:iCs/>
        </w:rPr>
        <w:t xml:space="preserve"> in ROS1-rearranged advanced non-small cell lung cancer </w:t>
      </w:r>
      <w:r w:rsidR="00C3491F">
        <w:t xml:space="preserve">(NSCLC) </w:t>
      </w:r>
      <w:r w:rsidRPr="007D7832">
        <w:rPr>
          <w:bCs/>
          <w:iCs/>
        </w:rPr>
        <w:t>in Canada</w:t>
      </w:r>
    </w:p>
    <w:p w14:paraId="18FBB9EA" w14:textId="77777777" w:rsidR="007D7832" w:rsidRPr="007D7832" w:rsidRDefault="007D7832" w:rsidP="007D7832">
      <w:pPr>
        <w:spacing w:after="0"/>
        <w:jc w:val="both"/>
        <w:rPr>
          <w:bCs/>
          <w:iCs/>
        </w:rPr>
      </w:pPr>
    </w:p>
    <w:p w14:paraId="0C1811FD" w14:textId="251D11C5" w:rsidR="007D7832" w:rsidRDefault="007D7832" w:rsidP="007D7832">
      <w:pPr>
        <w:spacing w:after="0"/>
        <w:jc w:val="both"/>
        <w:rPr>
          <w:bCs/>
          <w:iCs/>
        </w:rPr>
      </w:pPr>
      <w:r w:rsidRPr="007D7832">
        <w:rPr>
          <w:bCs/>
          <w:iCs/>
        </w:rPr>
        <w:t xml:space="preserve">Authors: Jaclyn M Beca, MSc, Shaun Walsh, MSc, </w:t>
      </w:r>
      <w:proofErr w:type="spellStart"/>
      <w:r w:rsidRPr="007D7832">
        <w:rPr>
          <w:bCs/>
          <w:iCs/>
        </w:rPr>
        <w:t>Kaiwan</w:t>
      </w:r>
      <w:proofErr w:type="spellEnd"/>
      <w:r w:rsidRPr="007D7832">
        <w:rPr>
          <w:bCs/>
          <w:iCs/>
        </w:rPr>
        <w:t xml:space="preserve"> Raza, </w:t>
      </w:r>
      <w:proofErr w:type="spellStart"/>
      <w:r w:rsidRPr="007D7832">
        <w:rPr>
          <w:bCs/>
          <w:iCs/>
        </w:rPr>
        <w:t>HBSc</w:t>
      </w:r>
      <w:proofErr w:type="spellEnd"/>
      <w:r w:rsidRPr="007D7832">
        <w:rPr>
          <w:bCs/>
          <w:iCs/>
        </w:rPr>
        <w:t xml:space="preserve">, Stacey </w:t>
      </w:r>
      <w:proofErr w:type="spellStart"/>
      <w:r w:rsidRPr="007D7832">
        <w:rPr>
          <w:bCs/>
          <w:iCs/>
        </w:rPr>
        <w:t>Hubay</w:t>
      </w:r>
      <w:proofErr w:type="spellEnd"/>
      <w:r w:rsidRPr="007D7832">
        <w:rPr>
          <w:bCs/>
          <w:iCs/>
        </w:rPr>
        <w:t xml:space="preserve">, MD, FRCPC, Andrew Robinson, MD, FRCPC, Elena Mow, BSc (Pharm), ACPR, James Keech, MSc, Kelvin KW Chan, MD, FRCPC, MSc, PhD </w:t>
      </w:r>
    </w:p>
    <w:p w14:paraId="673F80B7" w14:textId="0A39D7A2" w:rsidR="00BE78AF" w:rsidRDefault="00BE78AF" w:rsidP="007D7832">
      <w:pPr>
        <w:spacing w:after="0"/>
        <w:jc w:val="both"/>
        <w:rPr>
          <w:bCs/>
          <w:iCs/>
        </w:rPr>
      </w:pPr>
    </w:p>
    <w:p w14:paraId="68120B96" w14:textId="0338CEA3" w:rsidR="00BE78AF" w:rsidRDefault="00BE78AF" w:rsidP="007D7832">
      <w:pPr>
        <w:spacing w:after="0"/>
        <w:jc w:val="both"/>
        <w:rPr>
          <w:bCs/>
          <w:iCs/>
        </w:rPr>
      </w:pPr>
    </w:p>
    <w:p w14:paraId="355BE263" w14:textId="2108B906" w:rsidR="00BE78AF" w:rsidRDefault="00BE78AF" w:rsidP="007D7832">
      <w:pPr>
        <w:spacing w:after="0"/>
        <w:jc w:val="both"/>
        <w:rPr>
          <w:bCs/>
          <w:iCs/>
        </w:rPr>
      </w:pPr>
    </w:p>
    <w:p w14:paraId="66AEE97A" w14:textId="3811E8BE" w:rsidR="00BE78AF" w:rsidRDefault="00BE78AF" w:rsidP="007D7832">
      <w:pPr>
        <w:spacing w:after="0"/>
        <w:jc w:val="both"/>
        <w:rPr>
          <w:bCs/>
          <w:iCs/>
        </w:rPr>
      </w:pPr>
      <w:r>
        <w:rPr>
          <w:bCs/>
          <w:iCs/>
        </w:rPr>
        <w:t>Additional File 1 Contents:</w:t>
      </w:r>
    </w:p>
    <w:p w14:paraId="5618AC3D" w14:textId="77777777" w:rsidR="00BE78AF" w:rsidRDefault="00BE78AF" w:rsidP="007D7832">
      <w:pPr>
        <w:spacing w:after="0"/>
        <w:jc w:val="both"/>
        <w:rPr>
          <w:bCs/>
          <w:iCs/>
        </w:rPr>
      </w:pPr>
    </w:p>
    <w:p w14:paraId="55B872B0" w14:textId="77777777" w:rsidR="00BE78AF" w:rsidRPr="00DD7C96" w:rsidRDefault="00BE78AF" w:rsidP="00BE78AF">
      <w:pPr>
        <w:spacing w:after="0"/>
        <w:jc w:val="both"/>
        <w:rPr>
          <w:bCs/>
          <w:iCs/>
        </w:rPr>
      </w:pPr>
      <w:r w:rsidRPr="00DD7C96">
        <w:rPr>
          <w:bCs/>
          <w:iCs/>
        </w:rPr>
        <w:t>Table 1</w:t>
      </w:r>
      <w:r>
        <w:rPr>
          <w:bCs/>
          <w:iCs/>
        </w:rPr>
        <w:t>.</w:t>
      </w:r>
      <w:r w:rsidRPr="00DD7C96">
        <w:rPr>
          <w:bCs/>
          <w:iCs/>
        </w:rPr>
        <w:t xml:space="preserve"> Studies of </w:t>
      </w:r>
      <w:proofErr w:type="spellStart"/>
      <w:r w:rsidRPr="00DD7C96">
        <w:rPr>
          <w:bCs/>
          <w:iCs/>
        </w:rPr>
        <w:t>crizotinib</w:t>
      </w:r>
      <w:proofErr w:type="spellEnd"/>
      <w:r w:rsidRPr="00DD7C96">
        <w:rPr>
          <w:bCs/>
          <w:iCs/>
        </w:rPr>
        <w:t xml:space="preserve"> and chemotherapy for ROS1+ advanced NSCLC</w:t>
      </w:r>
    </w:p>
    <w:p w14:paraId="56B8AE7A" w14:textId="77777777" w:rsidR="00BE78AF" w:rsidRPr="00DD7C96" w:rsidRDefault="00BE78AF" w:rsidP="00BE78AF">
      <w:pPr>
        <w:spacing w:after="0"/>
        <w:jc w:val="both"/>
        <w:rPr>
          <w:bCs/>
          <w:iCs/>
        </w:rPr>
      </w:pPr>
      <w:r w:rsidRPr="00DD7C96">
        <w:rPr>
          <w:bCs/>
          <w:iCs/>
        </w:rPr>
        <w:t>Table 2</w:t>
      </w:r>
      <w:r>
        <w:rPr>
          <w:bCs/>
          <w:iCs/>
        </w:rPr>
        <w:t>.</w:t>
      </w:r>
      <w:r w:rsidRPr="00DD7C96">
        <w:rPr>
          <w:bCs/>
          <w:iCs/>
        </w:rPr>
        <w:t xml:space="preserve"> Summary of studies used to calculate risk of progression with </w:t>
      </w:r>
      <w:r>
        <w:rPr>
          <w:bCs/>
          <w:iCs/>
        </w:rPr>
        <w:t>second- and third-line</w:t>
      </w:r>
      <w:r w:rsidRPr="00DD7C96">
        <w:rPr>
          <w:bCs/>
          <w:iCs/>
        </w:rPr>
        <w:t xml:space="preserve"> docetaxel and </w:t>
      </w:r>
      <w:r>
        <w:rPr>
          <w:bCs/>
          <w:iCs/>
        </w:rPr>
        <w:t>checkpoint</w:t>
      </w:r>
      <w:r w:rsidRPr="00DD7C96">
        <w:rPr>
          <w:bCs/>
          <w:iCs/>
        </w:rPr>
        <w:t xml:space="preserve"> inhibitor</w:t>
      </w:r>
      <w:r>
        <w:rPr>
          <w:bCs/>
          <w:iCs/>
        </w:rPr>
        <w:t xml:space="preserve">s </w:t>
      </w:r>
    </w:p>
    <w:p w14:paraId="6FDF5709" w14:textId="69324011" w:rsidR="00BE78AF" w:rsidRDefault="00BE78AF" w:rsidP="00BE78AF">
      <w:pPr>
        <w:spacing w:after="0"/>
        <w:jc w:val="both"/>
        <w:rPr>
          <w:bCs/>
          <w:iCs/>
        </w:rPr>
      </w:pPr>
      <w:r w:rsidRPr="00DD7C96">
        <w:rPr>
          <w:bCs/>
          <w:iCs/>
        </w:rPr>
        <w:t>Table 3</w:t>
      </w:r>
      <w:r>
        <w:rPr>
          <w:bCs/>
          <w:iCs/>
        </w:rPr>
        <w:t>.</w:t>
      </w:r>
      <w:r w:rsidRPr="00DD7C96">
        <w:rPr>
          <w:bCs/>
          <w:iCs/>
        </w:rPr>
        <w:t xml:space="preserve"> List of scenario analyses</w:t>
      </w:r>
    </w:p>
    <w:p w14:paraId="2FD5FB91" w14:textId="7D5868A9" w:rsidR="00BE78AF" w:rsidRDefault="00BE78AF" w:rsidP="00BE78AF">
      <w:pPr>
        <w:spacing w:after="0"/>
        <w:jc w:val="both"/>
        <w:rPr>
          <w:bCs/>
          <w:iCs/>
        </w:rPr>
      </w:pPr>
      <w:r w:rsidRPr="00DD7C96">
        <w:rPr>
          <w:bCs/>
          <w:iCs/>
        </w:rPr>
        <w:t>Fig</w:t>
      </w:r>
      <w:r>
        <w:rPr>
          <w:bCs/>
          <w:iCs/>
        </w:rPr>
        <w:t>.</w:t>
      </w:r>
      <w:r w:rsidRPr="00DD7C96">
        <w:rPr>
          <w:bCs/>
          <w:iCs/>
        </w:rPr>
        <w:t xml:space="preserve"> 1</w:t>
      </w:r>
      <w:r>
        <w:rPr>
          <w:bCs/>
          <w:iCs/>
        </w:rPr>
        <w:t>.</w:t>
      </w:r>
      <w:r w:rsidRPr="00DD7C96">
        <w:rPr>
          <w:bCs/>
          <w:iCs/>
        </w:rPr>
        <w:t xml:space="preserve"> PRISMA flow chart for ROS1 studies</w:t>
      </w:r>
    </w:p>
    <w:p w14:paraId="73520CF1" w14:textId="77777777" w:rsidR="00BE78AF" w:rsidRPr="00DD7C96" w:rsidRDefault="00BE78AF" w:rsidP="00BE78AF">
      <w:pPr>
        <w:spacing w:after="0"/>
        <w:jc w:val="both"/>
        <w:rPr>
          <w:bCs/>
          <w:iCs/>
        </w:rPr>
      </w:pPr>
      <w:r w:rsidRPr="00DD7C96">
        <w:rPr>
          <w:bCs/>
          <w:iCs/>
        </w:rPr>
        <w:t>Fig</w:t>
      </w:r>
      <w:r>
        <w:rPr>
          <w:bCs/>
          <w:iCs/>
        </w:rPr>
        <w:t>.</w:t>
      </w:r>
      <w:r w:rsidRPr="00DD7C96">
        <w:rPr>
          <w:bCs/>
          <w:iCs/>
        </w:rPr>
        <w:t xml:space="preserve"> 2</w:t>
      </w:r>
      <w:r>
        <w:rPr>
          <w:bCs/>
          <w:iCs/>
        </w:rPr>
        <w:t>.</w:t>
      </w:r>
      <w:r w:rsidRPr="00DD7C96">
        <w:rPr>
          <w:bCs/>
          <w:iCs/>
        </w:rPr>
        <w:t xml:space="preserve"> Kaplan-Meier curve from combined analysis for</w:t>
      </w:r>
      <w:r>
        <w:rPr>
          <w:bCs/>
          <w:iCs/>
        </w:rPr>
        <w:t xml:space="preserve"> progression-free survival (</w:t>
      </w:r>
      <w:r w:rsidRPr="00DD7C96">
        <w:rPr>
          <w:bCs/>
          <w:iCs/>
        </w:rPr>
        <w:t>PFS</w:t>
      </w:r>
      <w:r>
        <w:rPr>
          <w:bCs/>
          <w:iCs/>
        </w:rPr>
        <w:t>)</w:t>
      </w:r>
      <w:r w:rsidRPr="00DD7C96">
        <w:rPr>
          <w:bCs/>
          <w:iCs/>
        </w:rPr>
        <w:t xml:space="preserve"> among ROS1+ NSCLC patients</w:t>
      </w:r>
    </w:p>
    <w:p w14:paraId="55CAF323" w14:textId="77777777" w:rsidR="00BE78AF" w:rsidRPr="00DD7C96" w:rsidRDefault="00BE78AF" w:rsidP="00BE78AF">
      <w:pPr>
        <w:spacing w:after="0"/>
        <w:jc w:val="both"/>
        <w:rPr>
          <w:bCs/>
          <w:iCs/>
        </w:rPr>
      </w:pPr>
      <w:r w:rsidRPr="00DD7C96">
        <w:rPr>
          <w:bCs/>
          <w:iCs/>
        </w:rPr>
        <w:t>Fig</w:t>
      </w:r>
      <w:r>
        <w:rPr>
          <w:bCs/>
          <w:iCs/>
        </w:rPr>
        <w:t>.</w:t>
      </w:r>
      <w:r w:rsidRPr="00DD7C96">
        <w:rPr>
          <w:bCs/>
          <w:iCs/>
        </w:rPr>
        <w:t xml:space="preserve"> 3</w:t>
      </w:r>
      <w:r>
        <w:rPr>
          <w:bCs/>
          <w:iCs/>
        </w:rPr>
        <w:t>.</w:t>
      </w:r>
      <w:r w:rsidRPr="00DD7C96">
        <w:rPr>
          <w:bCs/>
          <w:iCs/>
        </w:rPr>
        <w:t xml:space="preserve"> Kaplan-Meier curve of PROFILE 1014 for </w:t>
      </w:r>
      <w:r>
        <w:rPr>
          <w:bCs/>
          <w:iCs/>
        </w:rPr>
        <w:t>progression-free survival (</w:t>
      </w:r>
      <w:r w:rsidRPr="00DD7C96">
        <w:rPr>
          <w:bCs/>
          <w:iCs/>
        </w:rPr>
        <w:t>PFS</w:t>
      </w:r>
      <w:r>
        <w:rPr>
          <w:bCs/>
          <w:iCs/>
        </w:rPr>
        <w:t>)</w:t>
      </w:r>
      <w:r w:rsidRPr="00DD7C96">
        <w:rPr>
          <w:bCs/>
          <w:iCs/>
        </w:rPr>
        <w:t xml:space="preserve"> among ALK+ NSCLC patients for each treatment</w:t>
      </w:r>
    </w:p>
    <w:p w14:paraId="206A03B8" w14:textId="674A07B1" w:rsidR="00BE78AF" w:rsidRDefault="00BE78AF" w:rsidP="00BE78AF">
      <w:pPr>
        <w:spacing w:after="0"/>
        <w:jc w:val="both"/>
        <w:rPr>
          <w:bCs/>
          <w:iCs/>
        </w:rPr>
      </w:pPr>
      <w:r w:rsidRPr="00DD7C96">
        <w:rPr>
          <w:bCs/>
          <w:iCs/>
        </w:rPr>
        <w:t>Fig</w:t>
      </w:r>
      <w:r>
        <w:rPr>
          <w:bCs/>
          <w:iCs/>
        </w:rPr>
        <w:t>.</w:t>
      </w:r>
      <w:r w:rsidRPr="00DD7C96">
        <w:rPr>
          <w:bCs/>
          <w:iCs/>
        </w:rPr>
        <w:t xml:space="preserve"> 4</w:t>
      </w:r>
      <w:r>
        <w:rPr>
          <w:bCs/>
          <w:iCs/>
        </w:rPr>
        <w:t>.</w:t>
      </w:r>
      <w:r w:rsidRPr="00DD7C96">
        <w:rPr>
          <w:bCs/>
          <w:iCs/>
        </w:rPr>
        <w:t xml:space="preserve"> Kaplan-Meier curve and parametric curve of combined analysis for </w:t>
      </w:r>
      <w:r>
        <w:rPr>
          <w:bCs/>
          <w:iCs/>
        </w:rPr>
        <w:t>progression-free survival (</w:t>
      </w:r>
      <w:r w:rsidRPr="00DD7C96">
        <w:rPr>
          <w:bCs/>
          <w:iCs/>
        </w:rPr>
        <w:t>PFS</w:t>
      </w:r>
      <w:r>
        <w:rPr>
          <w:bCs/>
          <w:iCs/>
        </w:rPr>
        <w:t>)</w:t>
      </w:r>
      <w:r w:rsidRPr="00DD7C96">
        <w:rPr>
          <w:bCs/>
          <w:iCs/>
        </w:rPr>
        <w:t xml:space="preserve"> for each treatment </w:t>
      </w:r>
      <w:r>
        <w:rPr>
          <w:bCs/>
          <w:iCs/>
        </w:rPr>
        <w:t xml:space="preserve">group </w:t>
      </w:r>
      <w:r w:rsidRPr="00DD7C96">
        <w:rPr>
          <w:bCs/>
          <w:iCs/>
        </w:rPr>
        <w:t>with hazard ratio applied to patients undergoing maintenance</w:t>
      </w:r>
      <w:r>
        <w:rPr>
          <w:bCs/>
          <w:iCs/>
        </w:rPr>
        <w:t xml:space="preserve"> pemetrexed in chemotherapy group</w:t>
      </w:r>
    </w:p>
    <w:p w14:paraId="2DA82F18" w14:textId="6464746B" w:rsidR="00BE78AF" w:rsidRDefault="00BE78AF" w:rsidP="00BE78AF">
      <w:pPr>
        <w:spacing w:after="0"/>
        <w:jc w:val="both"/>
        <w:rPr>
          <w:bCs/>
          <w:iCs/>
        </w:rPr>
      </w:pPr>
      <w:r w:rsidRPr="00DD7C96">
        <w:rPr>
          <w:bCs/>
          <w:iCs/>
        </w:rPr>
        <w:t>Fig</w:t>
      </w:r>
      <w:r>
        <w:rPr>
          <w:bCs/>
          <w:iCs/>
        </w:rPr>
        <w:t>.</w:t>
      </w:r>
      <w:r w:rsidRPr="00DD7C96">
        <w:rPr>
          <w:bCs/>
          <w:iCs/>
        </w:rPr>
        <w:t xml:space="preserve"> 5</w:t>
      </w:r>
      <w:r>
        <w:rPr>
          <w:bCs/>
          <w:iCs/>
        </w:rPr>
        <w:t>.</w:t>
      </w:r>
      <w:r w:rsidRPr="00DD7C96">
        <w:rPr>
          <w:bCs/>
          <w:iCs/>
        </w:rPr>
        <w:t xml:space="preserve"> Results from one-way deterministic sensitivity analysis</w:t>
      </w:r>
    </w:p>
    <w:p w14:paraId="7CD30941" w14:textId="29719FB2" w:rsidR="00BE78AF" w:rsidRPr="00DD7C96" w:rsidRDefault="00BE78AF" w:rsidP="00BE78AF">
      <w:pPr>
        <w:spacing w:after="0"/>
        <w:jc w:val="both"/>
        <w:rPr>
          <w:bCs/>
          <w:iCs/>
        </w:rPr>
      </w:pPr>
      <w:r>
        <w:rPr>
          <w:bCs/>
          <w:iCs/>
        </w:rPr>
        <w:t>References</w:t>
      </w:r>
    </w:p>
    <w:p w14:paraId="4C5D2D85" w14:textId="77777777" w:rsidR="00BE78AF" w:rsidRPr="00DD7C96" w:rsidRDefault="00BE78AF" w:rsidP="00BE78AF">
      <w:pPr>
        <w:spacing w:after="0"/>
        <w:jc w:val="both"/>
        <w:rPr>
          <w:bCs/>
          <w:iCs/>
        </w:rPr>
      </w:pPr>
    </w:p>
    <w:p w14:paraId="47D0C9AE" w14:textId="77777777" w:rsidR="00BE78AF" w:rsidRPr="00DD7C96" w:rsidRDefault="00BE78AF" w:rsidP="00BE78AF">
      <w:pPr>
        <w:spacing w:after="0"/>
        <w:jc w:val="both"/>
        <w:rPr>
          <w:bCs/>
          <w:iCs/>
        </w:rPr>
      </w:pPr>
    </w:p>
    <w:p w14:paraId="341CF38F" w14:textId="77777777" w:rsidR="00BE78AF" w:rsidRDefault="00BE78AF" w:rsidP="007D7832">
      <w:pPr>
        <w:spacing w:after="0"/>
        <w:jc w:val="both"/>
        <w:rPr>
          <w:bCs/>
          <w:iCs/>
        </w:rPr>
      </w:pPr>
    </w:p>
    <w:p w14:paraId="73B08A0A" w14:textId="77777777" w:rsidR="00BE78AF" w:rsidRPr="007D7832" w:rsidRDefault="00BE78AF" w:rsidP="007D7832">
      <w:pPr>
        <w:spacing w:after="0"/>
        <w:jc w:val="both"/>
        <w:rPr>
          <w:bCs/>
          <w:iCs/>
        </w:rPr>
      </w:pPr>
    </w:p>
    <w:p w14:paraId="1276D16F" w14:textId="77777777" w:rsidR="007D7832" w:rsidRPr="007D7832" w:rsidRDefault="007D7832" w:rsidP="007D7832">
      <w:pPr>
        <w:spacing w:after="0"/>
        <w:jc w:val="both"/>
        <w:rPr>
          <w:bCs/>
          <w:iCs/>
        </w:rPr>
      </w:pPr>
    </w:p>
    <w:p w14:paraId="5C6E9B9D" w14:textId="1A54C442" w:rsidR="00822BE5" w:rsidRPr="00DD7C96" w:rsidRDefault="00822BE5" w:rsidP="002E0EFC">
      <w:pPr>
        <w:spacing w:after="0"/>
        <w:jc w:val="both"/>
        <w:rPr>
          <w:bCs/>
          <w:iCs/>
        </w:rPr>
      </w:pPr>
    </w:p>
    <w:p w14:paraId="0DCEA407" w14:textId="77777777" w:rsidR="007D7832" w:rsidRDefault="007D7832">
      <w:pPr>
        <w:rPr>
          <w:bCs/>
          <w:iCs/>
        </w:rPr>
      </w:pPr>
      <w:r>
        <w:rPr>
          <w:bCs/>
          <w:iCs/>
        </w:rPr>
        <w:br w:type="page"/>
      </w:r>
    </w:p>
    <w:p w14:paraId="35B7F543" w14:textId="7F48C0E5" w:rsidR="00822BE5" w:rsidRPr="00DD7C96" w:rsidRDefault="00822BE5" w:rsidP="00822BE5">
      <w:pPr>
        <w:spacing w:after="0"/>
        <w:jc w:val="both"/>
        <w:rPr>
          <w:bCs/>
          <w:iCs/>
        </w:rPr>
      </w:pPr>
      <w:r w:rsidRPr="00DD7C96">
        <w:rPr>
          <w:bCs/>
          <w:iCs/>
        </w:rPr>
        <w:lastRenderedPageBreak/>
        <w:t>Table 1</w:t>
      </w:r>
      <w:r w:rsidR="00BE78AF">
        <w:rPr>
          <w:bCs/>
          <w:iCs/>
        </w:rPr>
        <w:t>.</w:t>
      </w:r>
      <w:r w:rsidRPr="00DD7C96">
        <w:rPr>
          <w:bCs/>
          <w:iCs/>
        </w:rPr>
        <w:t xml:space="preserve"> Studies of crizotinib and chemotherapy for ROS1+ advanced NSCLC</w:t>
      </w:r>
    </w:p>
    <w:p w14:paraId="6D48E7CD" w14:textId="5C97BDA7" w:rsidR="00822BE5" w:rsidRPr="00DD7C96" w:rsidRDefault="00822BE5" w:rsidP="00822BE5">
      <w:pPr>
        <w:spacing w:after="0"/>
        <w:jc w:val="both"/>
        <w:rPr>
          <w:bCs/>
          <w:iCs/>
        </w:rPr>
      </w:pPr>
    </w:p>
    <w:tbl>
      <w:tblPr>
        <w:tblStyle w:val="PlainTable2"/>
        <w:tblW w:w="9360" w:type="dxa"/>
        <w:tblLook w:val="04A0" w:firstRow="1" w:lastRow="0" w:firstColumn="1" w:lastColumn="0" w:noHBand="0" w:noVBand="1"/>
      </w:tblPr>
      <w:tblGrid>
        <w:gridCol w:w="1274"/>
        <w:gridCol w:w="1420"/>
        <w:gridCol w:w="1434"/>
        <w:gridCol w:w="3817"/>
        <w:gridCol w:w="1415"/>
      </w:tblGrid>
      <w:tr w:rsidR="00822BE5" w:rsidRPr="00DD7C96" w14:paraId="32539116" w14:textId="77777777" w:rsidTr="00E5378E">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74" w:type="dxa"/>
            <w:hideMark/>
          </w:tcPr>
          <w:p w14:paraId="561F3742" w14:textId="77777777" w:rsidR="00822BE5" w:rsidRPr="00DD7C96" w:rsidRDefault="00822BE5" w:rsidP="006B1D6D">
            <w:pPr>
              <w:jc w:val="center"/>
              <w:rPr>
                <w:rFonts w:cstheme="minorHAnsi"/>
                <w:b w:val="0"/>
                <w:iCs/>
                <w:lang w:val="en-CA"/>
              </w:rPr>
            </w:pPr>
            <w:r w:rsidRPr="00DD7C96">
              <w:rPr>
                <w:rFonts w:cstheme="minorHAnsi"/>
                <w:b w:val="0"/>
                <w:iCs/>
                <w:lang w:val="en-CA"/>
              </w:rPr>
              <w:t>Author</w:t>
            </w:r>
          </w:p>
        </w:tc>
        <w:tc>
          <w:tcPr>
            <w:tcW w:w="1420" w:type="dxa"/>
          </w:tcPr>
          <w:p w14:paraId="37873BFD" w14:textId="006AAB71" w:rsidR="00822BE5" w:rsidRPr="00DD7C96" w:rsidRDefault="00822BE5" w:rsidP="006B1D6D">
            <w:pPr>
              <w:jc w:val="center"/>
              <w:cnfStyle w:val="100000000000" w:firstRow="1" w:lastRow="0" w:firstColumn="0" w:lastColumn="0" w:oddVBand="0" w:evenVBand="0" w:oddHBand="0" w:evenHBand="0" w:firstRowFirstColumn="0" w:firstRowLastColumn="0" w:lastRowFirstColumn="0" w:lastRowLastColumn="0"/>
              <w:rPr>
                <w:rFonts w:cstheme="minorHAnsi"/>
                <w:b w:val="0"/>
                <w:iCs/>
                <w:lang w:val="en-CA"/>
              </w:rPr>
            </w:pPr>
            <w:r w:rsidRPr="00DD7C96">
              <w:rPr>
                <w:rFonts w:cstheme="minorHAnsi"/>
                <w:b w:val="0"/>
                <w:iCs/>
                <w:lang w:val="en-CA"/>
              </w:rPr>
              <w:t>Treatment</w:t>
            </w:r>
          </w:p>
        </w:tc>
        <w:tc>
          <w:tcPr>
            <w:tcW w:w="1434" w:type="dxa"/>
            <w:hideMark/>
          </w:tcPr>
          <w:p w14:paraId="0697B36D" w14:textId="4690AE9B" w:rsidR="00822BE5" w:rsidRPr="00DD7C96" w:rsidRDefault="00822BE5" w:rsidP="006B1D6D">
            <w:pPr>
              <w:jc w:val="center"/>
              <w:cnfStyle w:val="100000000000" w:firstRow="1" w:lastRow="0" w:firstColumn="0" w:lastColumn="0" w:oddVBand="0" w:evenVBand="0" w:oddHBand="0" w:evenHBand="0" w:firstRowFirstColumn="0" w:firstRowLastColumn="0" w:lastRowFirstColumn="0" w:lastRowLastColumn="0"/>
              <w:rPr>
                <w:rFonts w:cstheme="minorHAnsi"/>
                <w:b w:val="0"/>
                <w:iCs/>
                <w:lang w:val="en-CA"/>
              </w:rPr>
            </w:pPr>
            <w:r w:rsidRPr="00DD7C96">
              <w:rPr>
                <w:rFonts w:cstheme="minorHAnsi"/>
                <w:b w:val="0"/>
                <w:iCs/>
                <w:lang w:val="en-CA"/>
              </w:rPr>
              <w:t>Study Design</w:t>
            </w:r>
          </w:p>
        </w:tc>
        <w:tc>
          <w:tcPr>
            <w:tcW w:w="3817" w:type="dxa"/>
            <w:hideMark/>
          </w:tcPr>
          <w:p w14:paraId="04CB04EA" w14:textId="77777777" w:rsidR="00822BE5" w:rsidRPr="00DD7C96" w:rsidRDefault="00822BE5" w:rsidP="006B1D6D">
            <w:pPr>
              <w:jc w:val="center"/>
              <w:cnfStyle w:val="100000000000" w:firstRow="1" w:lastRow="0" w:firstColumn="0" w:lastColumn="0" w:oddVBand="0" w:evenVBand="0" w:oddHBand="0" w:evenHBand="0" w:firstRowFirstColumn="0" w:firstRowLastColumn="0" w:lastRowFirstColumn="0" w:lastRowLastColumn="0"/>
              <w:rPr>
                <w:rFonts w:cstheme="minorHAnsi"/>
                <w:b w:val="0"/>
                <w:iCs/>
                <w:lang w:val="en-CA"/>
              </w:rPr>
            </w:pPr>
            <w:r w:rsidRPr="00DD7C96">
              <w:rPr>
                <w:rFonts w:cstheme="minorHAnsi"/>
                <w:b w:val="0"/>
                <w:iCs/>
                <w:lang w:val="en-CA"/>
              </w:rPr>
              <w:t>Population</w:t>
            </w:r>
          </w:p>
        </w:tc>
        <w:tc>
          <w:tcPr>
            <w:tcW w:w="1415" w:type="dxa"/>
            <w:hideMark/>
          </w:tcPr>
          <w:p w14:paraId="7B882DD7" w14:textId="77777777" w:rsidR="00822BE5" w:rsidRPr="00DD7C96" w:rsidRDefault="00822BE5" w:rsidP="006B1D6D">
            <w:pPr>
              <w:jc w:val="center"/>
              <w:cnfStyle w:val="100000000000" w:firstRow="1" w:lastRow="0" w:firstColumn="0" w:lastColumn="0" w:oddVBand="0" w:evenVBand="0" w:oddHBand="0" w:evenHBand="0" w:firstRowFirstColumn="0" w:firstRowLastColumn="0" w:lastRowFirstColumn="0" w:lastRowLastColumn="0"/>
              <w:rPr>
                <w:rFonts w:cstheme="minorHAnsi"/>
                <w:b w:val="0"/>
                <w:iCs/>
                <w:lang w:val="en-CA"/>
              </w:rPr>
            </w:pPr>
            <w:r w:rsidRPr="00DD7C96">
              <w:rPr>
                <w:rFonts w:cstheme="minorHAnsi"/>
                <w:b w:val="0"/>
                <w:iCs/>
                <w:lang w:val="en-CA"/>
              </w:rPr>
              <w:t>Median PFS</w:t>
            </w:r>
          </w:p>
        </w:tc>
      </w:tr>
      <w:tr w:rsidR="00822BE5" w:rsidRPr="00DD7C96" w14:paraId="6886FAED" w14:textId="77777777" w:rsidTr="00E537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274" w:type="dxa"/>
            <w:noWrap/>
            <w:hideMark/>
          </w:tcPr>
          <w:p w14:paraId="098CD98A" w14:textId="77777777" w:rsidR="00822BE5" w:rsidRPr="00DD7C96" w:rsidRDefault="00822BE5" w:rsidP="006B1D6D">
            <w:pPr>
              <w:rPr>
                <w:rFonts w:cstheme="minorHAnsi"/>
                <w:b w:val="0"/>
                <w:iCs/>
                <w:sz w:val="20"/>
                <w:szCs w:val="20"/>
                <w:lang w:val="en-CA"/>
              </w:rPr>
            </w:pPr>
            <w:r w:rsidRPr="00DD7C96">
              <w:rPr>
                <w:rFonts w:cstheme="minorHAnsi"/>
                <w:b w:val="0"/>
                <w:iCs/>
                <w:sz w:val="20"/>
                <w:szCs w:val="20"/>
                <w:lang w:val="en-CA"/>
              </w:rPr>
              <w:t>PROFILE 1001,</w:t>
            </w:r>
          </w:p>
          <w:p w14:paraId="7B823315" w14:textId="77777777" w:rsidR="00822BE5" w:rsidRPr="00DD7C96" w:rsidRDefault="00822BE5" w:rsidP="006B1D6D">
            <w:pPr>
              <w:rPr>
                <w:rFonts w:cstheme="minorHAnsi"/>
                <w:b w:val="0"/>
                <w:iCs/>
                <w:sz w:val="20"/>
                <w:szCs w:val="20"/>
                <w:lang w:val="en-CA"/>
              </w:rPr>
            </w:pPr>
            <w:r w:rsidRPr="00DD7C96">
              <w:rPr>
                <w:rFonts w:cstheme="minorHAnsi"/>
                <w:b w:val="0"/>
                <w:iCs/>
                <w:sz w:val="20"/>
                <w:szCs w:val="20"/>
                <w:lang w:val="en-CA"/>
              </w:rPr>
              <w:t>Shaw 2014</w:t>
            </w:r>
          </w:p>
          <w:p w14:paraId="4CEEB66C" w14:textId="2DD8D5EB" w:rsidR="00822BE5" w:rsidRPr="00DD7C96" w:rsidRDefault="00822BE5" w:rsidP="006B1D6D">
            <w:pPr>
              <w:rPr>
                <w:rFonts w:cstheme="minorHAnsi"/>
                <w:b w:val="0"/>
                <w:iCs/>
                <w:sz w:val="20"/>
                <w:szCs w:val="20"/>
              </w:rPr>
            </w:pPr>
            <w:r w:rsidRPr="00DD7C96">
              <w:rPr>
                <w:rFonts w:cstheme="minorHAnsi"/>
                <w:iCs/>
                <w:sz w:val="20"/>
                <w:szCs w:val="20"/>
              </w:rPr>
              <w:fldChar w:fldCharType="begin" w:fldLock="1"/>
            </w:r>
            <w:r w:rsidR="00DC6C61" w:rsidRPr="00DD7C96">
              <w:rPr>
                <w:rFonts w:cstheme="minorHAnsi"/>
                <w:b w:val="0"/>
                <w:iCs/>
                <w:sz w:val="20"/>
                <w:szCs w:val="20"/>
                <w:lang w:val="en-CA"/>
              </w:rPr>
              <w:instrText>ADDIN CSL_CITATION {"citationItems":[{"id":"ITEM-1","itemData":{"DOI":"10.1056/NEJMoa1406766","ISSN":"0028-4793","PMID":"25264305","abstract":"BackgroundChromosomal rearrangements of the gene encoding ROS1 proto-oncogene receptor tyrosine kinase (ROS1) define a distinct molecular subgroup of non–small-cell lung cancers (NSCLCs) that may be susceptible to therapeutic ROS1 kinase inhibition. Crizotinib is a small-molecule tyrosine kinase inhibitor of anaplastic lymphoma kinase (ALK), ROS1, and another proto-oncogene receptor tyrosine kinase, MET. MethodsWe enrolled 50 patients with advanced NSCLC who tested positive for ROS1 rearrangement in an expansion cohort of the phase 1 study of crizotinib. Patients were treated with crizotinib at the standard oral dose of 250 mg twice daily and assessed for safety, pharmacokinetics, and response to therapy. ROS1 fusion partners were identified with the use of next-generation sequencing or reverse-transcriptase–polymerase-chain-reaction assays. ResultsThe objective response rate was 72% (95% confidence interval [CI], 58 to 84), with 3 complete responses and 33 partial responses. The median duration of respon...","author":[{"dropping-particle":"","family":"Shaw","given":"Alice T.","non-dropping-particle":"","parse-names":false,"suffix":""},{"dropping-particle":"","family":"Ou","given":"Sai-Hong I.","non-dropping-particle":"","parse-names":false,"suffix":""},{"dropping-particle":"","family":"Bang","given":"Yung-Jue","non-dropping-particle":"","parse-names":false,"suffix":""},{"dropping-particle":"","family":"Camidge","given":"D. Ross","non-dropping-particle":"","parse-names":false,"suffix":""},{"dropping-particle":"","family":"Solomon","given":"Benjamin J.","non-dropping-particle":"","parse-names":false,"suffix":""},{"dropping-particle":"","family":"Salgia","given":"Ravi","non-dropping-particle":"","parse-names":false,"suffix":""},{"dropping-particle":"","family":"Riely","given":"Gregory J.","non-dropping-particle":"","parse-names":false,"suffix":""},{"dropping-particle":"","family":"Varella-Garcia","given":"Marileila","non-dropping-particle":"","parse-names":false,"suffix":""},{"dropping-particle":"","family":"Shapiro","given":"Geoffrey I.","non-dropping-particle":"","parse-names":false,"suffix":""},{"dropping-particle":"","family":"Costa","given":"Daniel B.","non-dropping-particle":"","parse-names":false,"suffix":""},{"dropping-particle":"","family":"Doebele","given":"Robert C.","non-dropping-particle":"","parse-names":false,"suffix":""},{"dropping-particle":"","family":"Le","given":"Long Phi","non-dropping-particle":"","parse-names":false,"suffix":""},{"dropping-particle":"","family":"Zheng","given":"Zongli","non-dropping-particle":"","parse-names":false,"suffix":""},{"dropping-particle":"","family":"Tan","given":"Weiwei","non-dropping-particle":"","parse-names":false,"suffix":""},{"dropping-particle":"","family":"Stephenson","given":"Patricia","non-dropping-particle":"","parse-names":false,"suffix":""},{"dropping-particle":"","family":"Shreeve","given":"S. Martin","non-dropping-particle":"","parse-names":false,"suffix":""},{"dropping-particle":"","family":"Tye","given":"Lesley M.","non-dropping-particle":"","parse-names":false,"suffix":""},{"dropping-particle":"","family":"Christensen","given":"James G.","non-dropping-particle":"","parse-names":false,"suffix":""},{"dropping-particle":"","family":"Wilner","given":"Keith D.","non-dropping-particle":"","parse-names":false,"suffix":""},{"dropping-particle":"","family":"Clark","given":"Jeffrey W.","non-dropping-particle":"","parse-names":false,"suffix":""},{"dropping-particle":"","family":"Iafrate","given":"A. John","non-dropping-particle":"","parse-names":false,"suffix":""}],"container-title":"New England Journal of Medicine","id":"ITEM-1","issue":"21","issued":{"date-parts":[["2014"]]},"page":"1963-1971","title":"Crizotinib in &lt;i&gt;ROS1&lt;/i&gt; -Rearranged Non–Small-Cell Lung Cancer","type":"article-journal","volume":"371"},"uris":["http://www.mendeley.com/documents/?uuid=296e9ace-ce86-4b05-9aee-b7002d6f56a8"]}],"mendeley":{"formattedCitation":"&lt;sup&gt;1&lt;/sup&gt;","plainTextFormattedCitation":"1","previouslyFormattedCitation":"&lt;sup&gt;1&lt;/sup&gt;"},"properties":{"noteIndex":0},"schema":"https://github.com/citation-style-language/schema/raw/master/csl-citation.json"}</w:instrText>
            </w:r>
            <w:r w:rsidRPr="00DD7C96">
              <w:rPr>
                <w:rFonts w:cstheme="minorHAnsi"/>
                <w:iCs/>
                <w:sz w:val="20"/>
                <w:szCs w:val="20"/>
              </w:rPr>
              <w:fldChar w:fldCharType="separate"/>
            </w:r>
            <w:r w:rsidR="00DC6C61" w:rsidRPr="00DD7C96">
              <w:rPr>
                <w:rFonts w:cstheme="minorHAnsi"/>
                <w:b w:val="0"/>
                <w:iCs/>
                <w:noProof/>
                <w:sz w:val="20"/>
                <w:szCs w:val="20"/>
                <w:vertAlign w:val="superscript"/>
                <w:lang w:val="en-CA"/>
              </w:rPr>
              <w:t>1</w:t>
            </w:r>
            <w:r w:rsidRPr="00DD7C96">
              <w:rPr>
                <w:rFonts w:cstheme="minorHAnsi"/>
                <w:iCs/>
                <w:sz w:val="20"/>
                <w:szCs w:val="20"/>
              </w:rPr>
              <w:fldChar w:fldCharType="end"/>
            </w:r>
          </w:p>
        </w:tc>
        <w:tc>
          <w:tcPr>
            <w:tcW w:w="1420" w:type="dxa"/>
          </w:tcPr>
          <w:p w14:paraId="5C224F61" w14:textId="2DE4C5CB" w:rsidR="00822BE5" w:rsidRPr="00DD7C96" w:rsidRDefault="00822BE5" w:rsidP="006B1D6D">
            <w:pPr>
              <w:cnfStyle w:val="000000100000" w:firstRow="0" w:lastRow="0" w:firstColumn="0" w:lastColumn="0" w:oddVBand="0" w:evenVBand="0" w:oddHBand="1"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t>Crizotinib</w:t>
            </w:r>
          </w:p>
        </w:tc>
        <w:tc>
          <w:tcPr>
            <w:tcW w:w="1434" w:type="dxa"/>
            <w:noWrap/>
            <w:hideMark/>
          </w:tcPr>
          <w:p w14:paraId="7CD92892" w14:textId="522B2474" w:rsidR="00822BE5" w:rsidRPr="00DD7C96" w:rsidRDefault="00822BE5" w:rsidP="006B1D6D">
            <w:pPr>
              <w:cnfStyle w:val="000000100000" w:firstRow="0" w:lastRow="0" w:firstColumn="0" w:lastColumn="0" w:oddVBand="0" w:evenVBand="0" w:oddHBand="1" w:evenHBand="0" w:firstRowFirstColumn="0" w:firstRowLastColumn="0" w:lastRowFirstColumn="0" w:lastRowLastColumn="0"/>
              <w:rPr>
                <w:rFonts w:cstheme="minorHAnsi"/>
                <w:bCs/>
                <w:iCs/>
                <w:sz w:val="20"/>
                <w:szCs w:val="20"/>
              </w:rPr>
            </w:pPr>
            <w:r w:rsidRPr="00DD7C96">
              <w:rPr>
                <w:rFonts w:cstheme="minorHAnsi"/>
                <w:bCs/>
                <w:iCs/>
                <w:sz w:val="20"/>
                <w:szCs w:val="20"/>
                <w:lang w:val="en-CA"/>
              </w:rPr>
              <w:t>A multicentre, open-label, single-arm, phase I clinical trial (n=50)</w:t>
            </w:r>
          </w:p>
        </w:tc>
        <w:tc>
          <w:tcPr>
            <w:tcW w:w="3817" w:type="dxa"/>
            <w:noWrap/>
            <w:hideMark/>
          </w:tcPr>
          <w:p w14:paraId="31F652FD" w14:textId="77777777" w:rsidR="00822BE5" w:rsidRPr="00DD7C96" w:rsidRDefault="00822BE5" w:rsidP="00E5378E">
            <w:pPr>
              <w:numPr>
                <w:ilvl w:val="0"/>
                <w:numId w:val="22"/>
              </w:numPr>
              <w:spacing w:after="240"/>
              <w:ind w:left="252" w:hanging="235"/>
              <w:contextualSpacing/>
              <w:cnfStyle w:val="000000100000" w:firstRow="0" w:lastRow="0" w:firstColumn="0" w:lastColumn="0" w:oddVBand="0" w:evenVBand="0" w:oddHBand="1"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Eligible patients ≥18 years had histologically confirmed, advanced NSCLC with a ROS1 rearrangement.</w:t>
            </w:r>
          </w:p>
          <w:p w14:paraId="51DA87C1" w14:textId="77777777" w:rsidR="00822BE5" w:rsidRPr="00DD7C96" w:rsidRDefault="00822BE5" w:rsidP="00E5378E">
            <w:pPr>
              <w:numPr>
                <w:ilvl w:val="0"/>
                <w:numId w:val="22"/>
              </w:numPr>
              <w:spacing w:after="240"/>
              <w:ind w:left="252" w:hanging="235"/>
              <w:contextualSpacing/>
              <w:cnfStyle w:val="000000100000" w:firstRow="0" w:lastRow="0" w:firstColumn="0" w:lastColumn="0" w:oddVBand="0" w:evenVBand="0" w:oddHBand="1"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Median age: 53 years</w:t>
            </w:r>
          </w:p>
          <w:p w14:paraId="4796DAC5" w14:textId="76026947" w:rsidR="00822BE5" w:rsidRPr="00DD7C96" w:rsidRDefault="00822BE5" w:rsidP="00E5378E">
            <w:pPr>
              <w:numPr>
                <w:ilvl w:val="0"/>
                <w:numId w:val="22"/>
              </w:numPr>
              <w:spacing w:after="240"/>
              <w:ind w:left="252" w:hanging="235"/>
              <w:contextualSpacing/>
              <w:cnfStyle w:val="000000100000" w:firstRow="0" w:lastRow="0" w:firstColumn="0" w:lastColumn="0" w:oddVBand="0" w:evenVBand="0" w:oddHBand="1"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ECOG performance status</w:t>
            </w:r>
            <w:r w:rsidR="00E5378E" w:rsidRPr="00DD7C96">
              <w:rPr>
                <w:rFonts w:eastAsia="Calibri" w:cstheme="minorHAnsi"/>
                <w:bCs/>
                <w:iCs/>
                <w:sz w:val="20"/>
                <w:szCs w:val="20"/>
                <w:lang w:val="en-CA"/>
              </w:rPr>
              <w:t xml:space="preserve"> (PS)</w:t>
            </w:r>
            <w:r w:rsidRPr="00DD7C96">
              <w:rPr>
                <w:rFonts w:eastAsia="Calibri" w:cstheme="minorHAnsi"/>
                <w:bCs/>
                <w:iCs/>
                <w:sz w:val="20"/>
                <w:szCs w:val="20"/>
                <w:lang w:val="en-CA"/>
              </w:rPr>
              <w:t xml:space="preserve"> 0: 22</w:t>
            </w:r>
            <w:r w:rsidR="00E5378E" w:rsidRPr="00DD7C96">
              <w:rPr>
                <w:rFonts w:eastAsia="Calibri" w:cstheme="minorHAnsi"/>
                <w:bCs/>
                <w:iCs/>
                <w:sz w:val="20"/>
                <w:szCs w:val="20"/>
                <w:lang w:val="en-CA"/>
              </w:rPr>
              <w:t xml:space="preserve"> </w:t>
            </w:r>
            <w:r w:rsidRPr="00DD7C96">
              <w:rPr>
                <w:rFonts w:eastAsia="Calibri" w:cstheme="minorHAnsi"/>
                <w:bCs/>
                <w:iCs/>
                <w:sz w:val="20"/>
                <w:szCs w:val="20"/>
                <w:lang w:val="en-CA"/>
              </w:rPr>
              <w:t>(44%), 1: 27(54%), 2: 1(2%)</w:t>
            </w:r>
          </w:p>
          <w:p w14:paraId="01538160" w14:textId="77777777" w:rsidR="00822BE5" w:rsidRPr="00DD7C96" w:rsidRDefault="00822BE5" w:rsidP="00E5378E">
            <w:pPr>
              <w:numPr>
                <w:ilvl w:val="0"/>
                <w:numId w:val="22"/>
              </w:numPr>
              <w:spacing w:after="240"/>
              <w:ind w:left="252" w:hanging="235"/>
              <w:contextualSpacing/>
              <w:cnfStyle w:val="000000100000" w:firstRow="0" w:lastRow="0" w:firstColumn="0" w:lastColumn="0" w:oddVBand="0" w:evenVBand="0" w:oddHBand="1"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Previous regimens for advanced disease 0: 7(14%), 1: 21(42%) and &gt;1: 22 (44%)</w:t>
            </w:r>
          </w:p>
        </w:tc>
        <w:tc>
          <w:tcPr>
            <w:tcW w:w="1415" w:type="dxa"/>
            <w:noWrap/>
            <w:hideMark/>
          </w:tcPr>
          <w:p w14:paraId="7B96F020" w14:textId="77777777" w:rsidR="00822BE5" w:rsidRPr="00DD7C96" w:rsidRDefault="00822BE5" w:rsidP="006B1D6D">
            <w:pPr>
              <w:cnfStyle w:val="000000100000" w:firstRow="0" w:lastRow="0" w:firstColumn="0" w:lastColumn="0" w:oddVBand="0" w:evenVBand="0" w:oddHBand="1" w:evenHBand="0" w:firstRowFirstColumn="0" w:firstRowLastColumn="0" w:lastRowFirstColumn="0" w:lastRowLastColumn="0"/>
              <w:rPr>
                <w:rFonts w:cstheme="minorHAnsi"/>
                <w:bCs/>
                <w:iCs/>
                <w:sz w:val="20"/>
                <w:szCs w:val="20"/>
              </w:rPr>
            </w:pPr>
            <w:r w:rsidRPr="00DD7C96">
              <w:rPr>
                <w:rFonts w:cstheme="minorHAnsi"/>
                <w:bCs/>
                <w:iCs/>
                <w:sz w:val="20"/>
                <w:szCs w:val="20"/>
                <w:lang w:val="en-CA"/>
              </w:rPr>
              <w:t xml:space="preserve">19.2 months </w:t>
            </w:r>
          </w:p>
        </w:tc>
      </w:tr>
      <w:tr w:rsidR="00822BE5" w:rsidRPr="00DD7C96" w14:paraId="37688430" w14:textId="77777777" w:rsidTr="00E5378E">
        <w:trPr>
          <w:trHeight w:val="284"/>
        </w:trPr>
        <w:tc>
          <w:tcPr>
            <w:cnfStyle w:val="001000000000" w:firstRow="0" w:lastRow="0" w:firstColumn="1" w:lastColumn="0" w:oddVBand="0" w:evenVBand="0" w:oddHBand="0" w:evenHBand="0" w:firstRowFirstColumn="0" w:firstRowLastColumn="0" w:lastRowFirstColumn="0" w:lastRowLastColumn="0"/>
            <w:tcW w:w="1274" w:type="dxa"/>
            <w:noWrap/>
          </w:tcPr>
          <w:p w14:paraId="058FFD23" w14:textId="33195255" w:rsidR="00822BE5" w:rsidRPr="00DD7C96" w:rsidRDefault="00822BE5" w:rsidP="00822BE5">
            <w:pPr>
              <w:rPr>
                <w:rFonts w:cstheme="minorHAnsi"/>
                <w:b w:val="0"/>
                <w:iCs/>
                <w:sz w:val="20"/>
                <w:szCs w:val="20"/>
                <w:lang w:val="en-CA"/>
              </w:rPr>
            </w:pPr>
            <w:r w:rsidRPr="00DD7C96">
              <w:rPr>
                <w:rFonts w:cstheme="minorHAnsi"/>
                <w:b w:val="0"/>
                <w:iCs/>
                <w:sz w:val="20"/>
                <w:szCs w:val="20"/>
                <w:lang w:val="en-CA"/>
              </w:rPr>
              <w:t>Wu 2018</w:t>
            </w:r>
            <w:r w:rsidRPr="00DD7C96">
              <w:rPr>
                <w:rFonts w:cstheme="minorHAnsi"/>
                <w:iCs/>
                <w:sz w:val="20"/>
                <w:szCs w:val="20"/>
              </w:rPr>
              <w:fldChar w:fldCharType="begin" w:fldLock="1"/>
            </w:r>
            <w:r w:rsidR="00DC6C61" w:rsidRPr="00DD7C96">
              <w:rPr>
                <w:rFonts w:cstheme="minorHAnsi"/>
                <w:b w:val="0"/>
                <w:iCs/>
                <w:sz w:val="20"/>
                <w:szCs w:val="20"/>
                <w:lang w:val="en-CA"/>
              </w:rPr>
              <w:instrText>ADDIN CSL_CITATION {"citationItems":[{"id":"ITEM-1","itemData":{"DOI":"10.1200/JCO.2017.75.5587","ISBN":"0732-183x","ISSN":"0732-183X","PMID":"29596029","abstract":"PurposeApproximately 1% to 2% of non?small-cell lung cancers (NSCLCs) harbor a c-ros oncogene 1 (ROS1) rearrangement. Crizotinib, an inhibitor of anaplastic lymphoma kinase (ALK), ROS1, and MET, has shown marked antitumor activity in a small expansion cohort of patients with ROS1-positive advanced NSCLC from an ongoing phase I study. We assessed the efficacy and safety of crizotinib in the largest cohort of patients with ROS1-positive advanced NSCLC.Patients and MethodsThis phase II, open-label, single-arm trial enrolled East Asian patients with ROS1-positive (assessed through validated AmoyDx assay [Amoy Diagnostics, Xiamen, China] at three regional laboratories) advanced NSCLC who had received three or fewer lines of prior systemic therapies. Patients were to receive oral crizotinib at a starting dose of 250 mg twice daily and continued treatment until Response Evaluation Criteria in Solid Tumors (RECIST) version 1.1?defined progression (by independent radiology review [IRR]), unacceptable toxicity, or withdrawal of consent. The primary end point was objective response rate (ORR) by IRR.ResultsIn the efficacy and safety analyses, 127 patients were included, with 49.6% still receiving treatment at data cutoff. ORR by IRR was 71.7% (95% CI, 63.0% to 79.3%), with 17 complete responses and 74 partial responses. ORRs were similar irrespective of the number of prior lines of therapy, and responses were durable (median duration of response, 19.7 months; 95% CI, 14.1 months to not reached). Median progression-free survival by IRR was 15.9 months (95% CI, 12.9 to 24.0 months). No new safety signals associated with crizotinib were reported.ConclusionThis study demonstrated clinically meaningful benefit and durable responses with crizotinib in East Asian patients with ROS1-positive advanced NSCLC. Crizotinib was generally well tolerated, with a safety profile consistent with previous reports.","author":[{"dropping-particle":"","family":"Wu","given":"Yi-Long","non-dropping-particle":"","parse-names":false,"suffix":""},{"dropping-particle":"","family":"Yang","given":"James Chih-Hsin","non-dropping-particle":"","parse-names":false,"suffix":""},{"dropping-particle":"","family":"Kim","given":"Dong-Wan","non-dropping-particle":"","parse-names":false,"suffix":""},{"dropping-particle":"","family":"Lu","given":"Shun","non-dropping-particle":"","parse-names":false,"suffix":""},{"dropping-particle":"","family":"Zhou","given":"Jianying","non-dropping-particle":"","parse-names":false,"suffix":""},{"dropping-particle":"","family":"Seto","given":"Takashi","non-dropping-particle":"","parse-names":false,"suffix":""},{"dropping-particle":"","family":"Yang","given":"Jin-Ji","non-dropping-particle":"","parse-names":false,"suffix":""},{"dropping-particle":"","family":"Yamamoto","given":"Noboru","non-dropping-particle":"","parse-names":false,"suffix":""},{"dropping-particle":"","family":"Ahn","given":"Myung-Ju","non-dropping-particle":"","parse-names":false,"suffix":""},{"dropping-particle":"","family":"Takahashi","given":"Toshiaki","non-dropping-particle":"","parse-names":false,"suffix":""},{"dropping-particle":"","family":"Yamanaka","given":"Takeharu","non-dropping-particle":"","parse-names":false,"suffix":""},{"dropping-particle":"","family":"Kemner","given":"Allison","non-dropping-particle":"","parse-names":false,"suffix":""},{"dropping-particle":"","family":"Roychowdhury","given":"Debasish","non-dropping-particle":"","parse-names":false,"suffix":""},{"dropping-particle":"","family":"Paolini","given":"Jolanda","non-dropping-particle":"","parse-names":false,"suffix":""},{"dropping-particle":"","family":"Usari","given":"Tiziana","non-dropping-particle":"","parse-names":false,"suffix":""},{"dropping-particle":"","family":"Wilner","given":"Keith D.","non-dropping-particle":"","parse-names":false,"suffix":""},{"dropping-particle":"","family":"Goto","given":"Koichi","non-dropping-particle":"","parse-names":false,"suffix":""}],"container-title":"Journal of Clinical Oncology","id":"ITEM-1","issued":{"date-parts":[["2018"]]},"page":"JCO.2017.75.558","title":"Phase II Study of Crizotinib in East Asian Patients With ROS1-Positive Advanced Non–Small-Cell Lung Cancer","type":"article-journal"},"uris":["http://www.mendeley.com/documents/?uuid=81bbe2a2-7e9b-4bcc-9b33-e9136e9a748d"]}],"mendeley":{"formattedCitation":"&lt;sup&gt;2&lt;/sup&gt;","plainTextFormattedCitation":"2","previouslyFormattedCitation":"&lt;sup&gt;2&lt;/sup&gt;"},"properties":{"noteIndex":0},"schema":"https://github.com/citation-style-language/schema/raw/master/csl-citation.json"}</w:instrText>
            </w:r>
            <w:r w:rsidRPr="00DD7C96">
              <w:rPr>
                <w:rFonts w:cstheme="minorHAnsi"/>
                <w:iCs/>
                <w:sz w:val="20"/>
                <w:szCs w:val="20"/>
              </w:rPr>
              <w:fldChar w:fldCharType="separate"/>
            </w:r>
            <w:r w:rsidR="00DC6C61" w:rsidRPr="00DD7C96">
              <w:rPr>
                <w:rFonts w:cstheme="minorHAnsi"/>
                <w:b w:val="0"/>
                <w:iCs/>
                <w:noProof/>
                <w:sz w:val="20"/>
                <w:szCs w:val="20"/>
                <w:vertAlign w:val="superscript"/>
                <w:lang w:val="en-CA"/>
              </w:rPr>
              <w:t>2</w:t>
            </w:r>
            <w:r w:rsidRPr="00DD7C96">
              <w:rPr>
                <w:rFonts w:cstheme="minorHAnsi"/>
                <w:iCs/>
                <w:sz w:val="20"/>
                <w:szCs w:val="20"/>
              </w:rPr>
              <w:fldChar w:fldCharType="end"/>
            </w:r>
          </w:p>
        </w:tc>
        <w:tc>
          <w:tcPr>
            <w:tcW w:w="1420" w:type="dxa"/>
          </w:tcPr>
          <w:p w14:paraId="7FEEEB5F" w14:textId="7FCF99DA" w:rsidR="00822BE5" w:rsidRPr="00DD7C96" w:rsidRDefault="00822BE5" w:rsidP="00822BE5">
            <w:pPr>
              <w:cnfStyle w:val="000000000000" w:firstRow="0" w:lastRow="0" w:firstColumn="0" w:lastColumn="0" w:oddVBand="0" w:evenVBand="0" w:oddHBand="0" w:evenHBand="0" w:firstRowFirstColumn="0" w:firstRowLastColumn="0" w:lastRowFirstColumn="0" w:lastRowLastColumn="0"/>
              <w:rPr>
                <w:rFonts w:cstheme="minorHAnsi"/>
                <w:bCs/>
                <w:iCs/>
                <w:sz w:val="20"/>
                <w:szCs w:val="20"/>
                <w:lang w:val="en-CA"/>
              </w:rPr>
            </w:pPr>
            <w:r w:rsidRPr="00DD7C96">
              <w:rPr>
                <w:rFonts w:cstheme="minorHAnsi"/>
                <w:bCs/>
                <w:iCs/>
                <w:sz w:val="20"/>
                <w:szCs w:val="20"/>
              </w:rPr>
              <w:t>Crizotinib</w:t>
            </w:r>
          </w:p>
        </w:tc>
        <w:tc>
          <w:tcPr>
            <w:tcW w:w="1434" w:type="dxa"/>
            <w:noWrap/>
          </w:tcPr>
          <w:p w14:paraId="0BC89C8B" w14:textId="5A4E49EA" w:rsidR="00822BE5" w:rsidRPr="00DD7C96" w:rsidRDefault="00822BE5" w:rsidP="00822BE5">
            <w:pPr>
              <w:cnfStyle w:val="000000000000" w:firstRow="0" w:lastRow="0" w:firstColumn="0" w:lastColumn="0" w:oddVBand="0" w:evenVBand="0" w:oddHBand="0" w:evenHBand="0" w:firstRowFirstColumn="0" w:firstRowLastColumn="0" w:lastRowFirstColumn="0" w:lastRowLastColumn="0"/>
              <w:rPr>
                <w:rFonts w:cstheme="minorHAnsi"/>
                <w:bCs/>
                <w:iCs/>
                <w:sz w:val="20"/>
                <w:szCs w:val="20"/>
                <w:lang w:val="en-CA"/>
              </w:rPr>
            </w:pPr>
            <w:r w:rsidRPr="00DD7C96">
              <w:rPr>
                <w:rFonts w:cstheme="minorHAnsi"/>
                <w:bCs/>
                <w:iCs/>
                <w:sz w:val="20"/>
                <w:szCs w:val="20"/>
              </w:rPr>
              <w:t>Single-arm, multicenter phase II clinical trial (n=127)</w:t>
            </w:r>
          </w:p>
        </w:tc>
        <w:tc>
          <w:tcPr>
            <w:tcW w:w="3817" w:type="dxa"/>
            <w:noWrap/>
          </w:tcPr>
          <w:p w14:paraId="08766A75" w14:textId="77777777" w:rsidR="00822BE5" w:rsidRPr="00DD7C96" w:rsidRDefault="00822BE5" w:rsidP="00E5378E">
            <w:pPr>
              <w:numPr>
                <w:ilvl w:val="0"/>
                <w:numId w:val="22"/>
              </w:numPr>
              <w:spacing w:after="240"/>
              <w:ind w:left="252" w:hanging="235"/>
              <w:contextualSpacing/>
              <w:cnfStyle w:val="000000000000" w:firstRow="0" w:lastRow="0" w:firstColumn="0" w:lastColumn="0" w:oddVBand="0" w:evenVBand="0" w:oddHBand="0"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Patients with ROS1+ NSCLC enrolled at 37 sites in China, Japan, South Korea, and Taiwan</w:t>
            </w:r>
          </w:p>
          <w:p w14:paraId="41DEB2D1" w14:textId="7C0E2156" w:rsidR="00822BE5" w:rsidRPr="00DD7C96" w:rsidRDefault="00822BE5" w:rsidP="00E5378E">
            <w:pPr>
              <w:numPr>
                <w:ilvl w:val="0"/>
                <w:numId w:val="22"/>
              </w:numPr>
              <w:spacing w:after="240"/>
              <w:ind w:left="252" w:hanging="235"/>
              <w:contextualSpacing/>
              <w:cnfStyle w:val="000000000000" w:firstRow="0" w:lastRow="0" w:firstColumn="0" w:lastColumn="0" w:oddVBand="0" w:evenVBand="0" w:oddHBand="0"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 xml:space="preserve">Patients had received three or fewer lines of prior systemic therapies for advanced-stage disease or had one or more measurable tumor lesions with and ECOG </w:t>
            </w:r>
            <w:r w:rsidR="00E5378E" w:rsidRPr="00DD7C96">
              <w:rPr>
                <w:rFonts w:eastAsia="Calibri" w:cstheme="minorHAnsi"/>
                <w:bCs/>
                <w:iCs/>
                <w:sz w:val="20"/>
                <w:szCs w:val="20"/>
                <w:lang w:val="en-CA"/>
              </w:rPr>
              <w:t>PS</w:t>
            </w:r>
            <w:r w:rsidRPr="00DD7C96">
              <w:rPr>
                <w:rFonts w:eastAsia="Calibri" w:cstheme="minorHAnsi"/>
                <w:bCs/>
                <w:iCs/>
                <w:sz w:val="20"/>
                <w:szCs w:val="20"/>
                <w:lang w:val="en-CA"/>
              </w:rPr>
              <w:t xml:space="preserve"> of 0 or 1.</w:t>
            </w:r>
          </w:p>
          <w:p w14:paraId="2A2A2BE2" w14:textId="177ECB21" w:rsidR="00822BE5" w:rsidRPr="00DD7C96" w:rsidRDefault="00822BE5" w:rsidP="00E5378E">
            <w:pPr>
              <w:numPr>
                <w:ilvl w:val="0"/>
                <w:numId w:val="22"/>
              </w:numPr>
              <w:spacing w:after="240"/>
              <w:ind w:left="252" w:hanging="235"/>
              <w:contextualSpacing/>
              <w:cnfStyle w:val="000000000000" w:firstRow="0" w:lastRow="0" w:firstColumn="0" w:lastColumn="0" w:oddVBand="0" w:evenVBand="0" w:oddHBand="0"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Median age: 51.5 (22.8-79.7)</w:t>
            </w:r>
          </w:p>
        </w:tc>
        <w:tc>
          <w:tcPr>
            <w:tcW w:w="1415" w:type="dxa"/>
            <w:noWrap/>
          </w:tcPr>
          <w:p w14:paraId="2EE23719" w14:textId="7643643C" w:rsidR="00822BE5" w:rsidRPr="00DD7C96" w:rsidRDefault="00822BE5" w:rsidP="00822BE5">
            <w:pPr>
              <w:cnfStyle w:val="000000000000" w:firstRow="0" w:lastRow="0" w:firstColumn="0" w:lastColumn="0" w:oddVBand="0" w:evenVBand="0" w:oddHBand="0" w:evenHBand="0" w:firstRowFirstColumn="0" w:firstRowLastColumn="0" w:lastRowFirstColumn="0" w:lastRowLastColumn="0"/>
              <w:rPr>
                <w:rFonts w:cstheme="minorHAnsi"/>
                <w:bCs/>
                <w:iCs/>
                <w:sz w:val="20"/>
                <w:szCs w:val="20"/>
                <w:lang w:val="en-CA"/>
              </w:rPr>
            </w:pPr>
            <w:r w:rsidRPr="00DD7C96">
              <w:rPr>
                <w:rFonts w:cstheme="minorHAnsi"/>
                <w:bCs/>
                <w:iCs/>
                <w:sz w:val="20"/>
                <w:szCs w:val="20"/>
              </w:rPr>
              <w:t xml:space="preserve">15.9 months </w:t>
            </w:r>
          </w:p>
        </w:tc>
      </w:tr>
      <w:tr w:rsidR="00822BE5" w:rsidRPr="00DD7C96" w14:paraId="652038C0" w14:textId="77777777" w:rsidTr="00E537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274" w:type="dxa"/>
            <w:noWrap/>
            <w:hideMark/>
          </w:tcPr>
          <w:p w14:paraId="1D5552DB" w14:textId="2DE81514" w:rsidR="00822BE5" w:rsidRPr="00DD7C96" w:rsidRDefault="00822BE5" w:rsidP="00822BE5">
            <w:pPr>
              <w:rPr>
                <w:rFonts w:cstheme="minorHAnsi"/>
                <w:b w:val="0"/>
                <w:iCs/>
                <w:sz w:val="20"/>
                <w:szCs w:val="20"/>
              </w:rPr>
            </w:pPr>
            <w:r w:rsidRPr="00DD7C96">
              <w:rPr>
                <w:rFonts w:cstheme="minorHAnsi"/>
                <w:b w:val="0"/>
                <w:iCs/>
                <w:sz w:val="20"/>
                <w:szCs w:val="20"/>
                <w:lang w:val="en-CA"/>
              </w:rPr>
              <w:t xml:space="preserve">EUROS1, </w:t>
            </w:r>
            <w:proofErr w:type="spellStart"/>
            <w:r w:rsidRPr="00DD7C96">
              <w:rPr>
                <w:rFonts w:cstheme="minorHAnsi"/>
                <w:b w:val="0"/>
                <w:iCs/>
                <w:sz w:val="20"/>
                <w:szCs w:val="20"/>
                <w:lang w:val="en-CA"/>
              </w:rPr>
              <w:t>Mazieres</w:t>
            </w:r>
            <w:proofErr w:type="spellEnd"/>
            <w:r w:rsidRPr="00DD7C96">
              <w:rPr>
                <w:rFonts w:cstheme="minorHAnsi"/>
                <w:b w:val="0"/>
                <w:iCs/>
                <w:sz w:val="20"/>
                <w:szCs w:val="20"/>
                <w:lang w:val="en-CA"/>
              </w:rPr>
              <w:t xml:space="preserve"> 2015</w:t>
            </w:r>
            <w:r w:rsidRPr="00DD7C96">
              <w:rPr>
                <w:rFonts w:cstheme="minorHAnsi"/>
                <w:iCs/>
                <w:sz w:val="20"/>
                <w:szCs w:val="20"/>
              </w:rPr>
              <w:fldChar w:fldCharType="begin" w:fldLock="1"/>
            </w:r>
            <w:r w:rsidR="00DC6C61" w:rsidRPr="00DD7C96">
              <w:rPr>
                <w:rFonts w:cstheme="minorHAnsi"/>
                <w:b w:val="0"/>
                <w:iCs/>
                <w:sz w:val="20"/>
                <w:szCs w:val="20"/>
                <w:lang w:val="en-CA"/>
              </w:rPr>
              <w:instrText>ADDIN CSL_CITATION {"citationItems":[{"id":"ITEM-1","itemData":{"DOI":"10.1200/JCO.2014.58.3302","ISBN":"1527-7755 (Electronic)\\r0732-183X (Linking)","ISSN":"15277755","PMID":"25667280","abstract":"PURPOSE: Approximately 1% of lung adenocarcinomas are driven by oncogenic ROS1 rearrangement. Crizotinib is a potent inhibitor of both ROS1 and ALK kinase domains.\\n\\nPATIENTS AND METHODS: In the absence of a prospective clinical trial in Europe, we conducted a retrospective study in centers that tested for ROS1 rearrangement. Eligible patients had stage IV lung adenocarcinoma, had ROS1 rearrangement according to fluorescent in situ hybridization, and had received crizotinib therapy through an individual off-label use. Best response was assessed locally using RECIST (version 1.1). All other data were analyzed centrally.\\n\\nRESULTS: We identified 32 eligible patients. One patient was excluded because next-generation sequencing was negative for ROS1 fusion. Median age was 50.5 years, 64.5% of patients were women, and 67.7% were never-smokers. Thirty patients were evaluable for progression-free survival (PFS), and 29 patients were evaluable for best response. We observed four patients with disease progression, two patients with stable disease, and objective response in 24 patients, including five complete responses (overall response rate, 80%; disease control rate, 86.7%). Median PFS was 9.1 months, and the PFS rate at 12 months was 44%. No unexpected adverse effects were observed. Twenty-six patients received pemetrexed (either alone or in combination with platinum and either before or after crizotinib) and had a response rate of 57.7% and a median PFS of 7.2 months.\\n\\nCONCLUSION: Crizotinib was highly active at treating lung cancer in patients with a ROS1 rearrangement, suggesting that patients with lung adenocarcinomas should be tested for ROS1. Prospective clinical trials with crizotinib and other ROS1 inhibitors are ongoing or planned.","author":[{"dropping-particle":"","family":"Mazières","given":"Julien","non-dropping-particle":"","parse-names":false,"suffix":""},{"dropping-particle":"","family":"Rouvière","given":"Damien","non-dropping-particle":"","parse-names":false,"suffix":""},{"dropping-particle":"","family":"D.Milia","given":"Julie","non-dropping-particle":"","parse-names":false,"suffix":""},{"dropping-particle":"","family":"Filleron","given":"Thomas","non-dropping-particle":"","parse-names":false,"suffix":""},{"dropping-particle":"","family":"Zalcman","given":"Gérard","non-dropping-particle":"","parse-names":false,"suffix":""},{"dropping-particle":"","family":"Biondani","given":"Pamela","non-dropping-particle":"","parse-names":false,"suffix":""},{"dropping-particle":"","family":"Besse","given":"Benjamin","non-dropping-particle":"","parse-names":false,"suffix":""},{"dropping-particle":"","family":"Barlesi","given":"Fabrice","non-dropping-particle":"","parse-names":false,"suffix":""},{"dropping-particle":"","family":"Léna","given":"Hervé","non-dropping-particle":"","parse-names":false,"suffix":""},{"dropping-particle":"","family":"Monnet","given":"Isabelle","non-dropping-particle":"","parse-names":false,"suffix":""},{"dropping-particle":"","family":"Thiberville","given":"Luc","non-dropping-particle":"","parse-names":false,"suffix":""},{"dropping-particle":"","family":"Pecuchet","given":"Nicolas","non-dropping-particle":"","parse-names":false,"suffix":""},{"dropping-particle":"","family":"Crinò","given":"Lucio","non-dropping-particle":"","parse-names":false,"suffix":""},{"dropping-particle":"","family":"Cappuzzo","given":"Federico","non-dropping-particle":"","parse-names":false,"suffix":""},{"dropping-particle":"","family":"Dingemans","given":"Anne Marie C.","non-dropping-particle":"","parse-names":false,"suffix":""},{"dropping-particle":"","family":"Smit Sacha I Rothschild","given":"Egbert F.","non-dropping-particle":"","parse-names":false,"suffix":""},{"dropping-particle":"","family":"Spirig","given":"Christian","non-dropping-particle":"","parse-names":false,"suffix":""},{"dropping-particle":"","family":"Diebold","given":"Joachim","non-dropping-particle":"","parse-names":false,"suffix":""},{"dropping-particle":"","family":"Gautschi","given":"Oliver","non-dropping-particle":"","parse-names":false,"suffix":""},{"dropping-particle":"","family":"Dziadziuszko","given":"Rafal","non-dropping-particle":"","parse-names":false,"suffix":""},{"dropping-particle":"","family":"Wolf","given":"Jurgen","non-dropping-particle":"","parse-names":false,"suffix":""},{"dropping-particle":"","family":"Thomas","given":"Roman K.","non-dropping-particle":"","parse-names":false,"suffix":""},{"dropping-particle":"","family":"Leenders","given":"Frauke","non-dropping-particle":"","parse-names":false,"suffix":""},{"dropping-particle":"","family":"Heuckmann","given":"Johannes M.","non-dropping-particle":"","parse-names":false,"suffix":""}],"container-title":"Journal of Clinical Oncology","id":"ITEM-1","issue":"9","issued":{"date-parts":[["2015"]]},"page":"992-999","title":"Crizotinib therapy for advanced lung adenocarcinoma and a ROS1 rearrangement: Results from the EUROS1 cohort","type":"article-journal","volume":"33"},"uris":["http://www.mendeley.com/documents/?uuid=9ee22ec9-4bf8-4b5e-afc0-58362aba5ba7"]}],"mendeley":{"formattedCitation":"&lt;sup&gt;3&lt;/sup&gt;","plainTextFormattedCitation":"3","previouslyFormattedCitation":"&lt;sup&gt;3&lt;/sup&gt;"},"properties":{"noteIndex":0},"schema":"https://github.com/citation-style-language/schema/raw/master/csl-citation.json"}</w:instrText>
            </w:r>
            <w:r w:rsidRPr="00DD7C96">
              <w:rPr>
                <w:rFonts w:cstheme="minorHAnsi"/>
                <w:iCs/>
                <w:sz w:val="20"/>
                <w:szCs w:val="20"/>
              </w:rPr>
              <w:fldChar w:fldCharType="separate"/>
            </w:r>
            <w:r w:rsidR="00DC6C61" w:rsidRPr="00DD7C96">
              <w:rPr>
                <w:rFonts w:cstheme="minorHAnsi"/>
                <w:b w:val="0"/>
                <w:iCs/>
                <w:noProof/>
                <w:sz w:val="20"/>
                <w:szCs w:val="20"/>
                <w:vertAlign w:val="superscript"/>
                <w:lang w:val="en-CA"/>
              </w:rPr>
              <w:t>3</w:t>
            </w:r>
            <w:r w:rsidRPr="00DD7C96">
              <w:rPr>
                <w:rFonts w:cstheme="minorHAnsi"/>
                <w:iCs/>
                <w:sz w:val="20"/>
                <w:szCs w:val="20"/>
              </w:rPr>
              <w:fldChar w:fldCharType="end"/>
            </w:r>
          </w:p>
        </w:tc>
        <w:tc>
          <w:tcPr>
            <w:tcW w:w="1420" w:type="dxa"/>
          </w:tcPr>
          <w:p w14:paraId="22E358D3" w14:textId="50AB46D8" w:rsidR="00822BE5" w:rsidRPr="00DD7C96" w:rsidRDefault="00822BE5" w:rsidP="00822BE5">
            <w:pPr>
              <w:cnfStyle w:val="000000100000" w:firstRow="0" w:lastRow="0" w:firstColumn="0" w:lastColumn="0" w:oddVBand="0" w:evenVBand="0" w:oddHBand="1"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t>Crizotinib</w:t>
            </w:r>
          </w:p>
        </w:tc>
        <w:tc>
          <w:tcPr>
            <w:tcW w:w="1434" w:type="dxa"/>
            <w:noWrap/>
            <w:hideMark/>
          </w:tcPr>
          <w:p w14:paraId="6D585F97" w14:textId="2B4C22E4" w:rsidR="00822BE5" w:rsidRPr="00DD7C96" w:rsidRDefault="00822BE5" w:rsidP="00822BE5">
            <w:pPr>
              <w:cnfStyle w:val="000000100000" w:firstRow="0" w:lastRow="0" w:firstColumn="0" w:lastColumn="0" w:oddVBand="0" w:evenVBand="0" w:oddHBand="1" w:evenHBand="0" w:firstRowFirstColumn="0" w:firstRowLastColumn="0" w:lastRowFirstColumn="0" w:lastRowLastColumn="0"/>
              <w:rPr>
                <w:rFonts w:cstheme="minorHAnsi"/>
                <w:bCs/>
                <w:iCs/>
                <w:sz w:val="20"/>
                <w:szCs w:val="20"/>
              </w:rPr>
            </w:pPr>
            <w:r w:rsidRPr="00DD7C96">
              <w:rPr>
                <w:rFonts w:cstheme="minorHAnsi"/>
                <w:bCs/>
                <w:iCs/>
                <w:sz w:val="20"/>
                <w:szCs w:val="20"/>
                <w:lang w:val="en-CA"/>
              </w:rPr>
              <w:t xml:space="preserve">Retrospective study </w:t>
            </w:r>
            <w:r w:rsidRPr="00DD7C96">
              <w:rPr>
                <w:rFonts w:cstheme="minorHAnsi"/>
                <w:bCs/>
                <w:iCs/>
                <w:sz w:val="20"/>
                <w:szCs w:val="20"/>
              </w:rPr>
              <w:t>(n=30)</w:t>
            </w:r>
          </w:p>
        </w:tc>
        <w:tc>
          <w:tcPr>
            <w:tcW w:w="3817" w:type="dxa"/>
            <w:noWrap/>
            <w:hideMark/>
          </w:tcPr>
          <w:p w14:paraId="7258215C" w14:textId="77777777" w:rsidR="00822BE5" w:rsidRPr="00DD7C96" w:rsidRDefault="00822BE5" w:rsidP="00E5378E">
            <w:pPr>
              <w:numPr>
                <w:ilvl w:val="0"/>
                <w:numId w:val="22"/>
              </w:numPr>
              <w:spacing w:after="240"/>
              <w:ind w:left="252" w:hanging="235"/>
              <w:contextualSpacing/>
              <w:cnfStyle w:val="000000100000" w:firstRow="0" w:lastRow="0" w:firstColumn="0" w:lastColumn="0" w:oddVBand="0" w:evenVBand="0" w:oddHBand="1"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 xml:space="preserve">Patients with FISH- confirmed ROS1+ NSCLC with stage IV disease treated with crizotinib </w:t>
            </w:r>
          </w:p>
          <w:p w14:paraId="3A04A9DA" w14:textId="77777777" w:rsidR="00822BE5" w:rsidRPr="00DD7C96" w:rsidRDefault="00822BE5" w:rsidP="00E5378E">
            <w:pPr>
              <w:numPr>
                <w:ilvl w:val="0"/>
                <w:numId w:val="22"/>
              </w:numPr>
              <w:spacing w:after="240"/>
              <w:ind w:left="252" w:hanging="235"/>
              <w:contextualSpacing/>
              <w:cnfStyle w:val="000000100000" w:firstRow="0" w:lastRow="0" w:firstColumn="0" w:lastColumn="0" w:oddVBand="0" w:evenVBand="0" w:oddHBand="1"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Crizotinib as a first- or second-line treatment (n=10, 32%), after two or more lines of chemotherapy (n=21, 68%)</w:t>
            </w:r>
          </w:p>
          <w:p w14:paraId="5FF4EB88" w14:textId="77777777" w:rsidR="00822BE5" w:rsidRPr="00DD7C96" w:rsidRDefault="00822BE5" w:rsidP="00E5378E">
            <w:pPr>
              <w:numPr>
                <w:ilvl w:val="0"/>
                <w:numId w:val="22"/>
              </w:numPr>
              <w:spacing w:after="240"/>
              <w:ind w:left="252" w:hanging="235"/>
              <w:contextualSpacing/>
              <w:cnfStyle w:val="000000100000" w:firstRow="0" w:lastRow="0" w:firstColumn="0" w:lastColumn="0" w:oddVBand="0" w:evenVBand="0" w:oddHBand="1"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Median age at diagnosis 50.5 years; age at treatment NR</w:t>
            </w:r>
          </w:p>
        </w:tc>
        <w:tc>
          <w:tcPr>
            <w:tcW w:w="1415" w:type="dxa"/>
            <w:noWrap/>
            <w:hideMark/>
          </w:tcPr>
          <w:p w14:paraId="51FCAA5B" w14:textId="77777777" w:rsidR="00822BE5" w:rsidRPr="00DD7C96" w:rsidRDefault="00822BE5" w:rsidP="00822BE5">
            <w:pPr>
              <w:cnfStyle w:val="000000100000" w:firstRow="0" w:lastRow="0" w:firstColumn="0" w:lastColumn="0" w:oddVBand="0" w:evenVBand="0" w:oddHBand="1" w:evenHBand="0" w:firstRowFirstColumn="0" w:firstRowLastColumn="0" w:lastRowFirstColumn="0" w:lastRowLastColumn="0"/>
              <w:rPr>
                <w:rFonts w:cstheme="minorHAnsi"/>
                <w:bCs/>
                <w:iCs/>
                <w:sz w:val="20"/>
                <w:szCs w:val="20"/>
              </w:rPr>
            </w:pPr>
            <w:r w:rsidRPr="00DD7C96">
              <w:rPr>
                <w:rFonts w:cstheme="minorHAnsi"/>
                <w:bCs/>
                <w:iCs/>
                <w:sz w:val="20"/>
                <w:szCs w:val="20"/>
                <w:lang w:val="en-CA"/>
              </w:rPr>
              <w:t>9.1 months</w:t>
            </w:r>
          </w:p>
        </w:tc>
      </w:tr>
      <w:tr w:rsidR="00822BE5" w:rsidRPr="00DD7C96" w14:paraId="56F8EC94" w14:textId="77777777" w:rsidTr="00E5378E">
        <w:trPr>
          <w:trHeight w:val="284"/>
        </w:trPr>
        <w:tc>
          <w:tcPr>
            <w:cnfStyle w:val="001000000000" w:firstRow="0" w:lastRow="0" w:firstColumn="1" w:lastColumn="0" w:oddVBand="0" w:evenVBand="0" w:oddHBand="0" w:evenHBand="0" w:firstRowFirstColumn="0" w:firstRowLastColumn="0" w:lastRowFirstColumn="0" w:lastRowLastColumn="0"/>
            <w:tcW w:w="1274" w:type="dxa"/>
            <w:noWrap/>
          </w:tcPr>
          <w:p w14:paraId="202E19D5" w14:textId="36C8609B" w:rsidR="00822BE5" w:rsidRPr="00DD7C96" w:rsidRDefault="00822BE5" w:rsidP="00822BE5">
            <w:pPr>
              <w:rPr>
                <w:rFonts w:cstheme="minorHAnsi"/>
                <w:b w:val="0"/>
                <w:iCs/>
                <w:sz w:val="20"/>
                <w:szCs w:val="20"/>
              </w:rPr>
            </w:pPr>
            <w:r w:rsidRPr="00DD7C96">
              <w:rPr>
                <w:rFonts w:cstheme="minorHAnsi"/>
                <w:b w:val="0"/>
                <w:iCs/>
                <w:sz w:val="20"/>
                <w:szCs w:val="20"/>
                <w:lang w:val="en-CA"/>
              </w:rPr>
              <w:t xml:space="preserve">EUROS1, </w:t>
            </w:r>
            <w:proofErr w:type="spellStart"/>
            <w:r w:rsidRPr="00DD7C96">
              <w:rPr>
                <w:rFonts w:cstheme="minorHAnsi"/>
                <w:b w:val="0"/>
                <w:iCs/>
                <w:sz w:val="20"/>
                <w:szCs w:val="20"/>
                <w:lang w:val="en-CA"/>
              </w:rPr>
              <w:t>Mazieres</w:t>
            </w:r>
            <w:proofErr w:type="spellEnd"/>
            <w:r w:rsidRPr="00DD7C96">
              <w:rPr>
                <w:rFonts w:cstheme="minorHAnsi"/>
                <w:b w:val="0"/>
                <w:iCs/>
                <w:sz w:val="20"/>
                <w:szCs w:val="20"/>
                <w:lang w:val="en-CA"/>
              </w:rPr>
              <w:t xml:space="preserve"> 2015</w:t>
            </w:r>
            <w:r w:rsidRPr="00DD7C96">
              <w:rPr>
                <w:rFonts w:cstheme="minorHAnsi"/>
                <w:iCs/>
                <w:sz w:val="20"/>
                <w:szCs w:val="20"/>
              </w:rPr>
              <w:fldChar w:fldCharType="begin" w:fldLock="1"/>
            </w:r>
            <w:r w:rsidR="00DC6C61" w:rsidRPr="00DD7C96">
              <w:rPr>
                <w:rFonts w:cstheme="minorHAnsi"/>
                <w:b w:val="0"/>
                <w:iCs/>
                <w:sz w:val="20"/>
                <w:szCs w:val="20"/>
                <w:lang w:val="en-CA"/>
              </w:rPr>
              <w:instrText>ADDIN CSL_CITATION {"citationItems":[{"id":"ITEM-1","itemData":{"DOI":"10.1200/JCO.2014.58.3302","ISBN":"1527-7755 (Electronic)\\r0732-183X (Linking)","ISSN":"15277755","PMID":"25667280","abstract":"PURPOSE: Approximately 1% of lung adenocarcinomas are driven by oncogenic ROS1 rearrangement. Crizotinib is a potent inhibitor of both ROS1 and ALK kinase domains.\\n\\nPATIENTS AND METHODS: In the absence of a prospective clinical trial in Europe, we conducted a retrospective study in centers that tested for ROS1 rearrangement. Eligible patients had stage IV lung adenocarcinoma, had ROS1 rearrangement according to fluorescent in situ hybridization, and had received crizotinib therapy through an individual off-label use. Best response was assessed locally using RECIST (version 1.1). All other data were analyzed centrally.\\n\\nRESULTS: We identified 32 eligible patients. One patient was excluded because next-generation sequencing was negative for ROS1 fusion. Median age was 50.5 years, 64.5% of patients were women, and 67.7% were never-smokers. Thirty patients were evaluable for progression-free survival (PFS), and 29 patients were evaluable for best response. We observed four patients with disease progression, two patients with stable disease, and objective response in 24 patients, including five complete responses (overall response rate, 80%; disease control rate, 86.7%). Median PFS was 9.1 months, and the PFS rate at 12 months was 44%. No unexpected adverse effects were observed. Twenty-six patients received pemetrexed (either alone or in combination with platinum and either before or after crizotinib) and had a response rate of 57.7% and a median PFS of 7.2 months.\\n\\nCONCLUSION: Crizotinib was highly active at treating lung cancer in patients with a ROS1 rearrangement, suggesting that patients with lung adenocarcinomas should be tested for ROS1. Prospective clinical trials with crizotinib and other ROS1 inhibitors are ongoing or planned.","author":[{"dropping-particle":"","family":"Mazières","given":"Julien","non-dropping-particle":"","parse-names":false,"suffix":""},{"dropping-particle":"","family":"Rouvière","given":"Damien","non-dropping-particle":"","parse-names":false,"suffix":""},{"dropping-particle":"","family":"D.Milia","given":"Julie","non-dropping-particle":"","parse-names":false,"suffix":""},{"dropping-particle":"","family":"Filleron","given":"Thomas","non-dropping-particle":"","parse-names":false,"suffix":""},{"dropping-particle":"","family":"Zalcman","given":"Gérard","non-dropping-particle":"","parse-names":false,"suffix":""},{"dropping-particle":"","family":"Biondani","given":"Pamela","non-dropping-particle":"","parse-names":false,"suffix":""},{"dropping-particle":"","family":"Besse","given":"Benjamin","non-dropping-particle":"","parse-names":false,"suffix":""},{"dropping-particle":"","family":"Barlesi","given":"Fabrice","non-dropping-particle":"","parse-names":false,"suffix":""},{"dropping-particle":"","family":"Léna","given":"Hervé","non-dropping-particle":"","parse-names":false,"suffix":""},{"dropping-particle":"","family":"Monnet","given":"Isabelle","non-dropping-particle":"","parse-names":false,"suffix":""},{"dropping-particle":"","family":"Thiberville","given":"Luc","non-dropping-particle":"","parse-names":false,"suffix":""},{"dropping-particle":"","family":"Pecuchet","given":"Nicolas","non-dropping-particle":"","parse-names":false,"suffix":""},{"dropping-particle":"","family":"Crinò","given":"Lucio","non-dropping-particle":"","parse-names":false,"suffix":""},{"dropping-particle":"","family":"Cappuzzo","given":"Federico","non-dropping-particle":"","parse-names":false,"suffix":""},{"dropping-particle":"","family":"Dingemans","given":"Anne Marie C.","non-dropping-particle":"","parse-names":false,"suffix":""},{"dropping-particle":"","family":"Smit Sacha I Rothschild","given":"Egbert F.","non-dropping-particle":"","parse-names":false,"suffix":""},{"dropping-particle":"","family":"Spirig","given":"Christian","non-dropping-particle":"","parse-names":false,"suffix":""},{"dropping-particle":"","family":"Diebold","given":"Joachim","non-dropping-particle":"","parse-names":false,"suffix":""},{"dropping-particle":"","family":"Gautschi","given":"Oliver","non-dropping-particle":"","parse-names":false,"suffix":""},{"dropping-particle":"","family":"Dziadziuszko","given":"Rafal","non-dropping-particle":"","parse-names":false,"suffix":""},{"dropping-particle":"","family":"Wolf","given":"Jurgen","non-dropping-particle":"","parse-names":false,"suffix":""},{"dropping-particle":"","family":"Thomas","given":"Roman K.","non-dropping-particle":"","parse-names":false,"suffix":""},{"dropping-particle":"","family":"Leenders","given":"Frauke","non-dropping-particle":"","parse-names":false,"suffix":""},{"dropping-particle":"","family":"Heuckmann","given":"Johannes M.","non-dropping-particle":"","parse-names":false,"suffix":""}],"container-title":"Journal of Clinical Oncology","id":"ITEM-1","issue":"9","issued":{"date-parts":[["2015"]]},"page":"992-999","title":"Crizotinib therapy for advanced lung adenocarcinoma and a ROS1 rearrangement: Results from the EUROS1 cohort","type":"article-journal","volume":"33"},"uris":["http://www.mendeley.com/documents/?uuid=9ee22ec9-4bf8-4b5e-afc0-58362aba5ba7"]}],"mendeley":{"formattedCitation":"&lt;sup&gt;3&lt;/sup&gt;","plainTextFormattedCitation":"3","previouslyFormattedCitation":"&lt;sup&gt;3&lt;/sup&gt;"},"properties":{"noteIndex":0},"schema":"https://github.com/citation-style-language/schema/raw/master/csl-citation.json"}</w:instrText>
            </w:r>
            <w:r w:rsidRPr="00DD7C96">
              <w:rPr>
                <w:rFonts w:cstheme="minorHAnsi"/>
                <w:iCs/>
                <w:sz w:val="20"/>
                <w:szCs w:val="20"/>
              </w:rPr>
              <w:fldChar w:fldCharType="separate"/>
            </w:r>
            <w:r w:rsidR="00DC6C61" w:rsidRPr="00DD7C96">
              <w:rPr>
                <w:rFonts w:cstheme="minorHAnsi"/>
                <w:b w:val="0"/>
                <w:iCs/>
                <w:noProof/>
                <w:sz w:val="20"/>
                <w:szCs w:val="20"/>
                <w:vertAlign w:val="superscript"/>
                <w:lang w:val="en-CA"/>
              </w:rPr>
              <w:t>3</w:t>
            </w:r>
            <w:r w:rsidRPr="00DD7C96">
              <w:rPr>
                <w:rFonts w:cstheme="minorHAnsi"/>
                <w:iCs/>
                <w:sz w:val="20"/>
                <w:szCs w:val="20"/>
              </w:rPr>
              <w:fldChar w:fldCharType="end"/>
            </w:r>
          </w:p>
        </w:tc>
        <w:tc>
          <w:tcPr>
            <w:tcW w:w="1420" w:type="dxa"/>
          </w:tcPr>
          <w:p w14:paraId="765EDCA9" w14:textId="0C3DD8C5" w:rsidR="00822BE5" w:rsidRPr="00DD7C96" w:rsidRDefault="00822BE5" w:rsidP="00822BE5">
            <w:pPr>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cstheme="minorHAnsi"/>
                <w:bCs/>
                <w:iCs/>
                <w:sz w:val="20"/>
                <w:szCs w:val="20"/>
              </w:rPr>
              <w:t>Pemetrexed (</w:t>
            </w:r>
            <w:r w:rsidR="00E5378E" w:rsidRPr="00DD7C96">
              <w:rPr>
                <w:rFonts w:cstheme="minorHAnsi"/>
                <w:bCs/>
                <w:iCs/>
                <w:sz w:val="20"/>
                <w:szCs w:val="20"/>
              </w:rPr>
              <w:t>single agent</w:t>
            </w:r>
            <w:r w:rsidRPr="00DD7C96">
              <w:rPr>
                <w:rFonts w:cstheme="minorHAnsi"/>
                <w:bCs/>
                <w:iCs/>
                <w:sz w:val="20"/>
                <w:szCs w:val="20"/>
              </w:rPr>
              <w:t xml:space="preserve"> or platinum </w:t>
            </w:r>
            <w:r w:rsidR="00E5378E" w:rsidRPr="00DD7C96">
              <w:rPr>
                <w:rFonts w:cstheme="minorHAnsi"/>
                <w:bCs/>
                <w:iCs/>
                <w:sz w:val="20"/>
                <w:szCs w:val="20"/>
              </w:rPr>
              <w:t>combination</w:t>
            </w:r>
            <w:r w:rsidRPr="00DD7C96">
              <w:rPr>
                <w:rFonts w:cstheme="minorHAnsi"/>
                <w:bCs/>
                <w:iCs/>
                <w:sz w:val="20"/>
                <w:szCs w:val="20"/>
              </w:rPr>
              <w:t>)</w:t>
            </w:r>
          </w:p>
        </w:tc>
        <w:tc>
          <w:tcPr>
            <w:tcW w:w="1434" w:type="dxa"/>
            <w:noWrap/>
          </w:tcPr>
          <w:p w14:paraId="72AC8818" w14:textId="77777777" w:rsidR="00822BE5" w:rsidRPr="00DD7C96" w:rsidRDefault="00822BE5" w:rsidP="00822BE5">
            <w:pPr>
              <w:cnfStyle w:val="000000000000" w:firstRow="0" w:lastRow="0" w:firstColumn="0" w:lastColumn="0" w:oddVBand="0" w:evenVBand="0" w:oddHBand="0"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t>Retrospective study</w:t>
            </w:r>
          </w:p>
          <w:p w14:paraId="23A1D26D" w14:textId="5FEDFC20" w:rsidR="00822BE5" w:rsidRPr="00DD7C96" w:rsidRDefault="00822BE5" w:rsidP="00822BE5">
            <w:pPr>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cstheme="minorHAnsi"/>
                <w:bCs/>
                <w:iCs/>
                <w:sz w:val="20"/>
                <w:szCs w:val="20"/>
              </w:rPr>
              <w:t>(n=26)</w:t>
            </w:r>
          </w:p>
        </w:tc>
        <w:tc>
          <w:tcPr>
            <w:tcW w:w="3817" w:type="dxa"/>
            <w:noWrap/>
          </w:tcPr>
          <w:p w14:paraId="2C92F4F8" w14:textId="77777777" w:rsidR="00822BE5" w:rsidRPr="00DD7C96" w:rsidRDefault="00822BE5" w:rsidP="00E5378E">
            <w:pPr>
              <w:numPr>
                <w:ilvl w:val="0"/>
                <w:numId w:val="22"/>
              </w:numPr>
              <w:spacing w:after="240"/>
              <w:ind w:left="252" w:hanging="235"/>
              <w:contextualSpacing/>
              <w:cnfStyle w:val="000000000000" w:firstRow="0" w:lastRow="0" w:firstColumn="0" w:lastColumn="0" w:oddVBand="0" w:evenVBand="0" w:oddHBand="0" w:evenHBand="0" w:firstRowFirstColumn="0" w:firstRowLastColumn="0" w:lastRowFirstColumn="0" w:lastRowLastColumn="0"/>
              <w:rPr>
                <w:rFonts w:eastAsia="Calibri" w:cstheme="minorHAnsi"/>
                <w:bCs/>
                <w:iCs/>
                <w:sz w:val="20"/>
                <w:szCs w:val="20"/>
                <w:lang w:val="en-CA"/>
              </w:rPr>
            </w:pPr>
            <w:r w:rsidRPr="00DD7C96">
              <w:rPr>
                <w:rFonts w:eastAsia="Calibri" w:cstheme="minorHAnsi"/>
                <w:bCs/>
                <w:iCs/>
                <w:sz w:val="20"/>
                <w:szCs w:val="20"/>
                <w:lang w:val="en-CA"/>
              </w:rPr>
              <w:t xml:space="preserve">Patients with FISH- confirmed ROS1+ NSCLC with stage IV disease using chemotherapy before or after treatment with crizotinib </w:t>
            </w:r>
          </w:p>
          <w:p w14:paraId="1FF9A99C" w14:textId="367E7673" w:rsidR="00822BE5" w:rsidRPr="00DD7C96" w:rsidRDefault="00822BE5" w:rsidP="00E5378E">
            <w:pPr>
              <w:numPr>
                <w:ilvl w:val="0"/>
                <w:numId w:val="22"/>
              </w:numPr>
              <w:spacing w:after="240"/>
              <w:ind w:left="252" w:hanging="235"/>
              <w:contextualSpacing/>
              <w:cnfStyle w:val="000000000000" w:firstRow="0" w:lastRow="0" w:firstColumn="0" w:lastColumn="0" w:oddVBand="0" w:evenVBand="0" w:oddHBand="0" w:evenHBand="0" w:firstRowFirstColumn="0" w:firstRowLastColumn="0" w:lastRowFirstColumn="0" w:lastRowLastColumn="0"/>
              <w:rPr>
                <w:rFonts w:eastAsia="Calibri" w:cstheme="minorHAnsi"/>
                <w:bCs/>
                <w:iCs/>
                <w:sz w:val="20"/>
                <w:szCs w:val="20"/>
                <w:lang w:val="en-CA"/>
              </w:rPr>
            </w:pPr>
            <w:r w:rsidRPr="00DD7C96">
              <w:rPr>
                <w:rFonts w:cstheme="minorHAnsi"/>
                <w:bCs/>
                <w:iCs/>
                <w:sz w:val="20"/>
                <w:szCs w:val="20"/>
              </w:rPr>
              <w:t>Use of maintenance NR</w:t>
            </w:r>
          </w:p>
        </w:tc>
        <w:tc>
          <w:tcPr>
            <w:tcW w:w="1415" w:type="dxa"/>
            <w:noWrap/>
          </w:tcPr>
          <w:p w14:paraId="47EC800A" w14:textId="187673E1" w:rsidR="00822BE5" w:rsidRPr="00DD7C96" w:rsidRDefault="00822BE5" w:rsidP="00822BE5">
            <w:pPr>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cstheme="minorHAnsi"/>
                <w:bCs/>
                <w:iCs/>
                <w:sz w:val="20"/>
                <w:szCs w:val="20"/>
                <w:lang w:val="en-CA"/>
              </w:rPr>
              <w:t>7.2 months</w:t>
            </w:r>
          </w:p>
        </w:tc>
      </w:tr>
      <w:tr w:rsidR="00822BE5" w:rsidRPr="00DD7C96" w14:paraId="02A409FE" w14:textId="77777777" w:rsidTr="00E5378E">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274" w:type="dxa"/>
            <w:noWrap/>
          </w:tcPr>
          <w:p w14:paraId="488CCB2B" w14:textId="7AE4E809" w:rsidR="00822BE5" w:rsidRPr="00DD7C96" w:rsidRDefault="00822BE5" w:rsidP="00E5378E">
            <w:pPr>
              <w:rPr>
                <w:rFonts w:cstheme="minorHAnsi"/>
                <w:b w:val="0"/>
                <w:iCs/>
                <w:sz w:val="20"/>
                <w:szCs w:val="20"/>
                <w:lang w:val="en-CA"/>
              </w:rPr>
            </w:pPr>
            <w:r w:rsidRPr="00DD7C96">
              <w:rPr>
                <w:rFonts w:cstheme="minorHAnsi"/>
                <w:b w:val="0"/>
                <w:iCs/>
                <w:sz w:val="20"/>
                <w:szCs w:val="20"/>
                <w:lang w:val="en-CA"/>
              </w:rPr>
              <w:t>Song 2016</w:t>
            </w:r>
            <w:r w:rsidRPr="00DD7C96">
              <w:rPr>
                <w:rFonts w:cstheme="minorHAnsi"/>
                <w:iCs/>
                <w:sz w:val="20"/>
                <w:szCs w:val="20"/>
              </w:rPr>
              <w:fldChar w:fldCharType="begin" w:fldLock="1"/>
            </w:r>
            <w:r w:rsidR="00DC6C61" w:rsidRPr="00DD7C96">
              <w:rPr>
                <w:rFonts w:cstheme="minorHAnsi"/>
                <w:b w:val="0"/>
                <w:iCs/>
                <w:sz w:val="20"/>
                <w:szCs w:val="20"/>
                <w:lang w:val="en-CA"/>
              </w:rPr>
              <w:instrText>ADDIN CSL_CITATION {"citationItems":[{"id":"ITEM-1","itemData":{"DOI":"10.1002/cam4.809","ISBN":"2045-7634","ISSN":"20457634","PMID":"27544536","abstract":"ROS1 gene-rearrangement in non-small-cell lung cancer (NSCLC) patients has recently been identified as a driver gene and benefited from crizotinib treatment. However, no data are available for ROS1-positive NSCLC about chemotherapeutic options and prognostic data. We investigated pemetrexed-based treatment efficacy in ROS1 translocation NSCLC patients and determined the expression of thymidylate synthetase (TS) to provide a rationale for the efficacy results. We determined the ROS1 status of 1750 patients with lung adenocarcinoma. Patients' clinical and therapeutic profiles were assessed. In positive cases, thymidylate synthetase (TS) mRNA level was performed by RT-PCR. For comparison, we evaluated the TS mRNA status and pemetrexed-based treatment efficacy from 170 NSCLC patients with anaplastic lymphoma kinase (ALK) translocation (n = 46), EGFR mutation (n = 50), KRAS mutation (n = 32), and wild-type of EGFR/ALK/ROS1/KRAS (n = 42). Thirty-four ROS1 translocation patients were identified at two institutions. Among the 34 patients, 12 with advanced stage or recurrence were treated with pemetrexed-based first-line chemotherapy. The median progression-free survivals of pemetrexed-based first-line chemotherapy in ROS1 translocation, ALK translocation, EGFR mutation, KRAS mutation, and EGFR/ALK/ROS1/KRAS wild-type patients were 6.8, 6.7, 5.2, 4.2, and 4.5 months, respectively (P = 0.003). The TS mRNA level was lower in patients with ROS1-positive than ROS1-negative patients (264 ± 469 × 10(-4) vs. 469 ± 615 × 10(-4) , P = 0.03), but similar with ALK-positive patients (264 ± 469 × 10(-4) vs. 317 ± 524 × 10(-4) , P = 0.64). Patients diagnosed with ROS1 translocation lung adenocarcinoma may benefit from pemetrexed-based chemotherapy. TS mRNA level enables the selection of therapeutic options for ROS1 translocation patients.","author":[{"dropping-particle":"","family":"Song","given":"Zhengbo","non-dropping-particle":"","parse-names":false,"suffix":""},{"dropping-particle":"","family":"Su","given":"Haiyan","non-dropping-particle":"","parse-names":false,"suffix":""},{"dropping-particle":"","family":"Zhang","given":"Yiping","non-dropping-particle":"","parse-names":false,"suffix":""}],"container-title":"Cancer Medicine","id":"ITEM-1","issue":"10","issued":{"date-parts":[["2016"]]},"page":"2688-2693","title":"Patients with ROS1 rearrangement-positive non-small-cell lung cancer benefit from pemetrexed-based chemotherapy","type":"article-journal","volume":"5"},"uris":["http://www.mendeley.com/documents/?uuid=8aa391e7-7008-4359-b12a-84a4e0ad7574"]}],"mendeley":{"formattedCitation":"&lt;sup&gt;4&lt;/sup&gt;","plainTextFormattedCitation":"4","previouslyFormattedCitation":"&lt;sup&gt;4&lt;/sup&gt;"},"properties":{"noteIndex":0},"schema":"https://github.com/citation-style-language/schema/raw/master/csl-citation.json"}</w:instrText>
            </w:r>
            <w:r w:rsidRPr="00DD7C96">
              <w:rPr>
                <w:rFonts w:cstheme="minorHAnsi"/>
                <w:iCs/>
                <w:sz w:val="20"/>
                <w:szCs w:val="20"/>
              </w:rPr>
              <w:fldChar w:fldCharType="separate"/>
            </w:r>
            <w:r w:rsidR="00DC6C61" w:rsidRPr="00DD7C96">
              <w:rPr>
                <w:rFonts w:cstheme="minorHAnsi"/>
                <w:b w:val="0"/>
                <w:iCs/>
                <w:noProof/>
                <w:sz w:val="20"/>
                <w:szCs w:val="20"/>
                <w:vertAlign w:val="superscript"/>
                <w:lang w:val="en-CA"/>
              </w:rPr>
              <w:t>4</w:t>
            </w:r>
            <w:r w:rsidRPr="00DD7C96">
              <w:rPr>
                <w:rFonts w:cstheme="minorHAnsi"/>
                <w:iCs/>
                <w:sz w:val="20"/>
                <w:szCs w:val="20"/>
              </w:rPr>
              <w:fldChar w:fldCharType="end"/>
            </w:r>
          </w:p>
        </w:tc>
        <w:tc>
          <w:tcPr>
            <w:tcW w:w="1420" w:type="dxa"/>
          </w:tcPr>
          <w:p w14:paraId="44E9C6AC" w14:textId="40722346" w:rsidR="00822BE5" w:rsidRPr="00DD7C96" w:rsidRDefault="00822BE5" w:rsidP="00E5378E">
            <w:pPr>
              <w:cnfStyle w:val="000000100000" w:firstRow="0" w:lastRow="0" w:firstColumn="0" w:lastColumn="0" w:oddVBand="0" w:evenVBand="0" w:oddHBand="1" w:evenHBand="0" w:firstRowFirstColumn="0" w:firstRowLastColumn="0" w:lastRowFirstColumn="0" w:lastRowLastColumn="0"/>
              <w:rPr>
                <w:rFonts w:cstheme="minorHAnsi"/>
                <w:bCs/>
                <w:iCs/>
                <w:sz w:val="20"/>
                <w:szCs w:val="20"/>
              </w:rPr>
            </w:pPr>
            <w:r w:rsidRPr="00DD7C96">
              <w:rPr>
                <w:rFonts w:cstheme="minorHAnsi"/>
                <w:bCs/>
                <w:iCs/>
                <w:sz w:val="20"/>
                <w:szCs w:val="20"/>
              </w:rPr>
              <w:t>First line palliative pemetrexed platinum combination</w:t>
            </w:r>
          </w:p>
        </w:tc>
        <w:tc>
          <w:tcPr>
            <w:tcW w:w="1434" w:type="dxa"/>
            <w:noWrap/>
          </w:tcPr>
          <w:p w14:paraId="5C5AFC72" w14:textId="391DD6CD" w:rsidR="00822BE5" w:rsidRPr="00DD7C96" w:rsidRDefault="00822BE5" w:rsidP="00E5378E">
            <w:pPr>
              <w:cnfStyle w:val="000000100000" w:firstRow="0" w:lastRow="0" w:firstColumn="0" w:lastColumn="0" w:oddVBand="0" w:evenVBand="0" w:oddHBand="1" w:evenHBand="0" w:firstRowFirstColumn="0" w:firstRowLastColumn="0" w:lastRowFirstColumn="0" w:lastRowLastColumn="0"/>
              <w:rPr>
                <w:rFonts w:cstheme="minorHAnsi"/>
                <w:bCs/>
                <w:iCs/>
                <w:sz w:val="20"/>
                <w:szCs w:val="20"/>
              </w:rPr>
            </w:pPr>
            <w:r w:rsidRPr="00DD7C96">
              <w:rPr>
                <w:rFonts w:cstheme="minorHAnsi"/>
                <w:bCs/>
                <w:iCs/>
                <w:sz w:val="20"/>
                <w:szCs w:val="20"/>
              </w:rPr>
              <w:t xml:space="preserve"> </w:t>
            </w:r>
            <w:r w:rsidRPr="00DD7C96">
              <w:rPr>
                <w:rFonts w:cstheme="minorHAnsi"/>
                <w:bCs/>
                <w:iCs/>
                <w:sz w:val="20"/>
                <w:szCs w:val="20"/>
                <w:lang w:val="en-CA"/>
              </w:rPr>
              <w:t>Retrospective study</w:t>
            </w:r>
            <w:r w:rsidRPr="00DD7C96">
              <w:rPr>
                <w:rFonts w:cstheme="minorHAnsi"/>
                <w:bCs/>
                <w:iCs/>
                <w:sz w:val="20"/>
                <w:szCs w:val="20"/>
              </w:rPr>
              <w:t xml:space="preserve"> (n=12) </w:t>
            </w:r>
          </w:p>
        </w:tc>
        <w:tc>
          <w:tcPr>
            <w:tcW w:w="3817" w:type="dxa"/>
            <w:noWrap/>
          </w:tcPr>
          <w:p w14:paraId="7D4A1694" w14:textId="77777777" w:rsidR="00822BE5" w:rsidRPr="00DD7C96" w:rsidRDefault="00822BE5" w:rsidP="00E5378E">
            <w:pPr>
              <w:pStyle w:val="ListParagraph"/>
              <w:numPr>
                <w:ilvl w:val="0"/>
                <w:numId w:val="23"/>
              </w:numPr>
              <w:spacing w:after="0"/>
              <w:ind w:left="252" w:hanging="23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t>Population from 2 sites in China between Jan 2010 and Dec 2014</w:t>
            </w:r>
          </w:p>
          <w:p w14:paraId="28DA5465" w14:textId="5C95EAA8" w:rsidR="00822BE5" w:rsidRPr="00DD7C96" w:rsidRDefault="00822BE5" w:rsidP="00E5378E">
            <w:pPr>
              <w:pStyle w:val="ListParagraph"/>
              <w:numPr>
                <w:ilvl w:val="0"/>
                <w:numId w:val="23"/>
              </w:numPr>
              <w:spacing w:after="0"/>
              <w:ind w:left="252" w:hanging="23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t>Among the 34 patients, 12 with advanced stage or recurrence were treated with pemetrexed-based first-line chemotherapy</w:t>
            </w:r>
          </w:p>
          <w:p w14:paraId="7E581CA6" w14:textId="1550028B" w:rsidR="00822BE5" w:rsidRPr="00DD7C96" w:rsidRDefault="00822BE5" w:rsidP="00E5378E">
            <w:pPr>
              <w:pStyle w:val="ListParagraph"/>
              <w:numPr>
                <w:ilvl w:val="0"/>
                <w:numId w:val="23"/>
              </w:numPr>
              <w:spacing w:after="0"/>
              <w:ind w:left="252" w:hanging="23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t>Median age: NR</w:t>
            </w:r>
          </w:p>
          <w:p w14:paraId="29939ABA" w14:textId="015C9237" w:rsidR="00822BE5" w:rsidRPr="00DD7C96" w:rsidRDefault="00822BE5" w:rsidP="00E5378E">
            <w:pPr>
              <w:pStyle w:val="ListParagraph"/>
              <w:numPr>
                <w:ilvl w:val="0"/>
                <w:numId w:val="23"/>
              </w:numPr>
              <w:spacing w:after="0"/>
              <w:ind w:left="252" w:hanging="23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t>No maintenance used by any of the 12 patients</w:t>
            </w:r>
          </w:p>
        </w:tc>
        <w:tc>
          <w:tcPr>
            <w:tcW w:w="1415" w:type="dxa"/>
            <w:noWrap/>
          </w:tcPr>
          <w:p w14:paraId="1EA387F8" w14:textId="311CE0E2" w:rsidR="00822BE5" w:rsidRPr="00DD7C96" w:rsidRDefault="00822BE5" w:rsidP="00E5378E">
            <w:pPr>
              <w:cnfStyle w:val="000000100000" w:firstRow="0" w:lastRow="0" w:firstColumn="0" w:lastColumn="0" w:oddVBand="0" w:evenVBand="0" w:oddHBand="1" w:evenHBand="0" w:firstRowFirstColumn="0" w:firstRowLastColumn="0" w:lastRowFirstColumn="0" w:lastRowLastColumn="0"/>
              <w:rPr>
                <w:rFonts w:cstheme="minorHAnsi"/>
                <w:bCs/>
                <w:iCs/>
                <w:sz w:val="20"/>
                <w:szCs w:val="20"/>
              </w:rPr>
            </w:pPr>
            <w:r w:rsidRPr="00DD7C96">
              <w:rPr>
                <w:rFonts w:cstheme="minorHAnsi"/>
                <w:bCs/>
                <w:iCs/>
                <w:sz w:val="20"/>
                <w:szCs w:val="20"/>
                <w:lang w:val="en-CA"/>
              </w:rPr>
              <w:t>6.8 months</w:t>
            </w:r>
          </w:p>
        </w:tc>
      </w:tr>
      <w:tr w:rsidR="00822BE5" w:rsidRPr="00DD7C96" w14:paraId="4AD43F6A" w14:textId="77777777" w:rsidTr="00E5378E">
        <w:trPr>
          <w:trHeight w:val="284"/>
        </w:trPr>
        <w:tc>
          <w:tcPr>
            <w:cnfStyle w:val="001000000000" w:firstRow="0" w:lastRow="0" w:firstColumn="1" w:lastColumn="0" w:oddVBand="0" w:evenVBand="0" w:oddHBand="0" w:evenHBand="0" w:firstRowFirstColumn="0" w:firstRowLastColumn="0" w:lastRowFirstColumn="0" w:lastRowLastColumn="0"/>
            <w:tcW w:w="1274" w:type="dxa"/>
            <w:noWrap/>
          </w:tcPr>
          <w:p w14:paraId="33BB08E0" w14:textId="10E18884" w:rsidR="00822BE5" w:rsidRPr="00DD7C96" w:rsidRDefault="00822BE5" w:rsidP="00E5378E">
            <w:pPr>
              <w:rPr>
                <w:rFonts w:cstheme="minorHAnsi"/>
                <w:b w:val="0"/>
                <w:iCs/>
                <w:sz w:val="20"/>
                <w:szCs w:val="20"/>
                <w:lang w:val="en-CA"/>
              </w:rPr>
            </w:pPr>
            <w:r w:rsidRPr="00DD7C96">
              <w:rPr>
                <w:rFonts w:cstheme="minorHAnsi"/>
                <w:b w:val="0"/>
                <w:iCs/>
                <w:sz w:val="20"/>
                <w:szCs w:val="20"/>
                <w:lang w:val="en-CA"/>
              </w:rPr>
              <w:t>Zhang 2016</w:t>
            </w:r>
            <w:r w:rsidRPr="00DD7C96">
              <w:rPr>
                <w:rFonts w:cstheme="minorHAnsi"/>
                <w:iCs/>
                <w:sz w:val="20"/>
                <w:szCs w:val="20"/>
              </w:rPr>
              <w:fldChar w:fldCharType="begin" w:fldLock="1"/>
            </w:r>
            <w:r w:rsidR="00DC6C61" w:rsidRPr="00DD7C96">
              <w:rPr>
                <w:rFonts w:cstheme="minorHAnsi"/>
                <w:b w:val="0"/>
                <w:iCs/>
                <w:sz w:val="20"/>
                <w:szCs w:val="20"/>
                <w:lang w:val="en-CA"/>
              </w:rPr>
              <w:instrText>ADDIN CSL_CITATION {"citationItems":[{"id":"ITEM-1","itemData":{"DOI":"10.18632/oncotarget.12612","ISBN":"1949-2553","ISSN":"1949-2553","PMID":"27738334","abstract":"// Limin Zhang 1, * , Tao Jiang 1, * , Chao Zhao 2, * , Wei Li 1 , Xuefei Li 2 , Sha Zhao 1 , Xiaozhen Liu 1 , Yijun Jia 1 , Hui Yang 1 , Shengxiang Ren 1 , Caicun Zhou 1 1 Department of Medical Oncology, Shanghai Pulmonary Hospital and Thoracic Cancer Institute, Tongji University School of Medicine, Shanghai 200433, P.R. China 2 Department of Lung Cancer and Immunology, Shanghai Pulmonary Hospital, Tongji University School of Medicine, Shanghai 200433, P.R. China * These authors contributed equally to this work Correspondence to: Caicun Zhou, email: caicunzhoudr@163.com Shengxiang Ren, email: harry_ren@126.com Keywords: non-small-cell lung cancer, ROS1 rearrangement, crizotinib, Pemetrexed, thymidylate synthase Received: June 30, 2016&amp;nbsp;&amp;nbsp;&amp;nbsp;&amp;nbsp;&amp;nbsp; Accepted: September 29, 2016&amp;nbsp;&amp;nbsp;&amp;nbsp;&amp;nbsp;&amp;nbsp; Published: October 12, 2016 ABSTRACT Background: ROS1 rearrangement is a novel molecular subgroup of non-small-cell lung cancer (NSCLC). This study aimed to investigate the efficacy of crizotinib and pemetrexed-based chemotherapy in Chinese NSCLC patients with ROS1 rearrangement. Results: A total of 2309 patients received ROS1 fusion detection and 51(2.2%) patients had ROS1 rearrangement. There was no significant difference between ROS1 fusion-positive and fusion-negative cohorts in demographic data. For the ROS1 fusion-positive patients, crizotinb-treated group had a higher overall response rate (ORR, 80.0%), disease control rate (DCR, 90.0%) and longer progression-free survival (PFS, 294 days) compared with the rates in pemetrexed-treated group (ORR, 40.8%; DCR, 71.4%; PFS, 179 days) and non-pemetrexed-treated group (ORR, 25.0%; DCR, 47.7%; PFS, 110 days). Besides, ORR, DCR and PFS were similar in three major ROS1 fusion partners. For the first-line treatment, patients received pemetrexed had a significant longer PFS than those received non-pemetrexed chemotherapy (209 vs. 146 days, P = 0.0107). In pemetrexed-treated cohorts, ROS1-positive patients with low TS expression had a statistically significant longer PFS than those with high TS expression (184 vs. 110 days, P = 0.0105). Materials and methods: We retrospectively identified patients with NSCLC who were screened for ROS1 fusion using multiplex reverse transcription-polymerase chain reaction (RT-PCR) from October 2013 to February 2016. The thymidylate synthase (TS) mRNA levels were tested using quantitative real-time RT-PCR. Conclusions: Crizotinib was also highly active at tre…","author":[{"dropping-particle":"","family":"Zhang","given":"Limin","non-dropping-particle":"","parse-names":false,"suffix":""},{"dropping-particle":"","family":"Jiang","given":"Tao","non-dropping-particle":"","parse-names":false,"suffix":""},{"dropping-particle":"","family":"Zhao","given":"Chao","non-dropping-particle":"","parse-names":false,"suffix":""},{"dropping-particle":"","family":"Li","given":"Wei","non-dropping-particle":"","parse-names":false,"suffix":""},{"dropping-particle":"","family":"Li","given":"Xuefei","non-dropping-particle":"","parse-names":false,"suffix":""},{"dropping-particle":"","family":"Zhao","given":"Sha","non-dropping-particle":"","parse-names":false,"suffix":""},{"dropping-particle":"","family":"Liu","given":"Xiaozhen","non-dropping-particle":"","parse-names":false,"suffix":""},{"dropping-particle":"","family":"Jia","given":"Yijun","non-dropping-particle":"","parse-names":false,"suffix":""},{"dropping-particle":"","family":"Yang","given":"Hui","non-dropping-particle":"","parse-names":false,"suffix":""},{"dropping-particle":"","family":"Ren","given":"Shengxiang","non-dropping-particle":"","parse-names":false,"suffix":""},{"dropping-particle":"","family":"Zhou","given":"Caicun","non-dropping-particle":"","parse-names":false,"suffix":""}],"container-title":"Oncotarget","id":"ITEM-1","issue":"46","issued":{"date-parts":[["2016"]]},"title":"Efficacy of crizotinib and pemetrexed-based chemotherapy in Chinese NSCLC patients with &amp;lt;i&amp;gt;ROS1&amp;lt;/i&amp;gt; rearrangement","type":"article-journal","volume":"7"},"uris":["http://www.mendeley.com/documents/?uuid=ea9d53a7-05aa-4d66-96b5-6b32d61289dc"]}],"mendeley":{"formattedCitation":"&lt;sup&gt;5&lt;/sup&gt;","plainTextFormattedCitation":"5","previouslyFormattedCitation":"&lt;sup&gt;5&lt;/sup&gt;"},"properties":{"noteIndex":0},"schema":"https://github.com/citation-style-language/schema/raw/master/csl-citation.json"}</w:instrText>
            </w:r>
            <w:r w:rsidRPr="00DD7C96">
              <w:rPr>
                <w:rFonts w:cstheme="minorHAnsi"/>
                <w:iCs/>
                <w:sz w:val="20"/>
                <w:szCs w:val="20"/>
              </w:rPr>
              <w:fldChar w:fldCharType="separate"/>
            </w:r>
            <w:r w:rsidR="00DC6C61" w:rsidRPr="00DD7C96">
              <w:rPr>
                <w:rFonts w:cstheme="minorHAnsi"/>
                <w:b w:val="0"/>
                <w:iCs/>
                <w:noProof/>
                <w:sz w:val="20"/>
                <w:szCs w:val="20"/>
                <w:vertAlign w:val="superscript"/>
                <w:lang w:val="en-CA"/>
              </w:rPr>
              <w:t>5</w:t>
            </w:r>
            <w:r w:rsidRPr="00DD7C96">
              <w:rPr>
                <w:rFonts w:cstheme="minorHAnsi"/>
                <w:iCs/>
                <w:sz w:val="20"/>
                <w:szCs w:val="20"/>
              </w:rPr>
              <w:fldChar w:fldCharType="end"/>
            </w:r>
          </w:p>
        </w:tc>
        <w:tc>
          <w:tcPr>
            <w:tcW w:w="1420" w:type="dxa"/>
          </w:tcPr>
          <w:p w14:paraId="797ED4CF" w14:textId="29297091" w:rsidR="00822BE5" w:rsidRPr="00DD7C96" w:rsidRDefault="00822BE5" w:rsidP="00E5378E">
            <w:pPr>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cstheme="minorHAnsi"/>
                <w:bCs/>
                <w:iCs/>
                <w:sz w:val="20"/>
                <w:szCs w:val="20"/>
                <w:lang w:val="en-CA"/>
              </w:rPr>
              <w:t xml:space="preserve">Pemetrexed </w:t>
            </w:r>
          </w:p>
          <w:p w14:paraId="20037EAE" w14:textId="05EA47F3" w:rsidR="00822BE5" w:rsidRPr="00DD7C96" w:rsidRDefault="00822BE5" w:rsidP="00E5378E">
            <w:pPr>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cstheme="minorHAnsi"/>
                <w:bCs/>
                <w:iCs/>
                <w:sz w:val="20"/>
                <w:szCs w:val="20"/>
              </w:rPr>
              <w:t>(15 pts received crizotinib but all previously-treated)</w:t>
            </w:r>
          </w:p>
        </w:tc>
        <w:tc>
          <w:tcPr>
            <w:tcW w:w="1434" w:type="dxa"/>
            <w:noWrap/>
          </w:tcPr>
          <w:p w14:paraId="0CE2272E" w14:textId="77777777" w:rsidR="00822BE5" w:rsidRPr="00DD7C96" w:rsidRDefault="00822BE5" w:rsidP="00E5378E">
            <w:pPr>
              <w:cnfStyle w:val="000000000000" w:firstRow="0" w:lastRow="0" w:firstColumn="0" w:lastColumn="0" w:oddVBand="0" w:evenVBand="0" w:oddHBand="0"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t>Retrospective study</w:t>
            </w:r>
          </w:p>
          <w:p w14:paraId="295051A4" w14:textId="5B05BB2B" w:rsidR="00822BE5" w:rsidRPr="00DD7C96" w:rsidRDefault="00822BE5" w:rsidP="00E5378E">
            <w:pPr>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cstheme="minorHAnsi"/>
                <w:bCs/>
                <w:iCs/>
                <w:sz w:val="20"/>
                <w:szCs w:val="20"/>
              </w:rPr>
              <w:t>(n=28)</w:t>
            </w:r>
          </w:p>
        </w:tc>
        <w:tc>
          <w:tcPr>
            <w:tcW w:w="3817" w:type="dxa"/>
            <w:noWrap/>
          </w:tcPr>
          <w:p w14:paraId="5C197EB5" w14:textId="094496E5" w:rsidR="00822BE5" w:rsidRPr="00DD7C96" w:rsidRDefault="00822BE5" w:rsidP="00E5378E">
            <w:pPr>
              <w:pStyle w:val="ListParagraph"/>
              <w:numPr>
                <w:ilvl w:val="0"/>
                <w:numId w:val="23"/>
              </w:numPr>
              <w:spacing w:after="0"/>
              <w:ind w:left="252" w:hanging="23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t xml:space="preserve">East Asian population from a single centre in China </w:t>
            </w:r>
            <w:r w:rsidR="00E5378E" w:rsidRPr="00DD7C96">
              <w:rPr>
                <w:rFonts w:asciiTheme="minorHAnsi" w:hAnsiTheme="minorHAnsi" w:cstheme="minorHAnsi"/>
                <w:bCs/>
                <w:iCs/>
                <w:sz w:val="20"/>
              </w:rPr>
              <w:t>between Oct 2013 and Feb 2016</w:t>
            </w:r>
          </w:p>
          <w:p w14:paraId="591ED64C" w14:textId="77777777" w:rsidR="00822BE5" w:rsidRPr="00DD7C96" w:rsidRDefault="00822BE5" w:rsidP="00E5378E">
            <w:pPr>
              <w:pStyle w:val="ListParagraph"/>
              <w:numPr>
                <w:ilvl w:val="0"/>
                <w:numId w:val="23"/>
              </w:numPr>
              <w:spacing w:after="0"/>
              <w:ind w:left="252" w:hanging="23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t>Median age: 57 years</w:t>
            </w:r>
          </w:p>
          <w:p w14:paraId="7A56F466" w14:textId="02166FE7" w:rsidR="00822BE5" w:rsidRPr="00DD7C96" w:rsidRDefault="00822BE5" w:rsidP="00E5378E">
            <w:pPr>
              <w:pStyle w:val="ListParagraph"/>
              <w:numPr>
                <w:ilvl w:val="0"/>
                <w:numId w:val="23"/>
              </w:numPr>
              <w:spacing w:after="0"/>
              <w:ind w:left="252" w:hanging="235"/>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asciiTheme="minorHAnsi" w:hAnsiTheme="minorHAnsi" w:cstheme="minorHAnsi"/>
                <w:bCs/>
                <w:iCs/>
                <w:sz w:val="20"/>
                <w:szCs w:val="20"/>
              </w:rPr>
              <w:t xml:space="preserve">ECOG </w:t>
            </w:r>
            <w:r w:rsidR="00E5378E" w:rsidRPr="00DD7C96">
              <w:rPr>
                <w:rFonts w:asciiTheme="minorHAnsi" w:hAnsiTheme="minorHAnsi" w:cstheme="minorHAnsi"/>
                <w:bCs/>
                <w:iCs/>
                <w:sz w:val="20"/>
                <w:szCs w:val="20"/>
              </w:rPr>
              <w:t>PS</w:t>
            </w:r>
            <w:r w:rsidRPr="00DD7C96">
              <w:rPr>
                <w:rFonts w:asciiTheme="minorHAnsi" w:hAnsiTheme="minorHAnsi" w:cstheme="minorHAnsi"/>
                <w:bCs/>
                <w:iCs/>
                <w:sz w:val="20"/>
                <w:szCs w:val="20"/>
              </w:rPr>
              <w:t>: 0-1: 44 (93.6%) ≥2: 3 (6.4%)</w:t>
            </w:r>
          </w:p>
          <w:p w14:paraId="0958D95F" w14:textId="5D7205D7" w:rsidR="00822BE5" w:rsidRPr="00DD7C96" w:rsidRDefault="00822BE5" w:rsidP="00E5378E">
            <w:pPr>
              <w:pStyle w:val="ListParagraph"/>
              <w:numPr>
                <w:ilvl w:val="0"/>
                <w:numId w:val="23"/>
              </w:numPr>
              <w:spacing w:after="0"/>
              <w:ind w:left="252" w:hanging="235"/>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asciiTheme="minorHAnsi" w:hAnsiTheme="minorHAnsi" w:cstheme="minorHAnsi"/>
                <w:bCs/>
                <w:iCs/>
                <w:sz w:val="20"/>
                <w:szCs w:val="20"/>
              </w:rPr>
              <w:t>Use of maintenance NR</w:t>
            </w:r>
          </w:p>
        </w:tc>
        <w:tc>
          <w:tcPr>
            <w:tcW w:w="1415" w:type="dxa"/>
            <w:noWrap/>
          </w:tcPr>
          <w:p w14:paraId="3097CE5B" w14:textId="0B10A703" w:rsidR="00822BE5" w:rsidRPr="00DD7C96" w:rsidRDefault="00822BE5" w:rsidP="00E5378E">
            <w:pPr>
              <w:cnfStyle w:val="000000000000" w:firstRow="0" w:lastRow="0" w:firstColumn="0" w:lastColumn="0" w:oddVBand="0" w:evenVBand="0" w:oddHBand="0" w:evenHBand="0" w:firstRowFirstColumn="0" w:firstRowLastColumn="0" w:lastRowFirstColumn="0" w:lastRowLastColumn="0"/>
              <w:rPr>
                <w:rFonts w:cstheme="minorHAnsi"/>
                <w:bCs/>
                <w:iCs/>
                <w:sz w:val="20"/>
                <w:szCs w:val="20"/>
              </w:rPr>
            </w:pPr>
            <w:r w:rsidRPr="00DD7C96">
              <w:rPr>
                <w:rFonts w:cstheme="minorHAnsi"/>
                <w:bCs/>
                <w:iCs/>
                <w:sz w:val="20"/>
                <w:szCs w:val="20"/>
                <w:lang w:val="en-CA"/>
              </w:rPr>
              <w:t>209 days / 6.9 months</w:t>
            </w:r>
          </w:p>
        </w:tc>
      </w:tr>
      <w:tr w:rsidR="00E5378E" w:rsidRPr="00DD7C96" w14:paraId="6FD5FF8C" w14:textId="77777777" w:rsidTr="00E5378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274" w:type="dxa"/>
            <w:noWrap/>
          </w:tcPr>
          <w:p w14:paraId="30009EAF" w14:textId="04070F68" w:rsidR="00822BE5" w:rsidRPr="00DD7C96" w:rsidRDefault="00822BE5" w:rsidP="00822BE5">
            <w:pPr>
              <w:rPr>
                <w:rFonts w:cstheme="minorHAnsi"/>
                <w:b w:val="0"/>
                <w:iCs/>
                <w:sz w:val="20"/>
                <w:szCs w:val="20"/>
                <w:lang w:val="en-CA"/>
              </w:rPr>
            </w:pPr>
            <w:proofErr w:type="spellStart"/>
            <w:r w:rsidRPr="00DD7C96">
              <w:rPr>
                <w:rFonts w:cstheme="minorHAnsi"/>
                <w:b w:val="0"/>
                <w:iCs/>
                <w:sz w:val="20"/>
                <w:szCs w:val="20"/>
                <w:lang w:val="en-CA"/>
              </w:rPr>
              <w:t>Drilon</w:t>
            </w:r>
            <w:proofErr w:type="spellEnd"/>
            <w:r w:rsidRPr="00DD7C96">
              <w:rPr>
                <w:rFonts w:cstheme="minorHAnsi"/>
                <w:b w:val="0"/>
                <w:iCs/>
                <w:sz w:val="20"/>
                <w:szCs w:val="20"/>
                <w:lang w:val="en-CA"/>
              </w:rPr>
              <w:t xml:space="preserve"> 2016</w:t>
            </w:r>
            <w:r w:rsidRPr="00DD7C96">
              <w:rPr>
                <w:rFonts w:cstheme="minorHAnsi"/>
                <w:iCs/>
                <w:sz w:val="20"/>
                <w:szCs w:val="20"/>
              </w:rPr>
              <w:fldChar w:fldCharType="begin" w:fldLock="1"/>
            </w:r>
            <w:r w:rsidR="00DC6C61" w:rsidRPr="00DD7C96">
              <w:rPr>
                <w:rFonts w:cstheme="minorHAnsi"/>
                <w:b w:val="0"/>
                <w:iCs/>
                <w:sz w:val="20"/>
                <w:szCs w:val="20"/>
                <w:lang w:val="en-CA"/>
              </w:rPr>
              <w:instrText>ADDIN CSL_CITATION {"citationItems":[{"id":"ITEM-1","itemData":{"DOI":"10.1093/annonc/mdw163","ISBN":"3911901518","ISSN":"15698041","PMID":"27056998","abstract":"BACKGROUND RET rearrangements are targetable, oncogenic lung cancer drivers. While previous series have shown durable clinical benefit with pemetrexed-based therapies in ALK- and ROS1-rearranged lung cancers, the benefits of pemetrexed-based treatments in patients with RET-rearranged lung cancers relative to other genomic subsets have not previously been explored. PATIENTS AND METHODS A retrospective review of patients with pathologically-confirmed stage IIIB/IV lung adenocarcinomas and evidence of a RET, ROS1, or ALK rearrangement, or a KRAS mutation was conducted. Patients were eligible if they received treatment with pemetrexed alone or in combination. The primary outcome of progression-free survival (PFS), and secondary outcomes of overall response rate (ORR, RECIST v1.1), time to progression (TTP), and time to treatment discontinuation were compared between RET-rearranged and groups of ROS1-rearranged, ALK-rearranged, and KRAS-mutant lung cancers. RESULTS We evaluated 104 patients. Patients with RET-rearranged lung cancers (n=18) had a median PFS of 19 months [95% confidence interval (CI) 12-not reached(NR)] that was comparable to patients with ROS1- (23 months, 95% CI 14-NR, n=10) and ALK-rearranged (19 months, 95% CI 15-36, n=36) lung cancers, and significantly improved compared to patients with KRAS-mutant lung cancers (6 months, 95% CI 5-9, p&lt;0.001, n=40). ORR (45%), median TTP (20 months, 95% CI 17-NR), and median time to treatment discontinuation (21 months, 95% CI 6-NR) in patients with RET-rearranged lung cancers were not significantly different compared to patients with ALK- and ROS1-rearranged lung cancers, and improved compared to patients with KRAS-mutant lung cancers. CONCLUSION Durable benefits with pemetrexed-based therapies in RET-rearranged lung cancers are comparable to ALK- and ROS1-rearranged lung cancers. When selecting therapies for patients with RET-rearranged lung cancers, pemetrexed-containing regimens should be considered.","author":[{"dropping-particle":"","family":"Drilon","given":"A.","non-dropping-particle":"","parse-names":false,"suffix":""},{"dropping-particle":"","family":"Bergagnini","given":"I.","non-dropping-particle":"","parse-names":false,"suffix":""},{"dropping-particle":"","family":"Delasos","given":"L.","non-dropping-particle":"","parse-names":false,"suffix":""},{"dropping-particle":"","family":"Sabari","given":"J.","non-dropping-particle":"","parse-names":false,"suffix":""},{"dropping-particle":"","family":"Woo","given":"K. M.","non-dropping-particle":"","parse-names":false,"suffix":""},{"dropping-particle":"","family":"Plodkowski","given":"A.","non-dropping-particle":"","parse-names":false,"suffix":""},{"dropping-particle":"","family":"Wang","given":"L.","non-dropping-particle":"","parse-names":false,"suffix":""},{"dropping-particle":"","family":"Hellmann","given":"M. D.","non-dropping-particle":"","parse-names":false,"suffix":""},{"dropping-particle":"","family":"Joubert","given":"P.","non-dropping-particle":"","parse-names":false,"suffix":""},{"dropping-particle":"","family":"Sima","given":"C. S.","non-dropping-particle":"","parse-names":false,"suffix":""},{"dropping-particle":"","family":"Smith","given":"R.","non-dropping-particle":"","parse-names":false,"suffix":""},{"dropping-particle":"","family":"Somwar","given":"R.","non-dropping-particle":"","parse-names":false,"suffix":""},{"dropping-particle":"","family":"Rekhtman","given":"N.","non-dropping-particle":"","parse-names":false,"suffix":""},{"dropping-particle":"","family":"Ladanyi","given":"M.","non-dropping-particle":"","parse-names":false,"suffix":""},{"dropping-particle":"","family":"Riely","given":"G. J.","non-dropping-particle":"","parse-names":false,"suffix":""},{"dropping-particle":"","family":"Kris","given":"M. G.","non-dropping-particle":"","parse-names":false,"suffix":""}],"container-title":"Annals of Oncology","id":"ITEM-1","issue":"7","issued":{"date-parts":[["2016"]]},"page":"1286-1291","title":"Clinical outcomes with pemetrexed-based systemic therapies in RET-rearranged lung cancers","type":"article-journal","volume":"27"},"uris":["http://www.mendeley.com/documents/?uuid=5e5674cc-e5b7-4906-b36d-ba6c52d7eac5"]}],"mendeley":{"formattedCitation":"&lt;sup&gt;6&lt;/sup&gt;","plainTextFormattedCitation":"6","previouslyFormattedCitation":"&lt;sup&gt;6&lt;/sup&gt;"},"properties":{"noteIndex":0},"schema":"https://github.com/citation-style-language/schema/raw/master/csl-citation.json"}</w:instrText>
            </w:r>
            <w:r w:rsidRPr="00DD7C96">
              <w:rPr>
                <w:rFonts w:cstheme="minorHAnsi"/>
                <w:iCs/>
                <w:sz w:val="20"/>
                <w:szCs w:val="20"/>
              </w:rPr>
              <w:fldChar w:fldCharType="separate"/>
            </w:r>
            <w:r w:rsidR="00DC6C61" w:rsidRPr="00DD7C96">
              <w:rPr>
                <w:rFonts w:cstheme="minorHAnsi"/>
                <w:b w:val="0"/>
                <w:iCs/>
                <w:noProof/>
                <w:sz w:val="20"/>
                <w:szCs w:val="20"/>
                <w:vertAlign w:val="superscript"/>
                <w:lang w:val="en-CA"/>
              </w:rPr>
              <w:t>6</w:t>
            </w:r>
            <w:r w:rsidRPr="00DD7C96">
              <w:rPr>
                <w:rFonts w:cstheme="minorHAnsi"/>
                <w:iCs/>
                <w:sz w:val="20"/>
                <w:szCs w:val="20"/>
              </w:rPr>
              <w:fldChar w:fldCharType="end"/>
            </w:r>
          </w:p>
        </w:tc>
        <w:tc>
          <w:tcPr>
            <w:tcW w:w="1420" w:type="dxa"/>
          </w:tcPr>
          <w:p w14:paraId="22D4725F" w14:textId="610382E4" w:rsidR="00822BE5" w:rsidRPr="00DD7C96" w:rsidRDefault="00822BE5" w:rsidP="00822BE5">
            <w:pPr>
              <w:cnfStyle w:val="000000100000" w:firstRow="0" w:lastRow="0" w:firstColumn="0" w:lastColumn="0" w:oddVBand="0" w:evenVBand="0" w:oddHBand="1"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t xml:space="preserve">First line pemetrexed </w:t>
            </w:r>
            <w:r w:rsidRPr="00DD7C96">
              <w:rPr>
                <w:rFonts w:cstheme="minorHAnsi"/>
                <w:bCs/>
                <w:iCs/>
                <w:sz w:val="20"/>
                <w:szCs w:val="20"/>
                <w:lang w:val="en-CA"/>
              </w:rPr>
              <w:lastRenderedPageBreak/>
              <w:t xml:space="preserve">platinum combination </w:t>
            </w:r>
          </w:p>
        </w:tc>
        <w:tc>
          <w:tcPr>
            <w:tcW w:w="1434" w:type="dxa"/>
            <w:noWrap/>
          </w:tcPr>
          <w:p w14:paraId="4B347556" w14:textId="70229BB0" w:rsidR="00822BE5" w:rsidRPr="00DD7C96" w:rsidRDefault="00822BE5" w:rsidP="00822BE5">
            <w:pPr>
              <w:cnfStyle w:val="000000100000" w:firstRow="0" w:lastRow="0" w:firstColumn="0" w:lastColumn="0" w:oddVBand="0" w:evenVBand="0" w:oddHBand="1"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lastRenderedPageBreak/>
              <w:t xml:space="preserve">Retrospective study </w:t>
            </w:r>
            <w:r w:rsidRPr="00DD7C96">
              <w:rPr>
                <w:rFonts w:cstheme="minorHAnsi"/>
                <w:bCs/>
                <w:iCs/>
                <w:sz w:val="20"/>
                <w:szCs w:val="20"/>
              </w:rPr>
              <w:t>(n=10)</w:t>
            </w:r>
          </w:p>
        </w:tc>
        <w:tc>
          <w:tcPr>
            <w:tcW w:w="3817" w:type="dxa"/>
            <w:noWrap/>
          </w:tcPr>
          <w:p w14:paraId="2BEB4783" w14:textId="77777777" w:rsidR="00822BE5" w:rsidRPr="00DD7C96" w:rsidRDefault="00822BE5" w:rsidP="00E5378E">
            <w:pPr>
              <w:pStyle w:val="ListParagraph"/>
              <w:numPr>
                <w:ilvl w:val="0"/>
                <w:numId w:val="23"/>
              </w:numPr>
              <w:ind w:left="252" w:hanging="23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t>Stage IIIB/IV disease</w:t>
            </w:r>
          </w:p>
          <w:p w14:paraId="7C233E55" w14:textId="77777777" w:rsidR="00822BE5" w:rsidRPr="00DD7C96" w:rsidRDefault="00822BE5" w:rsidP="00E5378E">
            <w:pPr>
              <w:pStyle w:val="ListParagraph"/>
              <w:numPr>
                <w:ilvl w:val="0"/>
                <w:numId w:val="23"/>
              </w:numPr>
              <w:ind w:left="252" w:hanging="23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t>Median age: 50 (18‐61)</w:t>
            </w:r>
          </w:p>
          <w:p w14:paraId="36864161" w14:textId="6F1B4999" w:rsidR="00822BE5" w:rsidRPr="00DD7C96" w:rsidRDefault="00822BE5" w:rsidP="00E5378E">
            <w:pPr>
              <w:pStyle w:val="ListParagraph"/>
              <w:numPr>
                <w:ilvl w:val="0"/>
                <w:numId w:val="23"/>
              </w:numPr>
              <w:ind w:left="252" w:hanging="23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szCs w:val="20"/>
              </w:rPr>
              <w:lastRenderedPageBreak/>
              <w:t>7/10 received maintenance pemetrexed</w:t>
            </w:r>
          </w:p>
        </w:tc>
        <w:tc>
          <w:tcPr>
            <w:tcW w:w="1415" w:type="dxa"/>
            <w:noWrap/>
          </w:tcPr>
          <w:p w14:paraId="5786F79C" w14:textId="04E36334" w:rsidR="00822BE5" w:rsidRPr="00DD7C96" w:rsidRDefault="00822BE5" w:rsidP="00822BE5">
            <w:pPr>
              <w:cnfStyle w:val="000000100000" w:firstRow="0" w:lastRow="0" w:firstColumn="0" w:lastColumn="0" w:oddVBand="0" w:evenVBand="0" w:oddHBand="1"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lastRenderedPageBreak/>
              <w:t>23 months</w:t>
            </w:r>
          </w:p>
        </w:tc>
      </w:tr>
      <w:tr w:rsidR="00E5378E" w:rsidRPr="00DD7C96" w14:paraId="3011FE8E" w14:textId="77777777" w:rsidTr="00E5378E">
        <w:trPr>
          <w:trHeight w:val="1237"/>
        </w:trPr>
        <w:tc>
          <w:tcPr>
            <w:cnfStyle w:val="001000000000" w:firstRow="0" w:lastRow="0" w:firstColumn="1" w:lastColumn="0" w:oddVBand="0" w:evenVBand="0" w:oddHBand="0" w:evenHBand="0" w:firstRowFirstColumn="0" w:firstRowLastColumn="0" w:lastRowFirstColumn="0" w:lastRowLastColumn="0"/>
            <w:tcW w:w="1274" w:type="dxa"/>
            <w:noWrap/>
          </w:tcPr>
          <w:p w14:paraId="3787ADCF" w14:textId="3580E431" w:rsidR="00E5378E" w:rsidRPr="00DD7C96" w:rsidRDefault="00E5378E" w:rsidP="00E5378E">
            <w:pPr>
              <w:rPr>
                <w:rFonts w:cstheme="minorHAnsi"/>
                <w:b w:val="0"/>
                <w:iCs/>
                <w:sz w:val="20"/>
                <w:szCs w:val="20"/>
                <w:lang w:val="en-CA"/>
              </w:rPr>
            </w:pPr>
            <w:r w:rsidRPr="00DD7C96">
              <w:rPr>
                <w:rFonts w:cstheme="minorHAnsi"/>
                <w:b w:val="0"/>
                <w:iCs/>
                <w:sz w:val="20"/>
                <w:szCs w:val="20"/>
                <w:lang w:val="en-CA"/>
              </w:rPr>
              <w:t>Kim 2013</w:t>
            </w:r>
            <w:r w:rsidRPr="00DD7C96">
              <w:rPr>
                <w:rFonts w:cstheme="minorHAnsi"/>
                <w:iCs/>
                <w:sz w:val="20"/>
                <w:szCs w:val="20"/>
              </w:rPr>
              <w:fldChar w:fldCharType="begin" w:fldLock="1"/>
            </w:r>
            <w:r w:rsidR="00DC6C61" w:rsidRPr="00DD7C96">
              <w:rPr>
                <w:rFonts w:cstheme="minorHAnsi"/>
                <w:b w:val="0"/>
                <w:iCs/>
                <w:sz w:val="20"/>
                <w:szCs w:val="20"/>
                <w:lang w:val="en-CA"/>
              </w:rPr>
              <w:instrText>ADDIN CSL_CITATION {"citationItems":[{"id":"ITEM-1","itemData":{"DOI":"10.1093/annonc/mdt220","ISBN":"1569-8041","ISSN":"09237534","PMID":"23788756","abstract":"BACKGROUND: To determine the frequency and predictive impact of ROS1 rearrangements on treatment outcomes in never-smoking patients with lung adenocarcinoma.\\n\\nPATIENTS AND METHODS: We concurrently analyzed ROS1 and ALK rearrangements and mutations in the epidermal growth factor receptor (EGFR), and KRAS in 208 never smokers with lung adenocarcinoma. ROS1 and ALK rearrangements were identified by fluorescent in situ hybridization.\\n\\nRESULTS: Of 208 tumors screened, 7 (3.4%) were ROS1 rearranged, and 15 (7.2%) were ALK-rearranged. CD74-ROS1 fusions were identified in two patients using reverse transcriptase-polymerase chain reaction. The frequency of ROS1 rearrangement was 5.7% (6 of 105) among EGFR/KRAS/ALK-negative patients. Patients with ROS1 rearrangement had a higher objective response rate (ORR; 60.0% versus 8.5%; P = 0.01) and a longer median progression-free survival (PFS; not reached versus 3.3 months; P = 0.008) to pemetrexed than those without ROS1/ALK rearrangement. The PFS to EGFR-tyrosine kinase inhibitors in patients harboring ROS1 rearrangement was shorter than those without ROS1/ALK rearrangement (2.5 versus 7.8 months; P = 0.01).\\n\\nCONCLUSIONS: The frequency of ROS1 rearrangements in clinically selected patients is higher than that reported for unselected patients, suggesting that ROS1 rearrangement is a druggable target in East-Asian never smokers with lung adenocarcinoma. Given the different treatment outcomes to conventional therapies and availability of ROS1 inhibitors, identification of ROS1 rearrangement can lead to successful treatment in ROS1-rearranged lung adenocarcinomas.","author":[{"dropping-particle":"","family":"Kim","given":"H. R.","non-dropping-particle":"","parse-names":false,"suffix":""},{"dropping-particle":"","family":"Lim","given":"S. M.","non-dropping-particle":"","parse-names":false,"suffix":""},{"dropping-particle":"","family":"Kim","given":"H. J.","non-dropping-particle":"","parse-names":false,"suffix":""},{"dropping-particle":"","family":"Hwang","given":"S. K.","non-dropping-particle":"","parse-names":false,"suffix":""},{"dropping-particle":"","family":"Park","given":"J. K.","non-dropping-particle":"","parse-names":false,"suffix":""},{"dropping-particle":"","family":"Shin","given":"E.","non-dropping-particle":"","parse-names":false,"suffix":""},{"dropping-particle":"","family":"Bae","given":"M. K.","non-dropping-particle":"","parse-names":false,"suffix":""},{"dropping-particle":"","family":"Ou","given":"S. H.I.","non-dropping-particle":"","parse-names":false,"suffix":""},{"dropping-particle":"","family":"Wang","given":"J.","non-dropping-particle":"","parse-names":false,"suffix":""},{"dropping-particle":"","family":"Jewell","given":"S. S.","non-dropping-particle":"","parse-names":false,"suffix":""},{"dropping-particle":"","family":"Kang","given":"D. R.","non-dropping-particle":"","parse-names":false,"suffix":""},{"dropping-particle":"","family":"Soo","given":"R. A.","non-dropping-particle":"","parse-names":false,"suffix":""},{"dropping-particle":"","family":"Haack","given":"H.","non-dropping-particle":"","parse-names":false,"suffix":""},{"dropping-particle":"","family":"Kim","given":"J. H.","non-dropping-particle":"","parse-names":false,"suffix":""},{"dropping-particle":"","family":"Shim","given":"H. S.","non-dropping-particle":"","parse-names":false,"suffix":""},{"dropping-particle":"","family":"Cho","given":"B. C.","non-dropping-particle":"","parse-names":false,"suffix":""}],"container-title":"Annals of Oncology","id":"ITEM-1","issue":"9","issued":{"date-parts":[["2013"]]},"page":"2364-2370","title":"The frequency and impact of ROS1 rearrangement on clinical outcomes in never smokers with lung adenocarcinoma","type":"article-journal","volume":"24"},"uris":["http://www.mendeley.com/documents/?uuid=cad5dc69-86db-47bd-a307-111bff47482b"]}],"mendeley":{"formattedCitation":"&lt;sup&gt;7&lt;/sup&gt;","plainTextFormattedCitation":"7","previouslyFormattedCitation":"&lt;sup&gt;7&lt;/sup&gt;"},"properties":{"noteIndex":0},"schema":"https://github.com/citation-style-language/schema/raw/master/csl-citation.json"}</w:instrText>
            </w:r>
            <w:r w:rsidRPr="00DD7C96">
              <w:rPr>
                <w:rFonts w:cstheme="minorHAnsi"/>
                <w:iCs/>
                <w:sz w:val="20"/>
                <w:szCs w:val="20"/>
              </w:rPr>
              <w:fldChar w:fldCharType="separate"/>
            </w:r>
            <w:r w:rsidR="00DC6C61" w:rsidRPr="00DD7C96">
              <w:rPr>
                <w:rFonts w:cstheme="minorHAnsi"/>
                <w:b w:val="0"/>
                <w:iCs/>
                <w:noProof/>
                <w:sz w:val="20"/>
                <w:szCs w:val="20"/>
                <w:vertAlign w:val="superscript"/>
                <w:lang w:val="en-CA"/>
              </w:rPr>
              <w:t>7</w:t>
            </w:r>
            <w:r w:rsidRPr="00DD7C96">
              <w:rPr>
                <w:rFonts w:cstheme="minorHAnsi"/>
                <w:iCs/>
                <w:sz w:val="20"/>
                <w:szCs w:val="20"/>
              </w:rPr>
              <w:fldChar w:fldCharType="end"/>
            </w:r>
            <w:r w:rsidRPr="00DD7C96">
              <w:rPr>
                <w:rFonts w:cstheme="minorHAnsi"/>
                <w:b w:val="0"/>
                <w:iCs/>
                <w:sz w:val="20"/>
                <w:szCs w:val="20"/>
                <w:lang w:val="en-CA"/>
              </w:rPr>
              <w:t xml:space="preserve"> </w:t>
            </w:r>
          </w:p>
        </w:tc>
        <w:tc>
          <w:tcPr>
            <w:tcW w:w="1420" w:type="dxa"/>
          </w:tcPr>
          <w:p w14:paraId="6B23B8C9" w14:textId="736EFFBB" w:rsidR="00E5378E" w:rsidRPr="00DD7C96" w:rsidRDefault="00E5378E" w:rsidP="00E5378E">
            <w:pPr>
              <w:cnfStyle w:val="000000000000" w:firstRow="0" w:lastRow="0" w:firstColumn="0" w:lastColumn="0" w:oddVBand="0" w:evenVBand="0" w:oddHBand="0"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t xml:space="preserve">Pemetrexed </w:t>
            </w:r>
          </w:p>
        </w:tc>
        <w:tc>
          <w:tcPr>
            <w:tcW w:w="1434" w:type="dxa"/>
            <w:noWrap/>
          </w:tcPr>
          <w:p w14:paraId="5474E803" w14:textId="6304AF87" w:rsidR="00E5378E" w:rsidRPr="00DD7C96" w:rsidRDefault="00E5378E" w:rsidP="00E5378E">
            <w:pPr>
              <w:cnfStyle w:val="000000000000" w:firstRow="0" w:lastRow="0" w:firstColumn="0" w:lastColumn="0" w:oddVBand="0" w:evenVBand="0" w:oddHBand="0" w:evenHBand="0" w:firstRowFirstColumn="0" w:firstRowLastColumn="0" w:lastRowFirstColumn="0" w:lastRowLastColumn="0"/>
              <w:rPr>
                <w:rFonts w:cstheme="minorHAnsi"/>
                <w:bCs/>
                <w:iCs/>
                <w:sz w:val="20"/>
                <w:szCs w:val="20"/>
                <w:lang w:val="en-CA"/>
              </w:rPr>
            </w:pPr>
            <w:r w:rsidRPr="00DD7C96">
              <w:rPr>
                <w:rFonts w:cstheme="minorHAnsi"/>
                <w:bCs/>
                <w:iCs/>
                <w:sz w:val="20"/>
                <w:szCs w:val="20"/>
                <w:lang w:val="en-CA"/>
              </w:rPr>
              <w:t>Retrospective Study (n=5)</w:t>
            </w:r>
          </w:p>
        </w:tc>
        <w:tc>
          <w:tcPr>
            <w:tcW w:w="3817" w:type="dxa"/>
            <w:noWrap/>
          </w:tcPr>
          <w:p w14:paraId="07DC308A" w14:textId="77777777" w:rsidR="00E5378E" w:rsidRPr="00DD7C96" w:rsidRDefault="00E5378E" w:rsidP="00E5378E">
            <w:pPr>
              <w:pStyle w:val="ListParagraph"/>
              <w:numPr>
                <w:ilvl w:val="0"/>
                <w:numId w:val="23"/>
              </w:numPr>
              <w:ind w:left="252" w:hanging="23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20"/>
              </w:rPr>
            </w:pPr>
            <w:r w:rsidRPr="00DD7C96">
              <w:rPr>
                <w:rFonts w:asciiTheme="minorHAnsi" w:hAnsiTheme="minorHAnsi" w:cstheme="minorHAnsi"/>
                <w:bCs/>
                <w:iCs/>
                <w:sz w:val="20"/>
              </w:rPr>
              <w:t>Population from Severance Hospital, Seoul, Korea between Jan 2005 and Feb 2012</w:t>
            </w:r>
          </w:p>
          <w:p w14:paraId="421C5E3B" w14:textId="77777777" w:rsidR="00E5378E" w:rsidRPr="00DD7C96" w:rsidRDefault="00E5378E" w:rsidP="00E5378E">
            <w:pPr>
              <w:pStyle w:val="ListParagraph"/>
              <w:numPr>
                <w:ilvl w:val="0"/>
                <w:numId w:val="23"/>
              </w:numPr>
              <w:ind w:left="252" w:hanging="23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20"/>
                <w:szCs w:val="20"/>
              </w:rPr>
            </w:pPr>
            <w:r w:rsidRPr="00DD7C96">
              <w:rPr>
                <w:rFonts w:asciiTheme="minorHAnsi" w:hAnsiTheme="minorHAnsi" w:cstheme="minorHAnsi"/>
                <w:bCs/>
                <w:iCs/>
                <w:sz w:val="20"/>
              </w:rPr>
              <w:t xml:space="preserve">Median age: 55 (30-68) </w:t>
            </w:r>
          </w:p>
          <w:p w14:paraId="23F591A2" w14:textId="5557D819" w:rsidR="00E5378E" w:rsidRPr="00DD7C96" w:rsidRDefault="00E5378E" w:rsidP="00E5378E">
            <w:pPr>
              <w:pStyle w:val="ListParagraph"/>
              <w:numPr>
                <w:ilvl w:val="0"/>
                <w:numId w:val="23"/>
              </w:numPr>
              <w:ind w:left="252" w:hanging="23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Cs/>
                <w:sz w:val="20"/>
                <w:szCs w:val="20"/>
              </w:rPr>
            </w:pPr>
            <w:r w:rsidRPr="00DD7C96">
              <w:rPr>
                <w:rFonts w:cstheme="minorHAnsi"/>
                <w:bCs/>
                <w:iCs/>
                <w:sz w:val="20"/>
              </w:rPr>
              <w:t>Use of maintenance NR</w:t>
            </w:r>
          </w:p>
        </w:tc>
        <w:tc>
          <w:tcPr>
            <w:tcW w:w="1415" w:type="dxa"/>
            <w:noWrap/>
          </w:tcPr>
          <w:p w14:paraId="1EE0C5D3" w14:textId="73EB3723" w:rsidR="00E5378E" w:rsidRPr="00DD7C96" w:rsidRDefault="00E5378E" w:rsidP="00E5378E">
            <w:pPr>
              <w:cnfStyle w:val="000000000000" w:firstRow="0" w:lastRow="0" w:firstColumn="0" w:lastColumn="0" w:oddVBand="0" w:evenVBand="0" w:oddHBand="0" w:evenHBand="0" w:firstRowFirstColumn="0" w:firstRowLastColumn="0" w:lastRowFirstColumn="0" w:lastRowLastColumn="0"/>
              <w:rPr>
                <w:rFonts w:cstheme="minorHAnsi"/>
                <w:bCs/>
                <w:iCs/>
                <w:sz w:val="20"/>
                <w:szCs w:val="20"/>
                <w:lang w:val="en-CA"/>
              </w:rPr>
            </w:pPr>
            <w:r w:rsidRPr="00DD7C96">
              <w:rPr>
                <w:rFonts w:cstheme="minorHAnsi"/>
                <w:bCs/>
                <w:iCs/>
                <w:lang w:val="en-CA"/>
              </w:rPr>
              <w:t>Not reached</w:t>
            </w:r>
          </w:p>
        </w:tc>
      </w:tr>
    </w:tbl>
    <w:p w14:paraId="319BD66C" w14:textId="054282F1" w:rsidR="00AB197F" w:rsidRDefault="00AB197F" w:rsidP="00AB197F">
      <w:pPr>
        <w:spacing w:after="0"/>
        <w:jc w:val="both"/>
        <w:rPr>
          <w:bCs/>
          <w:iCs/>
          <w:sz w:val="16"/>
          <w:szCs w:val="16"/>
        </w:rPr>
      </w:pPr>
      <w:r>
        <w:rPr>
          <w:bCs/>
          <w:iCs/>
          <w:sz w:val="16"/>
          <w:szCs w:val="16"/>
        </w:rPr>
        <w:t xml:space="preserve">ECOG PS = Eastern Cooperative Oncology Group performance status; FISH = </w:t>
      </w:r>
      <w:r w:rsidRPr="00AB197F">
        <w:rPr>
          <w:bCs/>
          <w:iCs/>
          <w:sz w:val="16"/>
          <w:szCs w:val="16"/>
        </w:rPr>
        <w:t>Fluorescence in situ hybridization</w:t>
      </w:r>
      <w:r>
        <w:rPr>
          <w:bCs/>
          <w:iCs/>
          <w:sz w:val="16"/>
          <w:szCs w:val="16"/>
        </w:rPr>
        <w:t>; n = number of patients; NR = not reported; NSCLC = non-small cell lung cancer; PFS = Progression-free survival</w:t>
      </w:r>
    </w:p>
    <w:p w14:paraId="445398F1" w14:textId="77777777" w:rsidR="00822BE5" w:rsidRPr="00DD7C96" w:rsidRDefault="00822BE5" w:rsidP="00822BE5">
      <w:pPr>
        <w:spacing w:after="0"/>
        <w:jc w:val="both"/>
        <w:rPr>
          <w:bCs/>
          <w:iCs/>
        </w:rPr>
      </w:pPr>
    </w:p>
    <w:p w14:paraId="0F020C1F" w14:textId="77777777" w:rsidR="00822BE5" w:rsidRPr="00DD7C96" w:rsidRDefault="00822BE5" w:rsidP="00822BE5">
      <w:pPr>
        <w:spacing w:after="0"/>
        <w:jc w:val="both"/>
        <w:rPr>
          <w:bCs/>
          <w:iCs/>
        </w:rPr>
      </w:pPr>
    </w:p>
    <w:p w14:paraId="655E7013" w14:textId="77777777" w:rsidR="00386627" w:rsidRPr="00DD7C96" w:rsidRDefault="00386627">
      <w:pPr>
        <w:rPr>
          <w:bCs/>
          <w:iCs/>
        </w:rPr>
      </w:pPr>
      <w:r w:rsidRPr="00DD7C96">
        <w:rPr>
          <w:bCs/>
          <w:iCs/>
        </w:rPr>
        <w:br w:type="page"/>
      </w:r>
    </w:p>
    <w:p w14:paraId="20F182DC" w14:textId="3DA85EC7" w:rsidR="00822BE5" w:rsidRPr="00DD7C96" w:rsidRDefault="00822BE5" w:rsidP="00822BE5">
      <w:pPr>
        <w:spacing w:after="0"/>
        <w:jc w:val="both"/>
        <w:rPr>
          <w:bCs/>
          <w:iCs/>
        </w:rPr>
      </w:pPr>
      <w:r w:rsidRPr="00DD7C96">
        <w:rPr>
          <w:bCs/>
          <w:iCs/>
        </w:rPr>
        <w:lastRenderedPageBreak/>
        <w:t>Table 2</w:t>
      </w:r>
      <w:r w:rsidR="00BE78AF">
        <w:rPr>
          <w:bCs/>
          <w:iCs/>
        </w:rPr>
        <w:t>.</w:t>
      </w:r>
      <w:r w:rsidRPr="00DD7C96">
        <w:rPr>
          <w:bCs/>
          <w:iCs/>
        </w:rPr>
        <w:t xml:space="preserve"> Summary of studies used to calculate risk of progression with </w:t>
      </w:r>
      <w:r w:rsidR="00B2160D">
        <w:rPr>
          <w:bCs/>
          <w:iCs/>
        </w:rPr>
        <w:t>second- and third-line</w:t>
      </w:r>
      <w:r w:rsidR="00B2160D" w:rsidRPr="00DD7C96">
        <w:rPr>
          <w:bCs/>
          <w:iCs/>
        </w:rPr>
        <w:t xml:space="preserve"> </w:t>
      </w:r>
      <w:r w:rsidRPr="00DD7C96">
        <w:rPr>
          <w:bCs/>
          <w:iCs/>
        </w:rPr>
        <w:t xml:space="preserve">docetaxel and </w:t>
      </w:r>
      <w:r w:rsidR="00B2160D">
        <w:rPr>
          <w:bCs/>
          <w:iCs/>
        </w:rPr>
        <w:t>checkpoint</w:t>
      </w:r>
      <w:r w:rsidRPr="00DD7C96">
        <w:rPr>
          <w:bCs/>
          <w:iCs/>
        </w:rPr>
        <w:t xml:space="preserve"> inhibitor</w:t>
      </w:r>
      <w:r w:rsidR="00B2160D">
        <w:rPr>
          <w:bCs/>
          <w:iCs/>
        </w:rPr>
        <w:t xml:space="preserve">s </w:t>
      </w:r>
    </w:p>
    <w:p w14:paraId="06E27EA1" w14:textId="3A20AADC" w:rsidR="00E5378E" w:rsidRPr="00DD7C96" w:rsidRDefault="00E5378E" w:rsidP="00822BE5">
      <w:pPr>
        <w:spacing w:after="0"/>
        <w:jc w:val="both"/>
        <w:rPr>
          <w:bCs/>
          <w:iCs/>
        </w:rPr>
      </w:pPr>
    </w:p>
    <w:tbl>
      <w:tblPr>
        <w:tblStyle w:val="ListTable6Colorful"/>
        <w:tblW w:w="9498" w:type="dxa"/>
        <w:tblLook w:val="0620" w:firstRow="1" w:lastRow="0" w:firstColumn="0" w:lastColumn="0" w:noHBand="1" w:noVBand="1"/>
      </w:tblPr>
      <w:tblGrid>
        <w:gridCol w:w="1657"/>
        <w:gridCol w:w="2879"/>
        <w:gridCol w:w="851"/>
        <w:gridCol w:w="2126"/>
        <w:gridCol w:w="1985"/>
      </w:tblGrid>
      <w:tr w:rsidR="00E5378E" w:rsidRPr="00DD7C96" w14:paraId="4E6ABA17" w14:textId="77777777" w:rsidTr="00386627">
        <w:trPr>
          <w:cnfStyle w:val="100000000000" w:firstRow="1" w:lastRow="0" w:firstColumn="0" w:lastColumn="0" w:oddVBand="0" w:evenVBand="0" w:oddHBand="0" w:evenHBand="0" w:firstRowFirstColumn="0" w:firstRowLastColumn="0" w:lastRowFirstColumn="0" w:lastRowLastColumn="0"/>
          <w:trHeight w:val="288"/>
        </w:trPr>
        <w:tc>
          <w:tcPr>
            <w:tcW w:w="1657" w:type="dxa"/>
            <w:noWrap/>
            <w:hideMark/>
          </w:tcPr>
          <w:p w14:paraId="5F8EEFCE" w14:textId="77777777" w:rsidR="00E5378E" w:rsidRPr="00DD7C96" w:rsidRDefault="00E5378E" w:rsidP="006B1D6D">
            <w:pPr>
              <w:jc w:val="center"/>
              <w:rPr>
                <w:rFonts w:eastAsia="Times New Roman"/>
                <w:b w:val="0"/>
                <w:iCs/>
                <w:color w:val="auto"/>
                <w:sz w:val="20"/>
                <w:szCs w:val="20"/>
              </w:rPr>
            </w:pPr>
            <w:r w:rsidRPr="00DD7C96">
              <w:rPr>
                <w:rFonts w:eastAsia="Times New Roman"/>
                <w:b w:val="0"/>
                <w:iCs/>
                <w:color w:val="auto"/>
                <w:sz w:val="20"/>
                <w:szCs w:val="20"/>
              </w:rPr>
              <w:t>Treatment</w:t>
            </w:r>
          </w:p>
        </w:tc>
        <w:tc>
          <w:tcPr>
            <w:tcW w:w="2879" w:type="dxa"/>
            <w:noWrap/>
            <w:hideMark/>
          </w:tcPr>
          <w:p w14:paraId="09929F9C" w14:textId="77777777" w:rsidR="00E5378E" w:rsidRPr="00DD7C96" w:rsidRDefault="00E5378E" w:rsidP="006B1D6D">
            <w:pPr>
              <w:jc w:val="center"/>
              <w:rPr>
                <w:rFonts w:eastAsia="Times New Roman"/>
                <w:b w:val="0"/>
                <w:iCs/>
                <w:color w:val="auto"/>
                <w:sz w:val="20"/>
                <w:szCs w:val="20"/>
              </w:rPr>
            </w:pPr>
            <w:r w:rsidRPr="00DD7C96">
              <w:rPr>
                <w:rFonts w:eastAsia="Times New Roman"/>
                <w:b w:val="0"/>
                <w:iCs/>
                <w:color w:val="auto"/>
                <w:sz w:val="20"/>
                <w:szCs w:val="20"/>
              </w:rPr>
              <w:t>Dose</w:t>
            </w:r>
          </w:p>
        </w:tc>
        <w:tc>
          <w:tcPr>
            <w:tcW w:w="851" w:type="dxa"/>
            <w:noWrap/>
            <w:hideMark/>
          </w:tcPr>
          <w:p w14:paraId="5901DB1E" w14:textId="77777777" w:rsidR="00E5378E" w:rsidRPr="00DD7C96" w:rsidRDefault="00E5378E" w:rsidP="006B1D6D">
            <w:pPr>
              <w:jc w:val="center"/>
              <w:rPr>
                <w:rFonts w:eastAsia="Times New Roman"/>
                <w:b w:val="0"/>
                <w:iCs/>
                <w:color w:val="auto"/>
                <w:sz w:val="20"/>
                <w:szCs w:val="20"/>
              </w:rPr>
            </w:pPr>
            <w:r w:rsidRPr="00DD7C96">
              <w:rPr>
                <w:rFonts w:eastAsia="Times New Roman"/>
                <w:b w:val="0"/>
                <w:iCs/>
                <w:color w:val="auto"/>
                <w:sz w:val="20"/>
                <w:szCs w:val="20"/>
              </w:rPr>
              <w:t>N</w:t>
            </w:r>
          </w:p>
        </w:tc>
        <w:tc>
          <w:tcPr>
            <w:tcW w:w="2126" w:type="dxa"/>
            <w:noWrap/>
            <w:hideMark/>
          </w:tcPr>
          <w:p w14:paraId="373FF7A0" w14:textId="6A9A7B7E" w:rsidR="00E5378E" w:rsidRPr="00DD7C96" w:rsidRDefault="00E5378E" w:rsidP="006B1D6D">
            <w:pPr>
              <w:jc w:val="center"/>
              <w:rPr>
                <w:rFonts w:eastAsia="Times New Roman"/>
                <w:b w:val="0"/>
                <w:iCs/>
                <w:color w:val="auto"/>
                <w:sz w:val="20"/>
                <w:szCs w:val="20"/>
              </w:rPr>
            </w:pPr>
            <w:r w:rsidRPr="00DD7C96">
              <w:rPr>
                <w:rFonts w:eastAsia="Times New Roman"/>
                <w:b w:val="0"/>
                <w:iCs/>
                <w:color w:val="auto"/>
                <w:sz w:val="20"/>
                <w:szCs w:val="20"/>
              </w:rPr>
              <w:t>Median PFS</w:t>
            </w:r>
            <w:r w:rsidR="00386627" w:rsidRPr="00DD7C96">
              <w:rPr>
                <w:rFonts w:eastAsia="Times New Roman"/>
                <w:b w:val="0"/>
                <w:iCs/>
                <w:color w:val="auto"/>
                <w:sz w:val="20"/>
                <w:szCs w:val="20"/>
              </w:rPr>
              <w:t xml:space="preserve"> (months)</w:t>
            </w:r>
          </w:p>
        </w:tc>
        <w:tc>
          <w:tcPr>
            <w:tcW w:w="1985" w:type="dxa"/>
            <w:noWrap/>
            <w:hideMark/>
          </w:tcPr>
          <w:p w14:paraId="2C0B73EB" w14:textId="77777777" w:rsidR="00E5378E" w:rsidRPr="00DD7C96" w:rsidRDefault="00E5378E" w:rsidP="006B1D6D">
            <w:pPr>
              <w:jc w:val="center"/>
              <w:rPr>
                <w:rFonts w:eastAsia="Times New Roman"/>
                <w:b w:val="0"/>
                <w:iCs/>
                <w:color w:val="auto"/>
                <w:sz w:val="20"/>
                <w:szCs w:val="20"/>
              </w:rPr>
            </w:pPr>
            <w:r w:rsidRPr="00DD7C96">
              <w:rPr>
                <w:rFonts w:eastAsia="Times New Roman"/>
                <w:b w:val="0"/>
                <w:iCs/>
                <w:color w:val="auto"/>
                <w:sz w:val="20"/>
                <w:szCs w:val="20"/>
              </w:rPr>
              <w:t>Source</w:t>
            </w:r>
          </w:p>
        </w:tc>
      </w:tr>
      <w:tr w:rsidR="00386627" w:rsidRPr="00DD7C96" w14:paraId="2AF901AC" w14:textId="77777777" w:rsidTr="00386627">
        <w:trPr>
          <w:trHeight w:val="288"/>
        </w:trPr>
        <w:tc>
          <w:tcPr>
            <w:tcW w:w="1657" w:type="dxa"/>
            <w:noWrap/>
            <w:hideMark/>
          </w:tcPr>
          <w:p w14:paraId="6F71D547"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Nivolumab</w:t>
            </w:r>
          </w:p>
        </w:tc>
        <w:tc>
          <w:tcPr>
            <w:tcW w:w="2879" w:type="dxa"/>
            <w:noWrap/>
            <w:hideMark/>
          </w:tcPr>
          <w:p w14:paraId="7D0FE539"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3 mg/kg every 2 weeks</w:t>
            </w:r>
          </w:p>
        </w:tc>
        <w:tc>
          <w:tcPr>
            <w:tcW w:w="851" w:type="dxa"/>
            <w:noWrap/>
            <w:hideMark/>
          </w:tcPr>
          <w:p w14:paraId="65D9B337" w14:textId="77777777"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292</w:t>
            </w:r>
          </w:p>
        </w:tc>
        <w:tc>
          <w:tcPr>
            <w:tcW w:w="2126" w:type="dxa"/>
            <w:noWrap/>
            <w:hideMark/>
          </w:tcPr>
          <w:p w14:paraId="6BBD3A64" w14:textId="367EEE42"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2.3</w:t>
            </w:r>
          </w:p>
        </w:tc>
        <w:tc>
          <w:tcPr>
            <w:tcW w:w="1985" w:type="dxa"/>
            <w:noWrap/>
            <w:hideMark/>
          </w:tcPr>
          <w:p w14:paraId="5576005E" w14:textId="317DF8EC" w:rsidR="00E5378E" w:rsidRPr="00DD7C96" w:rsidRDefault="00E5378E" w:rsidP="006B1D6D">
            <w:pPr>
              <w:rPr>
                <w:rFonts w:eastAsia="Times New Roman"/>
                <w:bCs/>
                <w:iCs/>
                <w:sz w:val="20"/>
                <w:szCs w:val="20"/>
                <w:lang w:eastAsia="en-CA"/>
              </w:rPr>
            </w:pPr>
            <w:proofErr w:type="spellStart"/>
            <w:r w:rsidRPr="00DD7C96">
              <w:rPr>
                <w:rFonts w:eastAsia="Times New Roman"/>
                <w:bCs/>
                <w:iCs/>
                <w:sz w:val="20"/>
                <w:szCs w:val="20"/>
                <w:lang w:eastAsia="en-CA"/>
              </w:rPr>
              <w:t>Borghaei</w:t>
            </w:r>
            <w:proofErr w:type="spellEnd"/>
            <w:r w:rsidRPr="00DD7C96">
              <w:rPr>
                <w:rFonts w:eastAsia="Times New Roman"/>
                <w:bCs/>
                <w:iCs/>
                <w:sz w:val="20"/>
                <w:szCs w:val="20"/>
                <w:lang w:eastAsia="en-CA"/>
              </w:rPr>
              <w:t xml:space="preserve"> 2015</w:t>
            </w:r>
            <w:r w:rsidRPr="00DD7C96">
              <w:rPr>
                <w:rFonts w:eastAsia="Times New Roman"/>
                <w:bCs/>
                <w:iCs/>
                <w:sz w:val="20"/>
                <w:szCs w:val="20"/>
                <w:lang w:eastAsia="en-CA"/>
              </w:rPr>
              <w:fldChar w:fldCharType="begin" w:fldLock="1"/>
            </w:r>
            <w:r w:rsidR="00DC6C61" w:rsidRPr="00DD7C96">
              <w:rPr>
                <w:rFonts w:eastAsia="Times New Roman"/>
                <w:bCs/>
                <w:iCs/>
                <w:sz w:val="20"/>
                <w:szCs w:val="20"/>
                <w:lang w:eastAsia="en-CA"/>
              </w:rPr>
              <w:instrText>ADDIN CSL_CITATION {"citationItems":[{"id":"ITEM-1","itemData":{"DOI":"10.1056/NEJMc1514790","ISBN":"1533-4406 (Electronic)\\r0028-4793 (Linking)","ISSN":"1533-4406","PMID":"26412456","abstract":"Background Nivolumab, a fully human IgG4 programmed death 1 (PD-1) immune-checkpoint-inhibitor antibody, disrupts PD-1-mediated signaling and may restore antitumor immunity. Methods In this randomized, open-label, international phase 3 study, we assigned patients with nonsquamous non-small-cell lung cancer (NSCLC) that had progressed during or after platinum-based doublet chemotherapy to receive nivolumab at a dose of 3 mg per kilogram of body weight every 2 weeks or docetaxel at a dose of 75 mg per square meter of body-surface area every 3 weeks. The primary end point was overall survival. Results Overall survival was longer with nivolumab than with docetaxel. The median overall survival was 12.2 months (95% confidence interval [CI], 9.7 to 15.0) among 292 patients in the nivolumab group and 9.4 months (95% CI, 8.1 to 10.7) among 290 patients in the docetaxel group (hazard ratio for death, 0.73; 96% CI, 0.59 to 0.89; P=0.002). At 1 year, the overall survival rate was 51% (95% CI, 45 to 56) with nivolumab versus 39% (95% CI, 33 to 45) with docetaxel. With additional follow-up, the overall survival rate at 18 months was 39% (95% CI, 34 to 45) with nivolumab versus 23% (95% CI, 19 to 28) with docetaxel. The response rate was 19% with nivolumab versus 12% with docetaxel (P=0.02). Although progression-free survival did not favor nivolumab over docetaxel (median, 2.3 months and 4.2 months, respectively), the rate of progression-free survival at 1 year was higher with nivolumab than with docetaxel (19% and 8%, respectively). Nivolumab was associated with even greater efficacy than docetaxel across all end points in subgroups defined according to prespecified levels of tumor-membrane expression (≥1%, ≥5%, and ≥10%) of the PD-1 ligand. Treatment-related adverse events of grade 3 or 4 were reported in 10% of the patients in the nivolumab group, as compared with 54% of those in the docetaxel group. Conclusions Among patients with advanced nonsquamous NSCLC that had progressed during or after platinum-based chemotherapy, overall survival was longer with nivolumab than with docetaxel. (Funded by Bristol-Myers Squibb; CheckMate 057 ClinicalTrials.gov number, NCT01673867 .).","author":[{"dropping-particle":"","family":"Borghaei","given":"Hossein","non-dropping-particle":"","parse-names":false,"suffix":""},{"dropping-particle":"","family":"Brahmer","given":"Julie R","non-dropping-particle":"","parse-names":false,"suffix":""},{"dropping-particle":"","family":"Paz-Ares","given":"Luis","non-dropping-particle":"","parse-names":false,"suffix":""},{"dropping-particle":"","family":"Horn","given":"Leora","non-dropping-particle":"","parse-names":false,"suffix":""},{"dropping-particle":"","family":"Spigel","given":"David R","non-dropping-particle":"","parse-names":false,"suffix":""},{"dropping-particle":"","family":"Steins","given":"Martin","non-dropping-particle":"","parse-names":false,"suffix":""},{"dropping-particle":"","family":"Ready","given":"Neal E","non-dropping-particle":"","parse-names":false,"suffix":""},{"dropping-particle":"","family":"Chow","given":"Laura Q","non-dropping-particle":"","parse-names":false,"suffix":""},{"dropping-particle":"","family":"Vokes","given":"Everett E","non-dropping-particle":"","parse-names":false,"suffix":""},{"dropping-particle":"","family":"Felip","given":"Enriqueta","non-dropping-particle":"","parse-names":false,"suffix":""},{"dropping-particle":"","family":"Holgado","given":"Esther","non-dropping-particle":"","parse-names":false,"suffix":""},{"dropping-particle":"","family":"Barlesi","given":"Fabrice","non-dropping-particle":"","parse-names":false,"suffix":""},{"dropping-particle":"","family":"Kohlhäufl","given":"Martin","non-dropping-particle":"","parse-names":false,"suffix":""},{"dropping-particle":"","family":"Arrieta","given":"Oscar","non-dropping-particle":"","parse-names":false,"suffix":""},{"dropping-particle":"","family":"Burgio","given":"Marco Angelo","non-dropping-particle":"","parse-names":false,"suffix":""},{"dropping-particle":"","family":"Fayette","given":"Jérôme","non-dropping-particle":"","parse-names":false,"suffix":""},{"dropping-particle":"","family":"Lena","given":"Hervé","non-dropping-particle":"","parse-names":false,"suffix":""},{"dropping-particle":"","family":"Poddubskaya","given":"Elena","non-dropping-particle":"","parse-names":false,"suffix":""},{"dropping-particle":"","family":"Gerber","given":"David E","non-dropping-particle":"","parse-names":false,"suffix":""},{"dropping-particle":"","family":"Gettinger","given":"Scott N","non-dropping-particle":"","parse-names":false,"suffix":""},{"dropping-particle":"","family":"Rudin","given":"Charles M","non-dropping-particle":"","parse-names":false,"suffix":""},{"dropping-particle":"","family":"Rizvi","given":"Naiyer","non-dropping-particle":"","parse-names":false,"suffix":""},{"dropping-particle":"","family":"Crinò","given":"Lucio","non-dropping-particle":"","parse-names":false,"suffix":""},{"dropping-particle":"","family":"Blumenschein","given":"George R","non-dropping-particle":"","parse-names":false,"suffix":""},{"dropping-particle":"","family":"Antonia","given":"Scott J","non-dropping-particle":"","parse-names":false,"suffix":""},{"dropping-particle":"","family":"Dorange","given":"Cécile","non-dropping-particle":"","parse-names":false,"suffix":""},{"dropping-particle":"","family":"Harbison","given":"Christopher T","non-dropping-particle":"","parse-names":false,"suffix":""},{"dropping-particle":"","family":"Graf Finckenstein","given":"Friedrich","non-dropping-particle":"","parse-names":false,"suffix":""},{"dropping-particle":"","family":"Brahmer","given":"Julie R","non-dropping-particle":"","parse-names":false,"suffix":""}],"container-title":"N Engl J Med","id":"ITEM-1","issue":"5","issued":{"date-parts":[["2016"]]},"page":"493-494","title":"Nivolumab in Nonsquamous Non-Small-Cell Lung Cancer","type":"article-journal","volume":"374"},"uris":["http://www.mendeley.com/documents/?uuid=7cb4a0c6-90ce-4f08-a524-fc264777497c"]}],"mendeley":{"formattedCitation":"&lt;sup&gt;8&lt;/sup&gt;","plainTextFormattedCitation":"8","previouslyFormattedCitation":"&lt;sup&gt;8&lt;/sup&gt;"},"properties":{"noteIndex":0},"schema":"https://github.com/citation-style-language/schema/raw/master/csl-citation.json"}</w:instrText>
            </w:r>
            <w:r w:rsidRPr="00DD7C96">
              <w:rPr>
                <w:rFonts w:eastAsia="Times New Roman"/>
                <w:bCs/>
                <w:iCs/>
                <w:sz w:val="20"/>
                <w:szCs w:val="20"/>
                <w:lang w:eastAsia="en-CA"/>
              </w:rPr>
              <w:fldChar w:fldCharType="separate"/>
            </w:r>
            <w:r w:rsidR="00DC6C61" w:rsidRPr="00DD7C96">
              <w:rPr>
                <w:rFonts w:eastAsia="Times New Roman"/>
                <w:bCs/>
                <w:iCs/>
                <w:noProof/>
                <w:sz w:val="20"/>
                <w:szCs w:val="20"/>
                <w:vertAlign w:val="superscript"/>
                <w:lang w:eastAsia="en-CA"/>
              </w:rPr>
              <w:t>8</w:t>
            </w:r>
            <w:r w:rsidRPr="00DD7C96">
              <w:rPr>
                <w:rFonts w:eastAsia="Times New Roman"/>
                <w:bCs/>
                <w:iCs/>
                <w:sz w:val="20"/>
                <w:szCs w:val="20"/>
                <w:lang w:eastAsia="en-CA"/>
              </w:rPr>
              <w:fldChar w:fldCharType="end"/>
            </w:r>
          </w:p>
        </w:tc>
      </w:tr>
      <w:tr w:rsidR="00E5378E" w:rsidRPr="00DD7C96" w14:paraId="62B22C67" w14:textId="77777777" w:rsidTr="00386627">
        <w:trPr>
          <w:trHeight w:val="288"/>
        </w:trPr>
        <w:tc>
          <w:tcPr>
            <w:tcW w:w="1657" w:type="dxa"/>
            <w:noWrap/>
            <w:hideMark/>
          </w:tcPr>
          <w:p w14:paraId="2DC1F010"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Nivolumab</w:t>
            </w:r>
          </w:p>
        </w:tc>
        <w:tc>
          <w:tcPr>
            <w:tcW w:w="2879" w:type="dxa"/>
            <w:noWrap/>
            <w:hideMark/>
          </w:tcPr>
          <w:p w14:paraId="042361B8"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3 mg/kg every 2 weeks</w:t>
            </w:r>
          </w:p>
        </w:tc>
        <w:tc>
          <w:tcPr>
            <w:tcW w:w="851" w:type="dxa"/>
            <w:noWrap/>
            <w:hideMark/>
          </w:tcPr>
          <w:p w14:paraId="5C688365" w14:textId="77777777"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135</w:t>
            </w:r>
          </w:p>
        </w:tc>
        <w:tc>
          <w:tcPr>
            <w:tcW w:w="2126" w:type="dxa"/>
            <w:noWrap/>
            <w:hideMark/>
          </w:tcPr>
          <w:p w14:paraId="30859255" w14:textId="3E871DF0"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3.5</w:t>
            </w:r>
          </w:p>
        </w:tc>
        <w:tc>
          <w:tcPr>
            <w:tcW w:w="1985" w:type="dxa"/>
            <w:noWrap/>
            <w:hideMark/>
          </w:tcPr>
          <w:p w14:paraId="0F4B9C27" w14:textId="3B339684" w:rsidR="00E5378E" w:rsidRPr="00DD7C96" w:rsidRDefault="00E5378E" w:rsidP="006B1D6D">
            <w:pPr>
              <w:rPr>
                <w:rFonts w:eastAsia="Times New Roman"/>
                <w:bCs/>
                <w:iCs/>
                <w:sz w:val="20"/>
                <w:szCs w:val="20"/>
                <w:lang w:eastAsia="en-CA"/>
              </w:rPr>
            </w:pPr>
            <w:proofErr w:type="spellStart"/>
            <w:r w:rsidRPr="00DD7C96">
              <w:rPr>
                <w:rFonts w:eastAsia="Times New Roman"/>
                <w:bCs/>
                <w:iCs/>
                <w:sz w:val="20"/>
                <w:szCs w:val="20"/>
                <w:lang w:eastAsia="en-CA"/>
              </w:rPr>
              <w:t>Brahmer</w:t>
            </w:r>
            <w:proofErr w:type="spellEnd"/>
            <w:r w:rsidRPr="00DD7C96">
              <w:rPr>
                <w:rFonts w:eastAsia="Times New Roman"/>
                <w:bCs/>
                <w:iCs/>
                <w:sz w:val="20"/>
                <w:szCs w:val="20"/>
                <w:lang w:eastAsia="en-CA"/>
              </w:rPr>
              <w:t xml:space="preserve"> 2015</w:t>
            </w:r>
            <w:r w:rsidRPr="00DD7C96">
              <w:rPr>
                <w:rFonts w:eastAsia="Times New Roman"/>
                <w:bCs/>
                <w:iCs/>
                <w:sz w:val="20"/>
                <w:szCs w:val="20"/>
                <w:lang w:eastAsia="en-CA"/>
              </w:rPr>
              <w:fldChar w:fldCharType="begin" w:fldLock="1"/>
            </w:r>
            <w:r w:rsidR="00DC6C61" w:rsidRPr="00DD7C96">
              <w:rPr>
                <w:rFonts w:eastAsia="Times New Roman"/>
                <w:bCs/>
                <w:iCs/>
                <w:sz w:val="20"/>
                <w:szCs w:val="20"/>
                <w:lang w:eastAsia="en-CA"/>
              </w:rPr>
              <w:instrText>ADDIN CSL_CITATION {"citationItems":[{"id":"ITEM-1","itemData":{"DOI":"10.1056/NEJMoa1507643.Nivolumab","abstract":"Background—Options for patients with non-squamous non-small cell lung cancer (NSCLC) whose disease progresses after first-line chemotherapy are limited. This randomized, open-label, international phase 3 study evaluated efficacy and safety of nivolumab versus docetaxel in this patient population after failure of platinum doublet chemotherapy. Methods—Patients were randomized to nivolumab 3 mg per kilogram every 2 weeks or docetaxel 75 mg per square meter every 3 weeks. The primary endpoint was overall survival. Results—Nivolumab improved overall survival versus docetaxel. Median overall survival was 12.2 months (95% CI, 9.7 to 15.0) for nivolumab (n=292) and 9.4 months (95% CI, 8.1 to 10.7) for docetaxel (n=290) (hazard ratio, 0.73; 96% CI, 0.59 to 0.89; P=0.002). One-year overall survival rates were 51% (95% CI, 45 to 56) for nivolumab and 39% (95% CI, 33 to 45) for docetaxel. Updated efficacy results with additional follow up are available for overall survival only: 18-month overall survival rates were 39% (95% CI, 34 to 45) for nivolumab and 23% (95% CI, 19 to 28) for docetaxel. Response rates were 19% for nivolumab and 12% for docetaxel (P=0.02). Although progression-free survival did not favor nivolumab (2.3 months for nivolumab versus 4.2 months for docetaxel), 1-year progression-free survival was higher for nivolumab (19%) than docetaxel (8%). Nivolumab further improved efficacy across all endpoints at predefined ≥1%, ≥5%, and ≥10% programmed death-1 ligand 1 (PD-L1) tumor membrane expression levels. Grade 3–5 treatment-related adverse events were reported in 10% of nivolumab and 54% of docetaxel- treated patients. Conclusions—Compared to docetaxel, nivolumab demonstrated superior overall survival, with PD-L1 expression conferring enhanced efficacy in patients with advanced non-squamous NSCLC after failure of platinum-based chemotherapy. The safety profile of nivolumab was favorable versus docetaxel.","author":[{"dropping-particle":"","family":"Brahmer","given":"Julie R","non-dropping-particle":"","parse-names":false,"suffix":""},{"dropping-particle":"","family":"Reckamp","given":"Karen L.","non-dropping-particle":"","parse-names":false,"suffix":""},{"dropping-particle":"","family":"Baas","given":"Paul","non-dropping-particle":"","parse-names":false,"suffix":""},{"dropping-particle":"","family":"Crino","given":"Lucio","non-dropping-particle":"","parse-names":false,"suffix":""},{"dropping-particle":"","family":"Eberhardt","given":"Wilfried E.E.","non-dropping-particle":"","parse-names":false,"suffix":""}],"container-title":"N Engl J Med","id":"ITEM-1","issue":"2","issued":{"date-parts":[["2015"]]},"page":"123-35","title":"Nivolumab versus Docetaxel in Advanced Squamous-Cell Non-Small Cell Lung Cancer","type":"article-journal","volume":"373"},"uris":["http://www.mendeley.com/documents/?uuid=16abeea8-e57e-4b82-93a5-340bc2f24d42"]}],"mendeley":{"formattedCitation":"&lt;sup&gt;9&lt;/sup&gt;","plainTextFormattedCitation":"9","previouslyFormattedCitation":"&lt;sup&gt;9&lt;/sup&gt;"},"properties":{"noteIndex":0},"schema":"https://github.com/citation-style-language/schema/raw/master/csl-citation.json"}</w:instrText>
            </w:r>
            <w:r w:rsidRPr="00DD7C96">
              <w:rPr>
                <w:rFonts w:eastAsia="Times New Roman"/>
                <w:bCs/>
                <w:iCs/>
                <w:sz w:val="20"/>
                <w:szCs w:val="20"/>
                <w:lang w:eastAsia="en-CA"/>
              </w:rPr>
              <w:fldChar w:fldCharType="separate"/>
            </w:r>
            <w:r w:rsidR="00DC6C61" w:rsidRPr="00DD7C96">
              <w:rPr>
                <w:rFonts w:eastAsia="Times New Roman"/>
                <w:bCs/>
                <w:iCs/>
                <w:noProof/>
                <w:sz w:val="20"/>
                <w:szCs w:val="20"/>
                <w:vertAlign w:val="superscript"/>
                <w:lang w:eastAsia="en-CA"/>
              </w:rPr>
              <w:t>9</w:t>
            </w:r>
            <w:r w:rsidRPr="00DD7C96">
              <w:rPr>
                <w:rFonts w:eastAsia="Times New Roman"/>
                <w:bCs/>
                <w:iCs/>
                <w:sz w:val="20"/>
                <w:szCs w:val="20"/>
                <w:lang w:eastAsia="en-CA"/>
              </w:rPr>
              <w:fldChar w:fldCharType="end"/>
            </w:r>
          </w:p>
        </w:tc>
      </w:tr>
      <w:tr w:rsidR="00386627" w:rsidRPr="00DD7C96" w14:paraId="6300F030" w14:textId="77777777" w:rsidTr="00386627">
        <w:trPr>
          <w:trHeight w:val="288"/>
        </w:trPr>
        <w:tc>
          <w:tcPr>
            <w:tcW w:w="1657" w:type="dxa"/>
            <w:noWrap/>
            <w:hideMark/>
          </w:tcPr>
          <w:p w14:paraId="685E5A03"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Pembrolizumab</w:t>
            </w:r>
          </w:p>
        </w:tc>
        <w:tc>
          <w:tcPr>
            <w:tcW w:w="2879" w:type="dxa"/>
            <w:noWrap/>
            <w:hideMark/>
          </w:tcPr>
          <w:p w14:paraId="06B002D4"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2 mg/kg every 3 weeks</w:t>
            </w:r>
          </w:p>
        </w:tc>
        <w:tc>
          <w:tcPr>
            <w:tcW w:w="851" w:type="dxa"/>
            <w:noWrap/>
            <w:hideMark/>
          </w:tcPr>
          <w:p w14:paraId="29693B69" w14:textId="77777777"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345</w:t>
            </w:r>
          </w:p>
        </w:tc>
        <w:tc>
          <w:tcPr>
            <w:tcW w:w="2126" w:type="dxa"/>
            <w:noWrap/>
            <w:hideMark/>
          </w:tcPr>
          <w:p w14:paraId="4518EE0E" w14:textId="6094505C"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3.9</w:t>
            </w:r>
          </w:p>
        </w:tc>
        <w:tc>
          <w:tcPr>
            <w:tcW w:w="1985" w:type="dxa"/>
            <w:noWrap/>
            <w:hideMark/>
          </w:tcPr>
          <w:p w14:paraId="687170CA" w14:textId="71BBE2EB"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Herbst 2015</w:t>
            </w:r>
            <w:r w:rsidRPr="00DD7C96">
              <w:rPr>
                <w:rFonts w:eastAsia="Times New Roman"/>
                <w:bCs/>
                <w:iCs/>
                <w:sz w:val="20"/>
                <w:szCs w:val="20"/>
                <w:lang w:eastAsia="en-CA"/>
              </w:rPr>
              <w:fldChar w:fldCharType="begin" w:fldLock="1"/>
            </w:r>
            <w:r w:rsidR="00DC6C61" w:rsidRPr="00DD7C96">
              <w:rPr>
                <w:rFonts w:eastAsia="Times New Roman"/>
                <w:bCs/>
                <w:iCs/>
                <w:sz w:val="20"/>
                <w:szCs w:val="20"/>
                <w:lang w:eastAsia="en-CA"/>
              </w:rPr>
              <w:instrText>ADDIN CSL_CITATION {"citationItems":[{"id":"ITEM-1","itemData":{"DOI":"10.1016/S0140-6736(15)01281-7","ISBN":"0140-6736","ISSN":"1474547X","PMID":"26712084","abstract":"Background Despite recent advances in the treatment of advanced non-small-cell lung cancer, there remains a need for effective treatments for progressive disease. We assessed the efficacy of pembrolizumab for patients with previously treated, PD-L1-positive, advanced non-small-cell lung cancer. Methods We did this randomised, open-label, phase 2/3 study at 202 academic medical centres in 24 countries. Patients with previously treated non-small-cell lung cancer with PD-L1 expression on at least 1% of tumour cells were randomly assigned (1:1:1) in blocks of six per stratum with an interactive voice-response system to receive pembrolizumab 2 mg/kg, pembrolizumab 10 mg/kg, or docetaxel 75 mg/m2every 3 weeks. The primary endpoints were overall survival and progression-free survival both in the total population and in patients with PD-L1 expression on at least 50% of tumour cells. We used a threshold for significance of p&lt;0·00825 (one-sided) for the analysis of overall survival and a threshold of p&lt;0·001 for progression-free survival. This trial is registered at ClinicalTrials.gov, number NCT01905657. Findings Between Aug 28, 2013, and Feb 27, 2015, we enrolled 1034 patients: 345 allocated to pembrolizumab 2 mg/kg, 346 allocated to pembrolizumab 10 mg/kg, and 343 allocated to docetaxel. By Sept 30, 2015, 521 patients had died. In the total population, median overall survival was 10·4 months with pembrolizumab 2 mg/kg, 12·7 months with pembrolizumab 10 mg/kg, and 8·5 months with docetaxel. Overall survival was significantly longer for pembrolizumab 2 mg/kg versus docetaxel (hazard ratio [HR] 0·71, 95% CI 0·58-0·88; p=0·0008) and for pembrolizumab 10 mg/kg versus docetaxel (0·61, 0·49-0·75; p&lt;0·0001). Median progression-free survival was 3·9 months with pembrolizumab 2 mg/kg, 4·0 months with pembrolizumab 10 mg/kg, and 4·0 months with docetaxel, with no significant difference for pembrolizumab 2 mg/kg versus docetaxel (0·88, 0·74-1·05; p=0·07) or for pembrolizumab 10 mg/kg versus docetaxel (HR 0·79, 95% CI 0·66-0·94; p=0·004). Among patients with at least 50% of tumour cells expressing PD-L1, overall survival was significantly longer with pembrolizumab 2 mg/kg than with docetaxel (median 14·9 months vs 8·2 months; HR 0·54, 95% CI 0·38-0·77; p=0·0002) and with pembrolizumab 10 mg/kg than with docetaxel (17·3 months vs 8·2 months; 0·50, 0·36-0·70; p&lt;0·0001). Likewise, for this patient population, progression-free survival was significantly longer with pembrolizum…","author":[{"dropping-particle":"","family":"Herbst","given":"Roy S.","non-dropping-particle":"","parse-names":false,"suffix":""},{"dropping-particle":"","family":"Baas","given":"Paul","non-dropping-particle":"","parse-names":false,"suffix":""},{"dropping-particle":"","family":"Kim","given":"Dong Wan","non-dropping-particle":"","parse-names":false,"suffix":""},{"dropping-particle":"","family":"Felip","given":"Enriqueta","non-dropping-particle":"","parse-names":false,"suffix":""},{"dropping-particle":"","family":"Pérez-Gracia","given":"José L.","non-dropping-particle":"","parse-names":false,"suffix":""},{"dropping-particle":"","family":"Han","given":"Ji Youn","non-dropping-particle":"","parse-names":false,"suffix":""},{"dropping-particle":"","family":"Molina","given":"Julian","non-dropping-particle":"","parse-names":false,"suffix":""},{"dropping-particle":"","family":"Kim","given":"Joo Hang","non-dropping-particle":"","parse-names":false,"suffix":""},{"dropping-particle":"","family":"Arvis","given":"Catherine Dubos","non-dropping-particle":"","parse-names":false,"suffix":""},{"dropping-particle":"","family":"Ahn","given":"Myung Ju","non-dropping-particle":"","parse-names":false,"suffix":""},{"dropping-particle":"","family":"Majem","given":"Margarita","non-dropping-particle":"","parse-names":false,"suffix":""},{"dropping-particle":"","family":"Fidler","given":"Mary J.","non-dropping-particle":"","parse-names":false,"suffix":""},{"dropping-particle":"","family":"Castro","given":"Gilberto","non-dropping-particle":"De","parse-names":false,"suffix":""},{"dropping-particle":"","family":"Garrido","given":"Marcelo","non-dropping-particle":"","parse-names":false,"suffix":""},{"dropping-particle":"","family":"Lubiniecki","given":"Gregory M.","non-dropping-particle":"","parse-names":false,"suffix":""},{"dropping-particle":"","family":"Shentu","given":"Yue","non-dropping-particle":"","parse-names":false,"suffix":""},{"dropping-particle":"","family":"Im","given":"Ellie","non-dropping-particle":"","parse-names":false,"suffix":""},{"dropping-particle":"","family":"Dolled-Filhart","given":"Marisa","non-dropping-particle":"","parse-names":false,"suffix":""},{"dropping-particle":"","family":"Garon","given":"Edward B.","non-dropping-particle":"","parse-names":false,"suffix":""}],"container-title":"The Lancet","id":"ITEM-1","issue":"10027","issued":{"date-parts":[["2016"]]},"page":"1540-1550","title":"Pembrolizumab versus docetaxel for previously treated, PD-L1-positive, advanced non-small-cell lung cancer (KEYNOTE-010): A randomised controlled trial","type":"article-journal","volume":"387"},"uris":["http://www.mendeley.com/documents/?uuid=4214a9a6-ec6f-4afa-8c1d-5e224d418af1"]}],"mendeley":{"formattedCitation":"&lt;sup&gt;10&lt;/sup&gt;","plainTextFormattedCitation":"10","previouslyFormattedCitation":"&lt;sup&gt;10&lt;/sup&gt;"},"properties":{"noteIndex":0},"schema":"https://github.com/citation-style-language/schema/raw/master/csl-citation.json"}</w:instrText>
            </w:r>
            <w:r w:rsidRPr="00DD7C96">
              <w:rPr>
                <w:rFonts w:eastAsia="Times New Roman"/>
                <w:bCs/>
                <w:iCs/>
                <w:sz w:val="20"/>
                <w:szCs w:val="20"/>
                <w:lang w:eastAsia="en-CA"/>
              </w:rPr>
              <w:fldChar w:fldCharType="separate"/>
            </w:r>
            <w:r w:rsidR="00DC6C61" w:rsidRPr="00DD7C96">
              <w:rPr>
                <w:rFonts w:eastAsia="Times New Roman"/>
                <w:bCs/>
                <w:iCs/>
                <w:noProof/>
                <w:sz w:val="20"/>
                <w:szCs w:val="20"/>
                <w:vertAlign w:val="superscript"/>
                <w:lang w:eastAsia="en-CA"/>
              </w:rPr>
              <w:t>10</w:t>
            </w:r>
            <w:r w:rsidRPr="00DD7C96">
              <w:rPr>
                <w:rFonts w:eastAsia="Times New Roman"/>
                <w:bCs/>
                <w:iCs/>
                <w:sz w:val="20"/>
                <w:szCs w:val="20"/>
                <w:lang w:eastAsia="en-CA"/>
              </w:rPr>
              <w:fldChar w:fldCharType="end"/>
            </w:r>
          </w:p>
        </w:tc>
      </w:tr>
      <w:tr w:rsidR="00E5378E" w:rsidRPr="00DD7C96" w14:paraId="1F8CD8C7" w14:textId="77777777" w:rsidTr="00386627">
        <w:trPr>
          <w:trHeight w:val="288"/>
        </w:trPr>
        <w:tc>
          <w:tcPr>
            <w:tcW w:w="1657" w:type="dxa"/>
            <w:noWrap/>
            <w:hideMark/>
          </w:tcPr>
          <w:p w14:paraId="360B567A"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Docetaxel</w:t>
            </w:r>
          </w:p>
        </w:tc>
        <w:tc>
          <w:tcPr>
            <w:tcW w:w="2879" w:type="dxa"/>
            <w:noWrap/>
            <w:hideMark/>
          </w:tcPr>
          <w:p w14:paraId="6C015584"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75 mg/m</w:t>
            </w:r>
            <w:r w:rsidRPr="00DD7C96">
              <w:rPr>
                <w:rFonts w:eastAsia="Times New Roman"/>
                <w:bCs/>
                <w:iCs/>
                <w:sz w:val="20"/>
                <w:szCs w:val="20"/>
                <w:vertAlign w:val="superscript"/>
                <w:lang w:eastAsia="en-CA"/>
              </w:rPr>
              <w:t>2</w:t>
            </w:r>
            <w:r w:rsidRPr="00DD7C96">
              <w:rPr>
                <w:rFonts w:eastAsia="Times New Roman"/>
                <w:bCs/>
                <w:iCs/>
                <w:sz w:val="20"/>
                <w:szCs w:val="20"/>
                <w:lang w:eastAsia="en-CA"/>
              </w:rPr>
              <w:t xml:space="preserve"> of BSA every 3 weeks</w:t>
            </w:r>
          </w:p>
        </w:tc>
        <w:tc>
          <w:tcPr>
            <w:tcW w:w="851" w:type="dxa"/>
            <w:noWrap/>
            <w:hideMark/>
          </w:tcPr>
          <w:p w14:paraId="0A3AA8EF" w14:textId="77777777"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290</w:t>
            </w:r>
          </w:p>
        </w:tc>
        <w:tc>
          <w:tcPr>
            <w:tcW w:w="2126" w:type="dxa"/>
            <w:noWrap/>
            <w:hideMark/>
          </w:tcPr>
          <w:p w14:paraId="076F9598" w14:textId="34DBC0E6"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4.2</w:t>
            </w:r>
          </w:p>
        </w:tc>
        <w:tc>
          <w:tcPr>
            <w:tcW w:w="1985" w:type="dxa"/>
            <w:noWrap/>
            <w:hideMark/>
          </w:tcPr>
          <w:p w14:paraId="5ECAA79B" w14:textId="4415261C" w:rsidR="00E5378E" w:rsidRPr="00DD7C96" w:rsidRDefault="00E5378E" w:rsidP="006B1D6D">
            <w:pPr>
              <w:rPr>
                <w:rFonts w:eastAsia="Times New Roman"/>
                <w:bCs/>
                <w:iCs/>
                <w:sz w:val="20"/>
                <w:szCs w:val="20"/>
                <w:lang w:eastAsia="en-CA"/>
              </w:rPr>
            </w:pPr>
            <w:proofErr w:type="spellStart"/>
            <w:r w:rsidRPr="00DD7C96">
              <w:rPr>
                <w:rFonts w:eastAsia="Times New Roman"/>
                <w:bCs/>
                <w:iCs/>
                <w:sz w:val="20"/>
                <w:szCs w:val="20"/>
                <w:lang w:eastAsia="en-CA"/>
              </w:rPr>
              <w:t>Borghaei</w:t>
            </w:r>
            <w:proofErr w:type="spellEnd"/>
            <w:r w:rsidRPr="00DD7C96">
              <w:rPr>
                <w:rFonts w:eastAsia="Times New Roman"/>
                <w:bCs/>
                <w:iCs/>
                <w:sz w:val="20"/>
                <w:szCs w:val="20"/>
                <w:lang w:eastAsia="en-CA"/>
              </w:rPr>
              <w:t xml:space="preserve"> 2015</w:t>
            </w:r>
            <w:r w:rsidRPr="00DD7C96">
              <w:rPr>
                <w:rFonts w:eastAsia="Times New Roman"/>
                <w:bCs/>
                <w:iCs/>
                <w:sz w:val="20"/>
                <w:szCs w:val="20"/>
                <w:lang w:eastAsia="en-CA"/>
              </w:rPr>
              <w:fldChar w:fldCharType="begin" w:fldLock="1"/>
            </w:r>
            <w:r w:rsidR="00DC6C61" w:rsidRPr="00DD7C96">
              <w:rPr>
                <w:rFonts w:eastAsia="Times New Roman"/>
                <w:bCs/>
                <w:iCs/>
                <w:sz w:val="20"/>
                <w:szCs w:val="20"/>
                <w:lang w:eastAsia="en-CA"/>
              </w:rPr>
              <w:instrText>ADDIN CSL_CITATION {"citationItems":[{"id":"ITEM-1","itemData":{"DOI":"10.1056/NEJMc1514790","ISBN":"1533-4406 (Electronic)\\r0028-4793 (Linking)","ISSN":"1533-4406","PMID":"26412456","abstract":"Background Nivolumab, a fully human IgG4 programmed death 1 (PD-1) immune-checkpoint-inhibitor antibody, disrupts PD-1-mediated signaling and may restore antitumor immunity. Methods In this randomized, open-label, international phase 3 study, we assigned patients with nonsquamous non-small-cell lung cancer (NSCLC) that had progressed during or after platinum-based doublet chemotherapy to receive nivolumab at a dose of 3 mg per kilogram of body weight every 2 weeks or docetaxel at a dose of 75 mg per square meter of body-surface area every 3 weeks. The primary end point was overall survival. Results Overall survival was longer with nivolumab than with docetaxel. The median overall survival was 12.2 months (95% confidence interval [CI], 9.7 to 15.0) among 292 patients in the nivolumab group and 9.4 months (95% CI, 8.1 to 10.7) among 290 patients in the docetaxel group (hazard ratio for death, 0.73; 96% CI, 0.59 to 0.89; P=0.002). At 1 year, the overall survival rate was 51% (95% CI, 45 to 56) with nivolumab versus 39% (95% CI, 33 to 45) with docetaxel. With additional follow-up, the overall survival rate at 18 months was 39% (95% CI, 34 to 45) with nivolumab versus 23% (95% CI, 19 to 28) with docetaxel. The response rate was 19% with nivolumab versus 12% with docetaxel (P=0.02). Although progression-free survival did not favor nivolumab over docetaxel (median, 2.3 months and 4.2 months, respectively), the rate of progression-free survival at 1 year was higher with nivolumab than with docetaxel (19% and 8%, respectively). Nivolumab was associated with even greater efficacy than docetaxel across all end points in subgroups defined according to prespecified levels of tumor-membrane expression (≥1%, ≥5%, and ≥10%) of the PD-1 ligand. Treatment-related adverse events of grade 3 or 4 were reported in 10% of the patients in the nivolumab group, as compared with 54% of those in the docetaxel group. Conclusions Among patients with advanced nonsquamous NSCLC that had progressed during or after platinum-based chemotherapy, overall survival was longer with nivolumab than with docetaxel. (Funded by Bristol-Myers Squibb; CheckMate 057 ClinicalTrials.gov number, NCT01673867 .).","author":[{"dropping-particle":"","family":"Borghaei","given":"Hossein","non-dropping-particle":"","parse-names":false,"suffix":""},{"dropping-particle":"","family":"Brahmer","given":"Julie R","non-dropping-particle":"","parse-names":false,"suffix":""},{"dropping-particle":"","family":"Paz-Ares","given":"Luis","non-dropping-particle":"","parse-names":false,"suffix":""},{"dropping-particle":"","family":"Horn","given":"Leora","non-dropping-particle":"","parse-names":false,"suffix":""},{"dropping-particle":"","family":"Spigel","given":"David R","non-dropping-particle":"","parse-names":false,"suffix":""},{"dropping-particle":"","family":"Steins","given":"Martin","non-dropping-particle":"","parse-names":false,"suffix":""},{"dropping-particle":"","family":"Ready","given":"Neal E","non-dropping-particle":"","parse-names":false,"suffix":""},{"dropping-particle":"","family":"Chow","given":"Laura Q","non-dropping-particle":"","parse-names":false,"suffix":""},{"dropping-particle":"","family":"Vokes","given":"Everett E","non-dropping-particle":"","parse-names":false,"suffix":""},{"dropping-particle":"","family":"Felip","given":"Enriqueta","non-dropping-particle":"","parse-names":false,"suffix":""},{"dropping-particle":"","family":"Holgado","given":"Esther","non-dropping-particle":"","parse-names":false,"suffix":""},{"dropping-particle":"","family":"Barlesi","given":"Fabrice","non-dropping-particle":"","parse-names":false,"suffix":""},{"dropping-particle":"","family":"Kohlhäufl","given":"Martin","non-dropping-particle":"","parse-names":false,"suffix":""},{"dropping-particle":"","family":"Arrieta","given":"Oscar","non-dropping-particle":"","parse-names":false,"suffix":""},{"dropping-particle":"","family":"Burgio","given":"Marco Angelo","non-dropping-particle":"","parse-names":false,"suffix":""},{"dropping-particle":"","family":"Fayette","given":"Jérôme","non-dropping-particle":"","parse-names":false,"suffix":""},{"dropping-particle":"","family":"Lena","given":"Hervé","non-dropping-particle":"","parse-names":false,"suffix":""},{"dropping-particle":"","family":"Poddubskaya","given":"Elena","non-dropping-particle":"","parse-names":false,"suffix":""},{"dropping-particle":"","family":"Gerber","given":"David E","non-dropping-particle":"","parse-names":false,"suffix":""},{"dropping-particle":"","family":"Gettinger","given":"Scott N","non-dropping-particle":"","parse-names":false,"suffix":""},{"dropping-particle":"","family":"Rudin","given":"Charles M","non-dropping-particle":"","parse-names":false,"suffix":""},{"dropping-particle":"","family":"Rizvi","given":"Naiyer","non-dropping-particle":"","parse-names":false,"suffix":""},{"dropping-particle":"","family":"Crinò","given":"Lucio","non-dropping-particle":"","parse-names":false,"suffix":""},{"dropping-particle":"","family":"Blumenschein","given":"George R","non-dropping-particle":"","parse-names":false,"suffix":""},{"dropping-particle":"","family":"Antonia","given":"Scott J","non-dropping-particle":"","parse-names":false,"suffix":""},{"dropping-particle":"","family":"Dorange","given":"Cécile","non-dropping-particle":"","parse-names":false,"suffix":""},{"dropping-particle":"","family":"Harbison","given":"Christopher T","non-dropping-particle":"","parse-names":false,"suffix":""},{"dropping-particle":"","family":"Graf Finckenstein","given":"Friedrich","non-dropping-particle":"","parse-names":false,"suffix":""},{"dropping-particle":"","family":"Brahmer","given":"Julie R","non-dropping-particle":"","parse-names":false,"suffix":""}],"container-title":"N Engl J Med","id":"ITEM-1","issue":"5","issued":{"date-parts":[["2016"]]},"page":"493-494","title":"Nivolumab in Nonsquamous Non-Small-Cell Lung Cancer","type":"article-journal","volume":"374"},"uris":["http://www.mendeley.com/documents/?uuid=7cb4a0c6-90ce-4f08-a524-fc264777497c"]}],"mendeley":{"formattedCitation":"&lt;sup&gt;8&lt;/sup&gt;","plainTextFormattedCitation":"8","previouslyFormattedCitation":"&lt;sup&gt;8&lt;/sup&gt;"},"properties":{"noteIndex":0},"schema":"https://github.com/citation-style-language/schema/raw/master/csl-citation.json"}</w:instrText>
            </w:r>
            <w:r w:rsidRPr="00DD7C96">
              <w:rPr>
                <w:rFonts w:eastAsia="Times New Roman"/>
                <w:bCs/>
                <w:iCs/>
                <w:sz w:val="20"/>
                <w:szCs w:val="20"/>
                <w:lang w:eastAsia="en-CA"/>
              </w:rPr>
              <w:fldChar w:fldCharType="separate"/>
            </w:r>
            <w:r w:rsidR="00DC6C61" w:rsidRPr="00DD7C96">
              <w:rPr>
                <w:rFonts w:eastAsia="Times New Roman"/>
                <w:bCs/>
                <w:iCs/>
                <w:noProof/>
                <w:sz w:val="20"/>
                <w:szCs w:val="20"/>
                <w:vertAlign w:val="superscript"/>
                <w:lang w:eastAsia="en-CA"/>
              </w:rPr>
              <w:t>8</w:t>
            </w:r>
            <w:r w:rsidRPr="00DD7C96">
              <w:rPr>
                <w:rFonts w:eastAsia="Times New Roman"/>
                <w:bCs/>
                <w:iCs/>
                <w:sz w:val="20"/>
                <w:szCs w:val="20"/>
                <w:lang w:eastAsia="en-CA"/>
              </w:rPr>
              <w:fldChar w:fldCharType="end"/>
            </w:r>
          </w:p>
        </w:tc>
      </w:tr>
      <w:tr w:rsidR="00386627" w:rsidRPr="00DD7C96" w14:paraId="23A397FC" w14:textId="77777777" w:rsidTr="00386627">
        <w:trPr>
          <w:trHeight w:val="288"/>
        </w:trPr>
        <w:tc>
          <w:tcPr>
            <w:tcW w:w="1657" w:type="dxa"/>
            <w:noWrap/>
            <w:hideMark/>
          </w:tcPr>
          <w:p w14:paraId="7964FA3E"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Docetaxel</w:t>
            </w:r>
          </w:p>
        </w:tc>
        <w:tc>
          <w:tcPr>
            <w:tcW w:w="2879" w:type="dxa"/>
            <w:noWrap/>
            <w:hideMark/>
          </w:tcPr>
          <w:p w14:paraId="31E12651"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75 mg/m</w:t>
            </w:r>
            <w:r w:rsidRPr="00DD7C96">
              <w:rPr>
                <w:rFonts w:eastAsia="Times New Roman"/>
                <w:bCs/>
                <w:iCs/>
                <w:sz w:val="20"/>
                <w:szCs w:val="20"/>
                <w:vertAlign w:val="superscript"/>
                <w:lang w:eastAsia="en-CA"/>
              </w:rPr>
              <w:t>2</w:t>
            </w:r>
            <w:r w:rsidRPr="00DD7C96">
              <w:rPr>
                <w:rFonts w:eastAsia="Times New Roman"/>
                <w:bCs/>
                <w:iCs/>
                <w:sz w:val="20"/>
                <w:szCs w:val="20"/>
                <w:lang w:eastAsia="en-CA"/>
              </w:rPr>
              <w:t xml:space="preserve"> of BSA every 3 weeks</w:t>
            </w:r>
          </w:p>
        </w:tc>
        <w:tc>
          <w:tcPr>
            <w:tcW w:w="851" w:type="dxa"/>
            <w:noWrap/>
            <w:hideMark/>
          </w:tcPr>
          <w:p w14:paraId="2587CCC4" w14:textId="77777777"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137</w:t>
            </w:r>
          </w:p>
        </w:tc>
        <w:tc>
          <w:tcPr>
            <w:tcW w:w="2126" w:type="dxa"/>
            <w:noWrap/>
            <w:hideMark/>
          </w:tcPr>
          <w:p w14:paraId="65C73EC9" w14:textId="6D840B79"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2.8</w:t>
            </w:r>
          </w:p>
        </w:tc>
        <w:tc>
          <w:tcPr>
            <w:tcW w:w="1985" w:type="dxa"/>
            <w:noWrap/>
            <w:hideMark/>
          </w:tcPr>
          <w:p w14:paraId="27C09F14" w14:textId="43E6BDAB" w:rsidR="00E5378E" w:rsidRPr="00DD7C96" w:rsidRDefault="00E5378E" w:rsidP="006B1D6D">
            <w:pPr>
              <w:rPr>
                <w:rFonts w:eastAsia="Times New Roman"/>
                <w:bCs/>
                <w:iCs/>
                <w:sz w:val="20"/>
                <w:szCs w:val="20"/>
                <w:lang w:eastAsia="en-CA"/>
              </w:rPr>
            </w:pPr>
            <w:proofErr w:type="spellStart"/>
            <w:r w:rsidRPr="00DD7C96">
              <w:rPr>
                <w:rFonts w:eastAsia="Times New Roman"/>
                <w:bCs/>
                <w:iCs/>
                <w:sz w:val="20"/>
                <w:szCs w:val="20"/>
                <w:lang w:eastAsia="en-CA"/>
              </w:rPr>
              <w:t>Brahmer</w:t>
            </w:r>
            <w:proofErr w:type="spellEnd"/>
            <w:r w:rsidRPr="00DD7C96">
              <w:rPr>
                <w:rFonts w:eastAsia="Times New Roman"/>
                <w:bCs/>
                <w:iCs/>
                <w:sz w:val="20"/>
                <w:szCs w:val="20"/>
                <w:lang w:eastAsia="en-CA"/>
              </w:rPr>
              <w:t xml:space="preserve"> 2015</w:t>
            </w:r>
            <w:r w:rsidRPr="00DD7C96">
              <w:rPr>
                <w:rFonts w:eastAsia="Times New Roman"/>
                <w:bCs/>
                <w:iCs/>
                <w:sz w:val="20"/>
                <w:szCs w:val="20"/>
                <w:lang w:eastAsia="en-CA"/>
              </w:rPr>
              <w:fldChar w:fldCharType="begin" w:fldLock="1"/>
            </w:r>
            <w:r w:rsidR="00DC6C61" w:rsidRPr="00DD7C96">
              <w:rPr>
                <w:rFonts w:eastAsia="Times New Roman"/>
                <w:bCs/>
                <w:iCs/>
                <w:sz w:val="20"/>
                <w:szCs w:val="20"/>
                <w:lang w:eastAsia="en-CA"/>
              </w:rPr>
              <w:instrText>ADDIN CSL_CITATION {"citationItems":[{"id":"ITEM-1","itemData":{"DOI":"10.1056/NEJMoa1507643.Nivolumab","abstract":"Background—Options for patients with non-squamous non-small cell lung cancer (NSCLC) whose disease progresses after first-line chemotherapy are limited. This randomized, open-label, international phase 3 study evaluated efficacy and safety of nivolumab versus docetaxel in this patient population after failure of platinum doublet chemotherapy. Methods—Patients were randomized to nivolumab 3 mg per kilogram every 2 weeks or docetaxel 75 mg per square meter every 3 weeks. The primary endpoint was overall survival. Results—Nivolumab improved overall survival versus docetaxel. Median overall survival was 12.2 months (95% CI, 9.7 to 15.0) for nivolumab (n=292) and 9.4 months (95% CI, 8.1 to 10.7) for docetaxel (n=290) (hazard ratio, 0.73; 96% CI, 0.59 to 0.89; P=0.002). One-year overall survival rates were 51% (95% CI, 45 to 56) for nivolumab and 39% (95% CI, 33 to 45) for docetaxel. Updated efficacy results with additional follow up are available for overall survival only: 18-month overall survival rates were 39% (95% CI, 34 to 45) for nivolumab and 23% (95% CI, 19 to 28) for docetaxel. Response rates were 19% for nivolumab and 12% for docetaxel (P=0.02). Although progression-free survival did not favor nivolumab (2.3 months for nivolumab versus 4.2 months for docetaxel), 1-year progression-free survival was higher for nivolumab (19%) than docetaxel (8%). Nivolumab further improved efficacy across all endpoints at predefined ≥1%, ≥5%, and ≥10% programmed death-1 ligand 1 (PD-L1) tumor membrane expression levels. Grade 3–5 treatment-related adverse events were reported in 10% of nivolumab and 54% of docetaxel- treated patients. Conclusions—Compared to docetaxel, nivolumab demonstrated superior overall survival, with PD-L1 expression conferring enhanced efficacy in patients with advanced non-squamous NSCLC after failure of platinum-based chemotherapy. The safety profile of nivolumab was favorable versus docetaxel.","author":[{"dropping-particle":"","family":"Brahmer","given":"Julie R","non-dropping-particle":"","parse-names":false,"suffix":""},{"dropping-particle":"","family":"Reckamp","given":"Karen L.","non-dropping-particle":"","parse-names":false,"suffix":""},{"dropping-particle":"","family":"Baas","given":"Paul","non-dropping-particle":"","parse-names":false,"suffix":""},{"dropping-particle":"","family":"Crino","given":"Lucio","non-dropping-particle":"","parse-names":false,"suffix":""},{"dropping-particle":"","family":"Eberhardt","given":"Wilfried E.E.","non-dropping-particle":"","parse-names":false,"suffix":""}],"container-title":"N Engl J Med","id":"ITEM-1","issue":"2","issued":{"date-parts":[["2015"]]},"page":"123-35","title":"Nivolumab versus Docetaxel in Advanced Squamous-Cell Non-Small Cell Lung Cancer","type":"article-journal","volume":"373"},"uris":["http://www.mendeley.com/documents/?uuid=16abeea8-e57e-4b82-93a5-340bc2f24d42"]}],"mendeley":{"formattedCitation":"&lt;sup&gt;9&lt;/sup&gt;","plainTextFormattedCitation":"9","previouslyFormattedCitation":"&lt;sup&gt;9&lt;/sup&gt;"},"properties":{"noteIndex":0},"schema":"https://github.com/citation-style-language/schema/raw/master/csl-citation.json"}</w:instrText>
            </w:r>
            <w:r w:rsidRPr="00DD7C96">
              <w:rPr>
                <w:rFonts w:eastAsia="Times New Roman"/>
                <w:bCs/>
                <w:iCs/>
                <w:sz w:val="20"/>
                <w:szCs w:val="20"/>
                <w:lang w:eastAsia="en-CA"/>
              </w:rPr>
              <w:fldChar w:fldCharType="separate"/>
            </w:r>
            <w:r w:rsidR="00DC6C61" w:rsidRPr="00DD7C96">
              <w:rPr>
                <w:rFonts w:eastAsia="Times New Roman"/>
                <w:bCs/>
                <w:iCs/>
                <w:noProof/>
                <w:sz w:val="20"/>
                <w:szCs w:val="20"/>
                <w:vertAlign w:val="superscript"/>
                <w:lang w:eastAsia="en-CA"/>
              </w:rPr>
              <w:t>9</w:t>
            </w:r>
            <w:r w:rsidRPr="00DD7C96">
              <w:rPr>
                <w:rFonts w:eastAsia="Times New Roman"/>
                <w:bCs/>
                <w:iCs/>
                <w:sz w:val="20"/>
                <w:szCs w:val="20"/>
                <w:lang w:eastAsia="en-CA"/>
              </w:rPr>
              <w:fldChar w:fldCharType="end"/>
            </w:r>
          </w:p>
        </w:tc>
      </w:tr>
      <w:tr w:rsidR="00E5378E" w:rsidRPr="00DD7C96" w14:paraId="4234EE63" w14:textId="77777777" w:rsidTr="00386627">
        <w:trPr>
          <w:trHeight w:val="288"/>
        </w:trPr>
        <w:tc>
          <w:tcPr>
            <w:tcW w:w="1657" w:type="dxa"/>
            <w:noWrap/>
            <w:hideMark/>
          </w:tcPr>
          <w:p w14:paraId="560A7098"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Docetaxel</w:t>
            </w:r>
          </w:p>
        </w:tc>
        <w:tc>
          <w:tcPr>
            <w:tcW w:w="2879" w:type="dxa"/>
            <w:noWrap/>
            <w:hideMark/>
          </w:tcPr>
          <w:p w14:paraId="698E4D16"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75 mg/m</w:t>
            </w:r>
            <w:r w:rsidRPr="00DD7C96">
              <w:rPr>
                <w:rFonts w:eastAsia="Times New Roman"/>
                <w:bCs/>
                <w:iCs/>
                <w:sz w:val="20"/>
                <w:szCs w:val="20"/>
                <w:vertAlign w:val="superscript"/>
                <w:lang w:eastAsia="en-CA"/>
              </w:rPr>
              <w:t>2</w:t>
            </w:r>
            <w:r w:rsidRPr="00DD7C96">
              <w:rPr>
                <w:rFonts w:eastAsia="Times New Roman"/>
                <w:bCs/>
                <w:iCs/>
                <w:sz w:val="20"/>
                <w:szCs w:val="20"/>
                <w:lang w:eastAsia="en-CA"/>
              </w:rPr>
              <w:t xml:space="preserve"> of BSA every 3 weeks</w:t>
            </w:r>
          </w:p>
        </w:tc>
        <w:tc>
          <w:tcPr>
            <w:tcW w:w="851" w:type="dxa"/>
            <w:noWrap/>
            <w:hideMark/>
          </w:tcPr>
          <w:p w14:paraId="133024FA" w14:textId="77777777"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346</w:t>
            </w:r>
          </w:p>
        </w:tc>
        <w:tc>
          <w:tcPr>
            <w:tcW w:w="2126" w:type="dxa"/>
            <w:noWrap/>
            <w:hideMark/>
          </w:tcPr>
          <w:p w14:paraId="39075872" w14:textId="7DB90B94"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4.0</w:t>
            </w:r>
          </w:p>
        </w:tc>
        <w:tc>
          <w:tcPr>
            <w:tcW w:w="1985" w:type="dxa"/>
            <w:noWrap/>
            <w:hideMark/>
          </w:tcPr>
          <w:p w14:paraId="69D8EE25" w14:textId="79CFFF05"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Herbst 2015</w:t>
            </w:r>
            <w:r w:rsidRPr="00DD7C96">
              <w:rPr>
                <w:rFonts w:eastAsia="Times New Roman"/>
                <w:bCs/>
                <w:iCs/>
                <w:sz w:val="20"/>
                <w:szCs w:val="20"/>
                <w:lang w:eastAsia="en-CA"/>
              </w:rPr>
              <w:fldChar w:fldCharType="begin" w:fldLock="1"/>
            </w:r>
            <w:r w:rsidR="00DC6C61" w:rsidRPr="00DD7C96">
              <w:rPr>
                <w:rFonts w:eastAsia="Times New Roman"/>
                <w:bCs/>
                <w:iCs/>
                <w:sz w:val="20"/>
                <w:szCs w:val="20"/>
                <w:lang w:eastAsia="en-CA"/>
              </w:rPr>
              <w:instrText>ADDIN CSL_CITATION {"citationItems":[{"id":"ITEM-1","itemData":{"DOI":"10.1016/S0140-6736(15)01281-7","ISBN":"0140-6736","ISSN":"1474547X","PMID":"26712084","abstract":"Background Despite recent advances in the treatment of advanced non-small-cell lung cancer, there remains a need for effective treatments for progressive disease. We assessed the efficacy of pembrolizumab for patients with previously treated, PD-L1-positive, advanced non-small-cell lung cancer. Methods We did this randomised, open-label, phase 2/3 study at 202 academic medical centres in 24 countries. Patients with previously treated non-small-cell lung cancer with PD-L1 expression on at least 1% of tumour cells were randomly assigned (1:1:1) in blocks of six per stratum with an interactive voice-response system to receive pembrolizumab 2 mg/kg, pembrolizumab 10 mg/kg, or docetaxel 75 mg/m2every 3 weeks. The primary endpoints were overall survival and progression-free survival both in the total population and in patients with PD-L1 expression on at least 50% of tumour cells. We used a threshold for significance of p&lt;0·00825 (one-sided) for the analysis of overall survival and a threshold of p&lt;0·001 for progression-free survival. This trial is registered at ClinicalTrials.gov, number NCT01905657. Findings Between Aug 28, 2013, and Feb 27, 2015, we enrolled 1034 patients: 345 allocated to pembrolizumab 2 mg/kg, 346 allocated to pembrolizumab 10 mg/kg, and 343 allocated to docetaxel. By Sept 30, 2015, 521 patients had died. In the total population, median overall survival was 10·4 months with pembrolizumab 2 mg/kg, 12·7 months with pembrolizumab 10 mg/kg, and 8·5 months with docetaxel. Overall survival was significantly longer for pembrolizumab 2 mg/kg versus docetaxel (hazard ratio [HR] 0·71, 95% CI 0·58-0·88; p=0·0008) and for pembrolizumab 10 mg/kg versus docetaxel (0·61, 0·49-0·75; p&lt;0·0001). Median progression-free survival was 3·9 months with pembrolizumab 2 mg/kg, 4·0 months with pembrolizumab 10 mg/kg, and 4·0 months with docetaxel, with no significant difference for pembrolizumab 2 mg/kg versus docetaxel (0·88, 0·74-1·05; p=0·07) or for pembrolizumab 10 mg/kg versus docetaxel (HR 0·79, 95% CI 0·66-0·94; p=0·004). Among patients with at least 50% of tumour cells expressing PD-L1, overall survival was significantly longer with pembrolizumab 2 mg/kg than with docetaxel (median 14·9 months vs 8·2 months; HR 0·54, 95% CI 0·38-0·77; p=0·0002) and with pembrolizumab 10 mg/kg than with docetaxel (17·3 months vs 8·2 months; 0·50, 0·36-0·70; p&lt;0·0001). Likewise, for this patient population, progression-free survival was significantly longer with pembrolizum…","author":[{"dropping-particle":"","family":"Herbst","given":"Roy S.","non-dropping-particle":"","parse-names":false,"suffix":""},{"dropping-particle":"","family":"Baas","given":"Paul","non-dropping-particle":"","parse-names":false,"suffix":""},{"dropping-particle":"","family":"Kim","given":"Dong Wan","non-dropping-particle":"","parse-names":false,"suffix":""},{"dropping-particle":"","family":"Felip","given":"Enriqueta","non-dropping-particle":"","parse-names":false,"suffix":""},{"dropping-particle":"","family":"Pérez-Gracia","given":"José L.","non-dropping-particle":"","parse-names":false,"suffix":""},{"dropping-particle":"","family":"Han","given":"Ji Youn","non-dropping-particle":"","parse-names":false,"suffix":""},{"dropping-particle":"","family":"Molina","given":"Julian","non-dropping-particle":"","parse-names":false,"suffix":""},{"dropping-particle":"","family":"Kim","given":"Joo Hang","non-dropping-particle":"","parse-names":false,"suffix":""},{"dropping-particle":"","family":"Arvis","given":"Catherine Dubos","non-dropping-particle":"","parse-names":false,"suffix":""},{"dropping-particle":"","family":"Ahn","given":"Myung Ju","non-dropping-particle":"","parse-names":false,"suffix":""},{"dropping-particle":"","family":"Majem","given":"Margarita","non-dropping-particle":"","parse-names":false,"suffix":""},{"dropping-particle":"","family":"Fidler","given":"Mary J.","non-dropping-particle":"","parse-names":false,"suffix":""},{"dropping-particle":"","family":"Castro","given":"Gilberto","non-dropping-particle":"De","parse-names":false,"suffix":""},{"dropping-particle":"","family":"Garrido","given":"Marcelo","non-dropping-particle":"","parse-names":false,"suffix":""},{"dropping-particle":"","family":"Lubiniecki","given":"Gregory M.","non-dropping-particle":"","parse-names":false,"suffix":""},{"dropping-particle":"","family":"Shentu","given":"Yue","non-dropping-particle":"","parse-names":false,"suffix":""},{"dropping-particle":"","family":"Im","given":"Ellie","non-dropping-particle":"","parse-names":false,"suffix":""},{"dropping-particle":"","family":"Dolled-Filhart","given":"Marisa","non-dropping-particle":"","parse-names":false,"suffix":""},{"dropping-particle":"","family":"Garon","given":"Edward B.","non-dropping-particle":"","parse-names":false,"suffix":""}],"container-title":"The Lancet","id":"ITEM-1","issue":"10027","issued":{"date-parts":[["2016"]]},"page":"1540-1550","title":"Pembrolizumab versus docetaxel for previously treated, PD-L1-positive, advanced non-small-cell lung cancer (KEYNOTE-010): A randomised controlled trial","type":"article-journal","volume":"387"},"uris":["http://www.mendeley.com/documents/?uuid=4214a9a6-ec6f-4afa-8c1d-5e224d418af1"]}],"mendeley":{"formattedCitation":"&lt;sup&gt;10&lt;/sup&gt;","plainTextFormattedCitation":"10","previouslyFormattedCitation":"&lt;sup&gt;10&lt;/sup&gt;"},"properties":{"noteIndex":0},"schema":"https://github.com/citation-style-language/schema/raw/master/csl-citation.json"}</w:instrText>
            </w:r>
            <w:r w:rsidRPr="00DD7C96">
              <w:rPr>
                <w:rFonts w:eastAsia="Times New Roman"/>
                <w:bCs/>
                <w:iCs/>
                <w:sz w:val="20"/>
                <w:szCs w:val="20"/>
                <w:lang w:eastAsia="en-CA"/>
              </w:rPr>
              <w:fldChar w:fldCharType="separate"/>
            </w:r>
            <w:r w:rsidR="00DC6C61" w:rsidRPr="00DD7C96">
              <w:rPr>
                <w:rFonts w:eastAsia="Times New Roman"/>
                <w:bCs/>
                <w:iCs/>
                <w:noProof/>
                <w:sz w:val="20"/>
                <w:szCs w:val="20"/>
                <w:vertAlign w:val="superscript"/>
                <w:lang w:eastAsia="en-CA"/>
              </w:rPr>
              <w:t>10</w:t>
            </w:r>
            <w:r w:rsidRPr="00DD7C96">
              <w:rPr>
                <w:rFonts w:eastAsia="Times New Roman"/>
                <w:bCs/>
                <w:iCs/>
                <w:sz w:val="20"/>
                <w:szCs w:val="20"/>
                <w:lang w:eastAsia="en-CA"/>
              </w:rPr>
              <w:fldChar w:fldCharType="end"/>
            </w:r>
          </w:p>
        </w:tc>
      </w:tr>
      <w:tr w:rsidR="00386627" w:rsidRPr="00DD7C96" w14:paraId="7B3A59A9" w14:textId="77777777" w:rsidTr="00386627">
        <w:trPr>
          <w:trHeight w:val="288"/>
        </w:trPr>
        <w:tc>
          <w:tcPr>
            <w:tcW w:w="1657" w:type="dxa"/>
            <w:noWrap/>
            <w:hideMark/>
          </w:tcPr>
          <w:p w14:paraId="03AA29DB"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Docetaxel</w:t>
            </w:r>
          </w:p>
        </w:tc>
        <w:tc>
          <w:tcPr>
            <w:tcW w:w="2879" w:type="dxa"/>
            <w:noWrap/>
            <w:hideMark/>
          </w:tcPr>
          <w:p w14:paraId="32145A86" w14:textId="77777777" w:rsidR="00E5378E" w:rsidRPr="00DD7C96" w:rsidRDefault="00E5378E" w:rsidP="006B1D6D">
            <w:pPr>
              <w:rPr>
                <w:rFonts w:eastAsia="Times New Roman"/>
                <w:bCs/>
                <w:iCs/>
                <w:sz w:val="20"/>
                <w:szCs w:val="20"/>
                <w:lang w:eastAsia="en-CA"/>
              </w:rPr>
            </w:pPr>
            <w:r w:rsidRPr="00DD7C96">
              <w:rPr>
                <w:rFonts w:eastAsia="Times New Roman"/>
                <w:bCs/>
                <w:iCs/>
                <w:sz w:val="20"/>
                <w:szCs w:val="20"/>
                <w:lang w:eastAsia="en-CA"/>
              </w:rPr>
              <w:t>75 mg/m</w:t>
            </w:r>
            <w:r w:rsidRPr="00DD7C96">
              <w:rPr>
                <w:rFonts w:eastAsia="Times New Roman"/>
                <w:bCs/>
                <w:iCs/>
                <w:sz w:val="20"/>
                <w:szCs w:val="20"/>
                <w:vertAlign w:val="superscript"/>
                <w:lang w:eastAsia="en-CA"/>
              </w:rPr>
              <w:t>2</w:t>
            </w:r>
            <w:r w:rsidRPr="00DD7C96">
              <w:rPr>
                <w:rFonts w:eastAsia="Times New Roman"/>
                <w:bCs/>
                <w:iCs/>
                <w:sz w:val="20"/>
                <w:szCs w:val="20"/>
                <w:lang w:eastAsia="en-CA"/>
              </w:rPr>
              <w:t xml:space="preserve"> of BSA every 3 weeks</w:t>
            </w:r>
          </w:p>
        </w:tc>
        <w:tc>
          <w:tcPr>
            <w:tcW w:w="851" w:type="dxa"/>
            <w:noWrap/>
            <w:hideMark/>
          </w:tcPr>
          <w:p w14:paraId="51E1A7B6" w14:textId="77777777"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143</w:t>
            </w:r>
          </w:p>
        </w:tc>
        <w:tc>
          <w:tcPr>
            <w:tcW w:w="2126" w:type="dxa"/>
            <w:noWrap/>
            <w:hideMark/>
          </w:tcPr>
          <w:p w14:paraId="58EBD392" w14:textId="3EFE18E3" w:rsidR="00E5378E" w:rsidRPr="00DD7C96" w:rsidRDefault="00E5378E" w:rsidP="006B1D6D">
            <w:pPr>
              <w:jc w:val="center"/>
              <w:rPr>
                <w:rFonts w:eastAsia="Times New Roman"/>
                <w:bCs/>
                <w:iCs/>
                <w:sz w:val="20"/>
                <w:szCs w:val="20"/>
                <w:lang w:eastAsia="en-CA"/>
              </w:rPr>
            </w:pPr>
            <w:r w:rsidRPr="00DD7C96">
              <w:rPr>
                <w:rFonts w:eastAsia="Times New Roman"/>
                <w:bCs/>
                <w:iCs/>
                <w:sz w:val="20"/>
                <w:szCs w:val="20"/>
                <w:lang w:eastAsia="en-CA"/>
              </w:rPr>
              <w:t>3.0</w:t>
            </w:r>
          </w:p>
        </w:tc>
        <w:tc>
          <w:tcPr>
            <w:tcW w:w="1985" w:type="dxa"/>
            <w:noWrap/>
            <w:hideMark/>
          </w:tcPr>
          <w:p w14:paraId="6A207BCD" w14:textId="168F2C13" w:rsidR="00E5378E" w:rsidRPr="00DD7C96" w:rsidRDefault="00E5378E" w:rsidP="006B1D6D">
            <w:pPr>
              <w:rPr>
                <w:rFonts w:eastAsia="Times New Roman"/>
                <w:bCs/>
                <w:iCs/>
                <w:sz w:val="20"/>
                <w:szCs w:val="20"/>
                <w:lang w:eastAsia="en-CA"/>
              </w:rPr>
            </w:pPr>
            <w:proofErr w:type="spellStart"/>
            <w:r w:rsidRPr="00DD7C96">
              <w:rPr>
                <w:rFonts w:eastAsia="Times New Roman"/>
                <w:bCs/>
                <w:iCs/>
                <w:sz w:val="20"/>
                <w:szCs w:val="20"/>
                <w:lang w:eastAsia="en-CA"/>
              </w:rPr>
              <w:t>Vansteenkiste</w:t>
            </w:r>
            <w:proofErr w:type="spellEnd"/>
            <w:r w:rsidRPr="00DD7C96">
              <w:rPr>
                <w:rFonts w:eastAsia="Times New Roman"/>
                <w:bCs/>
                <w:iCs/>
                <w:sz w:val="20"/>
                <w:szCs w:val="20"/>
                <w:lang w:eastAsia="en-CA"/>
              </w:rPr>
              <w:t xml:space="preserve"> 2015</w:t>
            </w:r>
            <w:r w:rsidRPr="00DD7C96">
              <w:rPr>
                <w:rFonts w:eastAsia="Times New Roman"/>
                <w:bCs/>
                <w:iCs/>
                <w:sz w:val="20"/>
                <w:szCs w:val="20"/>
                <w:lang w:eastAsia="en-CA"/>
              </w:rPr>
              <w:fldChar w:fldCharType="begin" w:fldLock="1"/>
            </w:r>
            <w:r w:rsidR="00DC6C61" w:rsidRPr="00DD7C96">
              <w:rPr>
                <w:rFonts w:eastAsia="Times New Roman"/>
                <w:bCs/>
                <w:iCs/>
                <w:sz w:val="20"/>
                <w:szCs w:val="20"/>
                <w:lang w:eastAsia="en-CA"/>
              </w:rPr>
              <w:instrText>ADDIN CSL_CITATION {"citationItems":[{"id":"ITEM-1","itemData":{"DOI":"10.1016/S0959-8049(15)30072-1","ISSN":"09598049","abstract":"Background: Atezolizumab (atezo; MPDL3280A) has demonstrated promising efficacy (OS, PFS, ORR) in Ph I and II trials (Horn ASCO 2015; Spira ASCO 2015, POPLAR interim analysis), which correlated with PD-L1 expression on tumor cells (TC) and tumor-infiltrating immune cells (IC). Here, we present the POPLAR primary analysis of atezo vs docetaxel (doc) in NSCLC. Methods: NSCLC pts with disease progression following platinum therapy were stratified by PD-L1 IC status, histology and prior lines of therapy, and randomized 1:1 to receive 1200 mg IV q3w atezo or 75 mg/m2 IV q3w doc. Primary analysis as defined by the protocol are presented (data cutoff, May 8, 2015; minimum follow-up 13 mo). PD-L1 expression was prospectively and centrally evaluated by IHC using the SP142 antibody assay. Tumor samples were scored from lowest to highest as TC0, 1, 2 or 3 and IC0, 1, 2 or 3. The primary endpoint was OS. Results: 287 pts were randomized. 66% of pts had nonsquamous and 34% had squamous NSCLC. Improved survival with atezo vs doc was observed for the ITT population (OS HR 0.73, P=.04; Table). Consistent with the interim data, increased efficacy of atezo was observed with increasing PD-L1 expression on TC and/or IC (Table). Pts with the highest PD-L1 expression (TC3 or IC3) had the greatest improvement in OS with atezo vs doc (HR, 0.49) whereas OS was similar for atezo and doc in pts with the lowest PD-L1 expression (TC0 and IC0; HR, 1.04). The analysis of individual non-overlapping PD-L1 subgroups (1, 2, 3) on TC or IC showed independent contribution to the improvements in OS. In nonsquamous pts, OS HR was 0.69 (95% CI, 0.47-1.01) and was 0.80 (95% CI, 0.49-1.30) in squamous pts. 277 pts were safety evaluable. Despite longer median treatment for atezo (3.7 vs 2.1 mo for doc), fewer pts receiving atezo had treatment-related G3-4 AEs (11% vs 39% with doc). For atezo, the most common related G3 AEs were pneumonia and increased AST (2% each). There were no unexpected AEs. Conclusions: The primary analysis of POPLAR demonstrates improved survival with atezo monotherapy vs doc in unselected NSCLC. In addition, evaluation of PD-L1 expression on both TC and IC using the highly sensitive and specific SP142 IHC assay identified a biomarker-selected pt population that is most likely to benefit from atezo (NCT01903993). A randomized Ph III study (OAK) is ongoing. (Table Presented).","author":[{"dropping-particle":"","family":"Vansteenkiste","given":"J.","non-dropping-particle":"","parse-names":false,"suffix":""},{"dropping-particle":"","family":"Fehrenbacher","given":"L.","non-dropping-particle":"","parse-names":false,"suffix":""},{"dropping-particle":"","family":"Spira","given":"A.I.","non-dropping-particle":"","parse-names":false,"suffix":""},{"dropping-particle":"","family":"Mazieres","given":"J.","non-dropping-particle":"","parse-names":false,"suffix":""},{"dropping-particle":"","family":"Park","given":"K.","non-dropping-particle":"","parse-names":false,"suffix":""},{"dropping-particle":"","family":"Smith","given":"D.","non-dropping-particle":"","parse-names":false,"suffix":""},{"dropping-particle":"","family":"Artal-Cortes","given":"A.","non-dropping-particle":"","parse-names":false,"suffix":""},{"dropping-particle":"","family":"Lewanski","given":"C.","non-dropping-particle":"","parse-names":false,"suffix":""},{"dropping-particle":"","family":"Braiteh","given":"F.","non-dropping-particle":"","parse-names":false,"suffix":""},{"dropping-particle":"","family":"Yi","given":"J.","non-dropping-particle":"","parse-names":false,"suffix":""},{"dropping-particle":"","family":"He","given":"P.","non-dropping-particle":"","parse-names":false,"suffix":""},{"dropping-particle":"","family":"Kowanetz","given":"M.","non-dropping-particle":"","parse-names":false,"suffix":""},{"dropping-particle":"","family":"Waterkamp","given":"D.","non-dropping-particle":"","parse-names":false,"suffix":""},{"dropping-particle":"","family":"Ballinger","given":"M.","non-dropping-particle":"","parse-names":false,"suffix":""},{"dropping-particle":"","family":"Chen","given":"D.S.","non-dropping-particle":"","parse-names":false,"suffix":""},{"dropping-particle":"","family":"Sandler","given":"A.","non-dropping-particle":"","parse-names":false,"suffix":""},{"dropping-particle":"","family":"Rittmeyer","given":"A.","non-dropping-particle":"","parse-names":false,"suffix":""}],"container-title":"European journal of cancer","id":"ITEM-1","issued":{"date-parts":[["2015"]]},"page":"abstr 14LBA","title":"Atezolizumab monotherapy vs docetaxel in 2L/3L non-small cell lung cancer: Primary analyses for efficacy, safety and predictive biomarkers from a randomized phase II study (POPLAR)","type":"article-journal","volume":"51"},"uris":["http://www.mendeley.com/documents/?uuid=acf2b197-9cba-4c16-8ab6-1e58c984ce54"]}],"mendeley":{"formattedCitation":"&lt;sup&gt;11&lt;/sup&gt;","plainTextFormattedCitation":"11","previouslyFormattedCitation":"&lt;sup&gt;11&lt;/sup&gt;"},"properties":{"noteIndex":0},"schema":"https://github.com/citation-style-language/schema/raw/master/csl-citation.json"}</w:instrText>
            </w:r>
            <w:r w:rsidRPr="00DD7C96">
              <w:rPr>
                <w:rFonts w:eastAsia="Times New Roman"/>
                <w:bCs/>
                <w:iCs/>
                <w:sz w:val="20"/>
                <w:szCs w:val="20"/>
                <w:lang w:eastAsia="en-CA"/>
              </w:rPr>
              <w:fldChar w:fldCharType="separate"/>
            </w:r>
            <w:r w:rsidR="00DC6C61" w:rsidRPr="00DD7C96">
              <w:rPr>
                <w:rFonts w:eastAsia="Times New Roman"/>
                <w:bCs/>
                <w:iCs/>
                <w:noProof/>
                <w:sz w:val="20"/>
                <w:szCs w:val="20"/>
                <w:vertAlign w:val="superscript"/>
                <w:lang w:eastAsia="en-CA"/>
              </w:rPr>
              <w:t>11</w:t>
            </w:r>
            <w:r w:rsidRPr="00DD7C96">
              <w:rPr>
                <w:rFonts w:eastAsia="Times New Roman"/>
                <w:bCs/>
                <w:iCs/>
                <w:sz w:val="20"/>
                <w:szCs w:val="20"/>
                <w:lang w:eastAsia="en-CA"/>
              </w:rPr>
              <w:fldChar w:fldCharType="end"/>
            </w:r>
          </w:p>
        </w:tc>
      </w:tr>
    </w:tbl>
    <w:p w14:paraId="772B666C" w14:textId="06060FE1" w:rsidR="00AB197F" w:rsidRDefault="00AB197F" w:rsidP="00AB197F">
      <w:pPr>
        <w:spacing w:after="0"/>
        <w:jc w:val="both"/>
        <w:rPr>
          <w:bCs/>
          <w:iCs/>
          <w:sz w:val="16"/>
          <w:szCs w:val="16"/>
        </w:rPr>
      </w:pPr>
      <w:r>
        <w:rPr>
          <w:bCs/>
          <w:iCs/>
          <w:sz w:val="16"/>
          <w:szCs w:val="16"/>
        </w:rPr>
        <w:t>BSA = body surface area; N = number of patients; PFS = Progression-free survival</w:t>
      </w:r>
    </w:p>
    <w:p w14:paraId="12479D3E" w14:textId="77777777" w:rsidR="00E5378E" w:rsidRPr="00DD7C96" w:rsidRDefault="00E5378E" w:rsidP="00822BE5">
      <w:pPr>
        <w:spacing w:after="0"/>
        <w:jc w:val="both"/>
        <w:rPr>
          <w:bCs/>
          <w:iCs/>
        </w:rPr>
      </w:pPr>
    </w:p>
    <w:p w14:paraId="6C35EE3D" w14:textId="77777777" w:rsidR="00822BE5" w:rsidRPr="00DD7C96" w:rsidRDefault="00822BE5" w:rsidP="00822BE5">
      <w:pPr>
        <w:spacing w:after="0"/>
        <w:jc w:val="both"/>
        <w:rPr>
          <w:bCs/>
          <w:iCs/>
        </w:rPr>
      </w:pPr>
    </w:p>
    <w:p w14:paraId="26BF866F" w14:textId="77777777" w:rsidR="00386627" w:rsidRPr="00DD7C96" w:rsidRDefault="00386627">
      <w:pPr>
        <w:rPr>
          <w:bCs/>
          <w:iCs/>
        </w:rPr>
      </w:pPr>
      <w:r w:rsidRPr="00DD7C96">
        <w:rPr>
          <w:bCs/>
          <w:iCs/>
        </w:rPr>
        <w:br w:type="page"/>
      </w:r>
    </w:p>
    <w:p w14:paraId="6C017C77" w14:textId="68B688BB" w:rsidR="00822BE5" w:rsidRPr="00DD7C96" w:rsidRDefault="00822BE5" w:rsidP="00822BE5">
      <w:pPr>
        <w:spacing w:after="0"/>
        <w:jc w:val="both"/>
        <w:rPr>
          <w:bCs/>
          <w:iCs/>
        </w:rPr>
      </w:pPr>
      <w:r w:rsidRPr="00DD7C96">
        <w:rPr>
          <w:bCs/>
          <w:iCs/>
        </w:rPr>
        <w:lastRenderedPageBreak/>
        <w:t>Table 3</w:t>
      </w:r>
      <w:r w:rsidR="00BE78AF">
        <w:rPr>
          <w:bCs/>
          <w:iCs/>
        </w:rPr>
        <w:t>.</w:t>
      </w:r>
      <w:r w:rsidRPr="00DD7C96">
        <w:rPr>
          <w:bCs/>
          <w:iCs/>
        </w:rPr>
        <w:t xml:space="preserve"> List of scenario analyses</w:t>
      </w:r>
    </w:p>
    <w:p w14:paraId="04434EFB" w14:textId="3FB1D37C" w:rsidR="00822BE5" w:rsidRPr="00DD7C96" w:rsidRDefault="00822BE5" w:rsidP="002E0EFC">
      <w:pPr>
        <w:spacing w:after="0"/>
        <w:jc w:val="both"/>
        <w:rPr>
          <w:bCs/>
          <w:iCs/>
        </w:rPr>
      </w:pPr>
    </w:p>
    <w:p w14:paraId="240B14B0" w14:textId="58257934" w:rsidR="00822BE5" w:rsidRPr="00DD7C96" w:rsidRDefault="00822BE5" w:rsidP="002E0EFC">
      <w:pPr>
        <w:spacing w:after="0"/>
        <w:jc w:val="both"/>
        <w:rPr>
          <w:bCs/>
          <w:iCs/>
        </w:rPr>
      </w:pPr>
    </w:p>
    <w:tbl>
      <w:tblPr>
        <w:tblStyle w:val="ListTable2"/>
        <w:tblW w:w="9805" w:type="dxa"/>
        <w:tblLayout w:type="fixed"/>
        <w:tblLook w:val="06A0" w:firstRow="1" w:lastRow="0" w:firstColumn="1" w:lastColumn="0" w:noHBand="1" w:noVBand="1"/>
      </w:tblPr>
      <w:tblGrid>
        <w:gridCol w:w="4315"/>
        <w:gridCol w:w="2700"/>
        <w:gridCol w:w="2790"/>
      </w:tblGrid>
      <w:tr w:rsidR="00386627" w:rsidRPr="00DD7C96" w14:paraId="7E901D9F" w14:textId="77777777" w:rsidTr="0038662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315" w:type="dxa"/>
            <w:noWrap/>
            <w:hideMark/>
          </w:tcPr>
          <w:p w14:paraId="2B783275" w14:textId="77777777" w:rsidR="00386627" w:rsidRPr="00DD7C96" w:rsidRDefault="00386627" w:rsidP="006B1D6D">
            <w:pPr>
              <w:jc w:val="center"/>
              <w:rPr>
                <w:rFonts w:eastAsia="Times New Roman" w:cstheme="minorHAnsi"/>
                <w:b w:val="0"/>
                <w:iCs/>
                <w:lang w:eastAsia="en-CA"/>
              </w:rPr>
            </w:pPr>
            <w:r w:rsidRPr="00DD7C96">
              <w:rPr>
                <w:rFonts w:eastAsia="Times New Roman" w:cstheme="minorHAnsi"/>
                <w:b w:val="0"/>
                <w:iCs/>
                <w:lang w:eastAsia="en-CA"/>
              </w:rPr>
              <w:t>Scenario</w:t>
            </w:r>
          </w:p>
        </w:tc>
        <w:tc>
          <w:tcPr>
            <w:tcW w:w="2700" w:type="dxa"/>
            <w:noWrap/>
            <w:hideMark/>
          </w:tcPr>
          <w:p w14:paraId="3D346FCC" w14:textId="77777777" w:rsidR="00386627" w:rsidRPr="00DD7C96" w:rsidRDefault="00386627" w:rsidP="006B1D6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iCs/>
                <w:lang w:eastAsia="en-CA"/>
              </w:rPr>
            </w:pPr>
            <w:r w:rsidRPr="00DD7C96">
              <w:rPr>
                <w:rFonts w:eastAsia="Times New Roman" w:cstheme="minorHAnsi"/>
                <w:b w:val="0"/>
                <w:iCs/>
                <w:lang w:eastAsia="en-CA"/>
              </w:rPr>
              <w:t>Base-Case Setting</w:t>
            </w:r>
          </w:p>
        </w:tc>
        <w:tc>
          <w:tcPr>
            <w:tcW w:w="2790" w:type="dxa"/>
            <w:noWrap/>
            <w:hideMark/>
          </w:tcPr>
          <w:p w14:paraId="1FB1AEEB" w14:textId="77777777" w:rsidR="00386627" w:rsidRPr="00DD7C96" w:rsidRDefault="00386627" w:rsidP="006B1D6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iCs/>
                <w:lang w:eastAsia="en-CA"/>
              </w:rPr>
            </w:pPr>
            <w:r w:rsidRPr="00DD7C96">
              <w:rPr>
                <w:rFonts w:eastAsia="Times New Roman" w:cstheme="minorHAnsi"/>
                <w:b w:val="0"/>
                <w:iCs/>
                <w:lang w:eastAsia="en-CA"/>
              </w:rPr>
              <w:t>Scenario Setting</w:t>
            </w:r>
          </w:p>
        </w:tc>
      </w:tr>
      <w:tr w:rsidR="00386627" w:rsidRPr="00DD7C96" w14:paraId="16CAE4CB"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79CD5C10" w14:textId="77777777" w:rsidR="00386627" w:rsidRPr="00DD7C96" w:rsidRDefault="00386627" w:rsidP="00386627">
            <w:pPr>
              <w:pStyle w:val="ListParagraph"/>
              <w:numPr>
                <w:ilvl w:val="0"/>
                <w:numId w:val="24"/>
              </w:numPr>
              <w:spacing w:after="0"/>
              <w:rPr>
                <w:rFonts w:asciiTheme="minorHAnsi" w:eastAsia="Times New Roman" w:hAnsiTheme="minorHAnsi" w:cstheme="minorHAnsi"/>
                <w:b w:val="0"/>
                <w:iCs/>
                <w:sz w:val="20"/>
                <w:szCs w:val="20"/>
                <w:lang w:eastAsia="en-CA"/>
              </w:rPr>
            </w:pPr>
            <w:r w:rsidRPr="00DD7C96">
              <w:rPr>
                <w:rFonts w:asciiTheme="minorHAnsi" w:eastAsia="Times New Roman" w:hAnsiTheme="minorHAnsi" w:cstheme="minorHAnsi"/>
                <w:b w:val="0"/>
                <w:iCs/>
                <w:sz w:val="20"/>
                <w:szCs w:val="20"/>
                <w:lang w:eastAsia="en-CA"/>
              </w:rPr>
              <w:t>ALK+ population as proxy for ROS1+ NSCLC patients</w:t>
            </w:r>
          </w:p>
          <w:p w14:paraId="5651C307" w14:textId="34D1436E" w:rsidR="00386627" w:rsidRPr="00DD7C96" w:rsidRDefault="00386627" w:rsidP="006B1D6D">
            <w:pPr>
              <w:rPr>
                <w:rFonts w:eastAsia="Times New Roman" w:cstheme="minorHAnsi"/>
                <w:b w:val="0"/>
                <w:iCs/>
                <w:sz w:val="20"/>
                <w:szCs w:val="20"/>
                <w:lang w:eastAsia="en-CA"/>
              </w:rPr>
            </w:pPr>
            <w:r w:rsidRPr="00DD7C96">
              <w:rPr>
                <w:rFonts w:cstheme="minorHAnsi"/>
                <w:b w:val="0"/>
                <w:iCs/>
                <w:color w:val="000000"/>
                <w:sz w:val="20"/>
                <w:szCs w:val="20"/>
              </w:rPr>
              <w:t>This scenario will assume no difference between ALK+ and ROS</w:t>
            </w:r>
            <w:r w:rsidR="00AB197F">
              <w:rPr>
                <w:rFonts w:cstheme="minorHAnsi"/>
                <w:b w:val="0"/>
                <w:iCs/>
                <w:color w:val="000000"/>
                <w:sz w:val="20"/>
                <w:szCs w:val="20"/>
              </w:rPr>
              <w:t>1</w:t>
            </w:r>
            <w:r w:rsidRPr="00DD7C96">
              <w:rPr>
                <w:rFonts w:cstheme="minorHAnsi"/>
                <w:b w:val="0"/>
                <w:iCs/>
                <w:color w:val="000000"/>
                <w:sz w:val="20"/>
                <w:szCs w:val="20"/>
              </w:rPr>
              <w:t>+ NSCLC patients and will utilize data from the PROFILE 1014</w:t>
            </w:r>
            <w:r w:rsidR="00DC6C61" w:rsidRPr="00DD7C96">
              <w:rPr>
                <w:rFonts w:cstheme="minorHAnsi"/>
                <w:b w:val="0"/>
                <w:iCs/>
                <w:color w:val="000000"/>
                <w:sz w:val="20"/>
                <w:szCs w:val="20"/>
              </w:rPr>
              <w:t xml:space="preserve"> (Solomon 2014)</w:t>
            </w:r>
            <w:r w:rsidR="00DC6C61" w:rsidRPr="00DD7C96">
              <w:rPr>
                <w:rFonts w:cstheme="minorHAnsi"/>
                <w:iCs/>
                <w:color w:val="000000"/>
                <w:sz w:val="20"/>
                <w:szCs w:val="20"/>
              </w:rPr>
              <w:fldChar w:fldCharType="begin" w:fldLock="1"/>
            </w:r>
            <w:r w:rsidR="00DC6C61" w:rsidRPr="00DD7C96">
              <w:rPr>
                <w:rFonts w:cstheme="minorHAnsi"/>
                <w:b w:val="0"/>
                <w:iCs/>
                <w:color w:val="000000"/>
                <w:sz w:val="20"/>
                <w:szCs w:val="20"/>
              </w:rPr>
              <w:instrText>ADDIN CSL_CITATION {"citationItems":[{"id":"ITEM-1","itemData":{"DOI":"10.1056/NEJMoa1408440","ISBN":"0028-4793","ISSN":"0028-4793","PMID":"25470694","abstract":"BACKGROUND: The efficacy of the ALK inhibitor crizotinib as compared with standard chemotherapy as first-line treatment for advanced ALK-positive non-small-cell lung cancer (NSCLC) is unknown.\\n\\nMETHODS: We conducted an open-label, phase 3 trial comparing crizotinib with chemotherapy in 343 patients with advanced ALK-positive nonsquamous NSCLC who had received no previous systemic treatment for advanced disease. Patients were randomly assigned to receive oral crizotinib at a dose of 250 mg twice daily or to receive intravenous chemotherapy (pemetrexed, 500 mg per square meter of body-surface area, plus either cisplatin, 75 mg per square meter, or carboplatin, target area under the curve of 5 to 6 mg per milliliter per minute) every 3 weeks for up to six cycles. Crossover to crizotinib treatment after disease progression was permitted for patients receiving chemotherapy. The primary end point was progression-free survival as assessed by independent radiologic review.\\n\\nRESULTS: Progression-free survival was significantly longer with crizotinib than with chemotherapy (median, 10.9 months vs. 7.0 months; hazard ratio for progression or death with crizotinib, 0.45; 95% confidence interval [CI], 0.35 to 0.60; P&lt;0.001). Objective response rates were 74% and 45%, respectively (P&lt;0.001). Median overall survival was not reached in either group (hazard ratio for death with crizotinib, 0.82; 95% CI, 0.54 to 1.26; P=0.36); the probability of 1-year survival was 84% with crizotinib and 79% with chemotherapy. The most common adverse events with crizotinib were vision disorders, diarrhea, nausea, and edema, and the most common events with chemotherapy were nausea, fatigue, vomiting, and decreased appetite. As compared with chemotherapy, crizotinib was associated with greater reduction in lung cancer symptoms and greater improvement in quality of life.\\n\\nCONCLUSIONS: Crizotinib was superior to standard first-line pemetrexed-plus-platinum chemotherapy in patients with previously untreated advanced ALK-positive NSCLC. (Funded by Pfizer; PROFILE 1014 ClinicalTrials.gov number, NCT01154140.).","author":[{"dropping-particle":"","family":"Solomon","given":"Benjamin J.","non-dropping-particle":"","parse-names":false,"suffix":""},{"dropping-particle":"","family":"Mok","given":"Tony","non-dropping-particle":"","parse-names":false,"suffix":""},{"dropping-particle":"","family":"Kim","given":"Dong-Wan","non-dropping-particle":"","parse-names":false,"suffix":""},{"dropping-particle":"","family":"Wu","given":"Yi-Long","non-dropping-particle":"","parse-names":false,"suffix":""},{"dropping-particle":"","family":"Nakagawa","given":"Kazuhiko","non-dropping-particle":"","parse-names":false,"suffix":""},{"dropping-particle":"","family":"Mekhail","given":"Tarek","non-dropping-particle":"","parse-names":false,"suffix":""},{"dropping-particle":"","family":"Felip","given":"Enriqueta","non-dropping-particle":"","parse-names":false,"suffix":""},{"dropping-particle":"","family":"Cappuzzo","given":"Federico","non-dropping-particle":"","parse-names":false,"suffix":""},{"dropping-particle":"","family":"Paolini","given":"Jolanda","non-dropping-particle":"","parse-names":false,"suffix":""},{"dropping-particle":"","family":"Usari","given":"Tiziana","non-dropping-particle":"","parse-names":false,"suffix":""},{"dropping-particle":"","family":"Iyer","given":"Shrividya","non-dropping-particle":"","parse-names":false,"suffix":""},{"dropping-particle":"","family":"Reisman","given":"Arlene","non-dropping-particle":"","parse-names":false,"suffix":""},{"dropping-particle":"","family":"Wilner","given":"Keith D.","non-dropping-particle":"","parse-names":false,"suffix":""},{"dropping-particle":"","family":"Tursi","given":"Jennifer","non-dropping-particle":"","parse-names":false,"suffix":""},{"dropping-particle":"","family":"Blackhall","given":"Fiona","non-dropping-particle":"","parse-names":false,"suffix":""}],"container-title":"New England Journal of Medicine","id":"ITEM-1","issue":"23","issued":{"date-parts":[["2014"]]},"page":"2167-2177","title":"First-Line Crizotinib versus Chemotherapy in ALK -Positive Lung Cancer","type":"article-journal","volume":"371"},"uris":["http://www.mendeley.com/documents/?uuid=1fd00ff2-a046-48f0-910e-5c2f80a2e346"]}],"mendeley":{"formattedCitation":"&lt;sup&gt;12&lt;/sup&gt;","plainTextFormattedCitation":"12","previouslyFormattedCitation":"&lt;sup&gt;12&lt;/sup&gt;"},"properties":{"noteIndex":0},"schema":"https://github.com/citation-style-language/schema/raw/master/csl-citation.json"}</w:instrText>
            </w:r>
            <w:r w:rsidR="00DC6C61" w:rsidRPr="00DD7C96">
              <w:rPr>
                <w:rFonts w:cstheme="minorHAnsi"/>
                <w:iCs/>
                <w:color w:val="000000"/>
                <w:sz w:val="20"/>
                <w:szCs w:val="20"/>
              </w:rPr>
              <w:fldChar w:fldCharType="separate"/>
            </w:r>
            <w:r w:rsidR="00DC6C61" w:rsidRPr="00DD7C96">
              <w:rPr>
                <w:rFonts w:cstheme="minorHAnsi"/>
                <w:b w:val="0"/>
                <w:iCs/>
                <w:noProof/>
                <w:color w:val="000000"/>
                <w:sz w:val="20"/>
                <w:szCs w:val="20"/>
                <w:vertAlign w:val="superscript"/>
              </w:rPr>
              <w:t>12</w:t>
            </w:r>
            <w:r w:rsidR="00DC6C61" w:rsidRPr="00DD7C96">
              <w:rPr>
                <w:rFonts w:cstheme="minorHAnsi"/>
                <w:iCs/>
                <w:color w:val="000000"/>
                <w:sz w:val="20"/>
                <w:szCs w:val="20"/>
              </w:rPr>
              <w:fldChar w:fldCharType="end"/>
            </w:r>
            <w:r w:rsidRPr="00DD7C96">
              <w:rPr>
                <w:rFonts w:cstheme="minorHAnsi"/>
                <w:b w:val="0"/>
                <w:iCs/>
                <w:color w:val="000000"/>
                <w:sz w:val="20"/>
                <w:szCs w:val="20"/>
              </w:rPr>
              <w:t xml:space="preserve"> study for PFS inputs.</w:t>
            </w:r>
          </w:p>
        </w:tc>
        <w:tc>
          <w:tcPr>
            <w:tcW w:w="2700" w:type="dxa"/>
            <w:noWrap/>
          </w:tcPr>
          <w:p w14:paraId="19B3CF11"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xml:space="preserve">-PFS data: Combined Analysis </w:t>
            </w:r>
          </w:p>
          <w:p w14:paraId="221B8BC1"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-Log-logistic distribution</w:t>
            </w:r>
          </w:p>
        </w:tc>
        <w:tc>
          <w:tcPr>
            <w:tcW w:w="2790" w:type="dxa"/>
            <w:noWrap/>
          </w:tcPr>
          <w:p w14:paraId="15CD3705"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PFS data: PROFILE 1014</w:t>
            </w:r>
          </w:p>
          <w:p w14:paraId="7CC46E5D"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-Lognormal distribution</w:t>
            </w:r>
          </w:p>
        </w:tc>
      </w:tr>
      <w:tr w:rsidR="00386627" w:rsidRPr="00DD7C96" w14:paraId="09049148"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00B7EEBB" w14:textId="267A19BB" w:rsidR="00386627" w:rsidRPr="00DD7C96" w:rsidRDefault="00386627" w:rsidP="00BE0BB5">
            <w:pPr>
              <w:pStyle w:val="ListParagraph"/>
              <w:numPr>
                <w:ilvl w:val="0"/>
                <w:numId w:val="24"/>
              </w:numPr>
              <w:spacing w:after="0"/>
              <w:rPr>
                <w:rFonts w:cstheme="minorHAnsi"/>
                <w:b w:val="0"/>
                <w:iCs/>
                <w:color w:val="000000"/>
                <w:sz w:val="20"/>
                <w:szCs w:val="20"/>
              </w:rPr>
            </w:pPr>
            <w:r w:rsidRPr="00DD7C96">
              <w:rPr>
                <w:rFonts w:cstheme="minorHAnsi"/>
                <w:b w:val="0"/>
                <w:iCs/>
                <w:sz w:val="20"/>
                <w:szCs w:val="20"/>
              </w:rPr>
              <w:t>Second best fitting curves</w:t>
            </w:r>
          </w:p>
          <w:p w14:paraId="2B4E2B24" w14:textId="34853B15" w:rsidR="00386627" w:rsidRPr="00DD7C96" w:rsidRDefault="007E148F" w:rsidP="006B1D6D">
            <w:pPr>
              <w:rPr>
                <w:rFonts w:cstheme="minorHAnsi"/>
                <w:b w:val="0"/>
                <w:iCs/>
                <w:color w:val="000000"/>
                <w:sz w:val="20"/>
                <w:szCs w:val="20"/>
              </w:rPr>
            </w:pPr>
            <w:r w:rsidRPr="00DD7C96">
              <w:rPr>
                <w:rFonts w:cstheme="minorHAnsi"/>
                <w:b w:val="0"/>
                <w:iCs/>
                <w:color w:val="000000"/>
                <w:sz w:val="20"/>
                <w:szCs w:val="20"/>
              </w:rPr>
              <w:t>The</w:t>
            </w:r>
            <w:r w:rsidR="00386627" w:rsidRPr="00DD7C96">
              <w:rPr>
                <w:rFonts w:cstheme="minorHAnsi"/>
                <w:b w:val="0"/>
                <w:iCs/>
                <w:color w:val="000000"/>
                <w:sz w:val="20"/>
                <w:szCs w:val="20"/>
              </w:rPr>
              <w:t xml:space="preserve"> second-best fitting curves were selected in this scenario for PFS for the combined analysis in each arm.</w:t>
            </w:r>
          </w:p>
        </w:tc>
        <w:tc>
          <w:tcPr>
            <w:tcW w:w="2700" w:type="dxa"/>
            <w:noWrap/>
          </w:tcPr>
          <w:p w14:paraId="70D9C830"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-Parametric distribution for combined analysis for crizotinib and chemotherapy PFS: Log-logistic</w:t>
            </w:r>
          </w:p>
        </w:tc>
        <w:tc>
          <w:tcPr>
            <w:tcW w:w="2790" w:type="dxa"/>
            <w:noWrap/>
          </w:tcPr>
          <w:p w14:paraId="6DE1C30C"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-Parametric distribution for combined analysis for crizotinib and chemotherapy PFS: Generalized gamma</w:t>
            </w:r>
          </w:p>
        </w:tc>
      </w:tr>
      <w:tr w:rsidR="00386627" w:rsidRPr="00DD7C96" w14:paraId="5FCE3383"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0F463C9E" w14:textId="77777777"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sz w:val="20"/>
                <w:szCs w:val="20"/>
              </w:rPr>
              <w:t>Exponential curves</w:t>
            </w:r>
          </w:p>
          <w:p w14:paraId="14903B7D" w14:textId="2FFA6254" w:rsidR="00386627" w:rsidRPr="00DD7C96" w:rsidRDefault="00386627" w:rsidP="006B1D6D">
            <w:pPr>
              <w:rPr>
                <w:rFonts w:cstheme="minorHAnsi"/>
                <w:b w:val="0"/>
                <w:iCs/>
                <w:color w:val="000000"/>
                <w:sz w:val="20"/>
                <w:szCs w:val="20"/>
              </w:rPr>
            </w:pPr>
            <w:r w:rsidRPr="00DD7C96">
              <w:rPr>
                <w:rFonts w:cstheme="minorHAnsi"/>
                <w:b w:val="0"/>
                <w:iCs/>
                <w:color w:val="000000"/>
                <w:sz w:val="20"/>
                <w:szCs w:val="20"/>
              </w:rPr>
              <w:t>A constant risk was assumed based on an exponential distribution for</w:t>
            </w:r>
            <w:r w:rsidR="007E148F" w:rsidRPr="00DD7C96">
              <w:rPr>
                <w:rFonts w:cstheme="minorHAnsi"/>
                <w:b w:val="0"/>
                <w:iCs/>
                <w:color w:val="000000"/>
                <w:sz w:val="20"/>
                <w:szCs w:val="20"/>
              </w:rPr>
              <w:t xml:space="preserve"> PFS in</w:t>
            </w:r>
            <w:r w:rsidRPr="00DD7C96">
              <w:rPr>
                <w:rFonts w:cstheme="minorHAnsi"/>
                <w:b w:val="0"/>
                <w:iCs/>
                <w:color w:val="000000"/>
                <w:sz w:val="20"/>
                <w:szCs w:val="20"/>
              </w:rPr>
              <w:t xml:space="preserve"> this scenario for the combined analysis in each arm</w:t>
            </w:r>
            <w:r w:rsidR="007E148F" w:rsidRPr="00DD7C96">
              <w:rPr>
                <w:rFonts w:cstheme="minorHAnsi"/>
                <w:b w:val="0"/>
                <w:iCs/>
                <w:color w:val="000000"/>
                <w:sz w:val="20"/>
                <w:szCs w:val="20"/>
              </w:rPr>
              <w:t>, to align with prior models for crizotinib</w:t>
            </w:r>
            <w:r w:rsidRPr="00DD7C96">
              <w:rPr>
                <w:rFonts w:cstheme="minorHAnsi"/>
                <w:b w:val="0"/>
                <w:iCs/>
                <w:color w:val="000000"/>
                <w:sz w:val="20"/>
                <w:szCs w:val="20"/>
              </w:rPr>
              <w:t>.</w:t>
            </w:r>
          </w:p>
        </w:tc>
        <w:tc>
          <w:tcPr>
            <w:tcW w:w="2700" w:type="dxa"/>
            <w:noWrap/>
          </w:tcPr>
          <w:p w14:paraId="7C46E5D3"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-Parametric distribution for combined analysis for crizotinib and chemotherapy PFS: Log-logistic</w:t>
            </w:r>
          </w:p>
        </w:tc>
        <w:tc>
          <w:tcPr>
            <w:tcW w:w="2790" w:type="dxa"/>
            <w:noWrap/>
          </w:tcPr>
          <w:p w14:paraId="46EBD16E"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-Parametric distribution for combined analysis for crizotinib and chemotherapy PFS: Exponential</w:t>
            </w:r>
          </w:p>
        </w:tc>
      </w:tr>
      <w:tr w:rsidR="00386627" w:rsidRPr="00DD7C96" w14:paraId="477B1EE9"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049B1E88" w14:textId="77777777"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sz w:val="20"/>
                <w:szCs w:val="20"/>
              </w:rPr>
              <w:t xml:space="preserve">Individually fit curves </w:t>
            </w:r>
          </w:p>
          <w:p w14:paraId="4DEEF723" w14:textId="77777777" w:rsidR="00386627" w:rsidRPr="00DD7C96" w:rsidRDefault="00386627" w:rsidP="006B1D6D">
            <w:pPr>
              <w:rPr>
                <w:rFonts w:cstheme="minorHAnsi"/>
                <w:b w:val="0"/>
                <w:iCs/>
                <w:color w:val="000000"/>
                <w:sz w:val="20"/>
                <w:szCs w:val="20"/>
              </w:rPr>
            </w:pPr>
            <w:r w:rsidRPr="00DD7C96">
              <w:rPr>
                <w:rFonts w:cstheme="minorHAnsi"/>
                <w:b w:val="0"/>
                <w:iCs/>
                <w:color w:val="000000"/>
                <w:sz w:val="20"/>
                <w:szCs w:val="20"/>
              </w:rPr>
              <w:t>Rather than modelling using a common treatment parameter, the individually fitted survival curves were selected for each arm for this scenario.</w:t>
            </w:r>
          </w:p>
        </w:tc>
        <w:tc>
          <w:tcPr>
            <w:tcW w:w="2700" w:type="dxa"/>
            <w:noWrap/>
          </w:tcPr>
          <w:p w14:paraId="638BC83D"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PFS data for crizotinib and chemotherapy arm: Combined Analysis</w:t>
            </w:r>
          </w:p>
          <w:p w14:paraId="048DB3CA"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-Log-logistic distribution</w:t>
            </w:r>
          </w:p>
        </w:tc>
        <w:tc>
          <w:tcPr>
            <w:tcW w:w="2790" w:type="dxa"/>
            <w:noWrap/>
          </w:tcPr>
          <w:p w14:paraId="4B3707E0"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PFS data for crizotinib and chemotherapy arm: Individually fitted data</w:t>
            </w:r>
          </w:p>
          <w:p w14:paraId="1935FEC2"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-Log-logistic distribution</w:t>
            </w:r>
          </w:p>
        </w:tc>
      </w:tr>
      <w:tr w:rsidR="00386627" w:rsidRPr="00DD7C96" w14:paraId="6F82AA2B"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595DA098" w14:textId="4EE1BA83"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sz w:val="20"/>
                <w:szCs w:val="20"/>
              </w:rPr>
              <w:t xml:space="preserve">PROFILE 1001 </w:t>
            </w:r>
            <w:r w:rsidR="00DC6C61" w:rsidRPr="00DD7C96">
              <w:rPr>
                <w:rFonts w:asciiTheme="minorHAnsi" w:hAnsiTheme="minorHAnsi" w:cstheme="minorHAnsi"/>
                <w:b w:val="0"/>
                <w:iCs/>
                <w:sz w:val="20"/>
                <w:szCs w:val="20"/>
              </w:rPr>
              <w:t xml:space="preserve">(Shaw 2014) </w:t>
            </w:r>
            <w:r w:rsidRPr="00DD7C96">
              <w:rPr>
                <w:rFonts w:asciiTheme="minorHAnsi" w:hAnsiTheme="minorHAnsi" w:cstheme="minorHAnsi"/>
                <w:b w:val="0"/>
                <w:iCs/>
                <w:sz w:val="20"/>
                <w:szCs w:val="20"/>
              </w:rPr>
              <w:t xml:space="preserve">alone </w:t>
            </w:r>
          </w:p>
          <w:p w14:paraId="77E6B9C9" w14:textId="20AEC7FB" w:rsidR="00386627" w:rsidRPr="00DD7C96" w:rsidRDefault="00386627" w:rsidP="006B1D6D">
            <w:pPr>
              <w:rPr>
                <w:rFonts w:cstheme="minorHAnsi"/>
                <w:b w:val="0"/>
                <w:iCs/>
                <w:color w:val="000000"/>
                <w:sz w:val="20"/>
                <w:szCs w:val="20"/>
              </w:rPr>
            </w:pPr>
            <w:r w:rsidRPr="00DD7C96">
              <w:rPr>
                <w:rFonts w:cstheme="minorHAnsi"/>
                <w:b w:val="0"/>
                <w:iCs/>
                <w:color w:val="000000"/>
                <w:sz w:val="20"/>
                <w:szCs w:val="20"/>
              </w:rPr>
              <w:t>Rather than using the combined analysis, the individual</w:t>
            </w:r>
            <w:r w:rsidR="007E148F" w:rsidRPr="00DD7C96">
              <w:rPr>
                <w:rFonts w:cstheme="minorHAnsi"/>
                <w:b w:val="0"/>
                <w:iCs/>
                <w:color w:val="000000"/>
                <w:sz w:val="20"/>
                <w:szCs w:val="20"/>
              </w:rPr>
              <w:t>ly</w:t>
            </w:r>
            <w:r w:rsidRPr="00DD7C96">
              <w:rPr>
                <w:rFonts w:cstheme="minorHAnsi"/>
                <w:b w:val="0"/>
                <w:iCs/>
                <w:color w:val="000000"/>
                <w:sz w:val="20"/>
                <w:szCs w:val="20"/>
              </w:rPr>
              <w:t xml:space="preserve"> fitted curve from the PROFILE 1001</w:t>
            </w:r>
            <w:r w:rsidR="00DC6C61" w:rsidRPr="00DD7C96">
              <w:rPr>
                <w:rFonts w:cstheme="minorHAnsi"/>
                <w:b w:val="0"/>
                <w:iCs/>
                <w:color w:val="000000"/>
                <w:sz w:val="20"/>
                <w:szCs w:val="20"/>
              </w:rPr>
              <w:t xml:space="preserve"> (Shaw 2014)</w:t>
            </w:r>
            <w:r w:rsidR="00DC6C61" w:rsidRPr="00DD7C96">
              <w:rPr>
                <w:rFonts w:cstheme="minorHAnsi"/>
                <w:iCs/>
                <w:color w:val="000000"/>
                <w:sz w:val="20"/>
                <w:szCs w:val="20"/>
              </w:rPr>
              <w:fldChar w:fldCharType="begin" w:fldLock="1"/>
            </w:r>
            <w:r w:rsidR="00DC6C61" w:rsidRPr="00DD7C96">
              <w:rPr>
                <w:rFonts w:cstheme="minorHAnsi"/>
                <w:b w:val="0"/>
                <w:iCs/>
                <w:color w:val="000000"/>
                <w:sz w:val="20"/>
                <w:szCs w:val="20"/>
              </w:rPr>
              <w:instrText>ADDIN CSL_CITATION {"citationItems":[{"id":"ITEM-1","itemData":{"DOI":"10.1056/NEJMoa1406766","ISSN":"0028-4793","PMID":"25264305","abstract":"BackgroundChromosomal rearrangements of the gene encoding ROS1 proto-oncogene receptor tyrosine kinase (ROS1) define a distinct molecular subgroup of non–small-cell lung cancers (NSCLCs) that may be susceptible to therapeutic ROS1 kinase inhibition. Crizotinib is a small-molecule tyrosine kinase inhibitor of anaplastic lymphoma kinase (ALK), ROS1, and another proto-oncogene receptor tyrosine kinase, MET. MethodsWe enrolled 50 patients with advanced NSCLC who tested positive for ROS1 rearrangement in an expansion cohort of the phase 1 study of crizotinib. Patients were treated with crizotinib at the standard oral dose of 250 mg twice daily and assessed for safety, pharmacokinetics, and response to therapy. ROS1 fusion partners were identified with the use of next-generation sequencing or reverse-transcriptase–polymerase-chain-reaction assays. ResultsThe objective response rate was 72% (95% confidence interval [CI], 58 to 84), with 3 complete responses and 33 partial responses. The median duration of respon...","author":[{"dropping-particle":"","family":"Shaw","given":"Alice T.","non-dropping-particle":"","parse-names":false,"suffix":""},{"dropping-particle":"","family":"Ou","given":"Sai-Hong I.","non-dropping-particle":"","parse-names":false,"suffix":""},{"dropping-particle":"","family":"Bang","given":"Yung-Jue","non-dropping-particle":"","parse-names":false,"suffix":""},{"dropping-particle":"","family":"Camidge","given":"D. Ross","non-dropping-particle":"","parse-names":false,"suffix":""},{"dropping-particle":"","family":"Solomon","given":"Benjamin J.","non-dropping-particle":"","parse-names":false,"suffix":""},{"dropping-particle":"","family":"Salgia","given":"Ravi","non-dropping-particle":"","parse-names":false,"suffix":""},{"dropping-particle":"","family":"Riely","given":"Gregory J.","non-dropping-particle":"","parse-names":false,"suffix":""},{"dropping-particle":"","family":"Varella-Garcia","given":"Marileila","non-dropping-particle":"","parse-names":false,"suffix":""},{"dropping-particle":"","family":"Shapiro","given":"Geoffrey I.","non-dropping-particle":"","parse-names":false,"suffix":""},{"dropping-particle":"","family":"Costa","given":"Daniel B.","non-dropping-particle":"","parse-names":false,"suffix":""},{"dropping-particle":"","family":"Doebele","given":"Robert C.","non-dropping-particle":"","parse-names":false,"suffix":""},{"dropping-particle":"","family":"Le","given":"Long Phi","non-dropping-particle":"","parse-names":false,"suffix":""},{"dropping-particle":"","family":"Zheng","given":"Zongli","non-dropping-particle":"","parse-names":false,"suffix":""},{"dropping-particle":"","family":"Tan","given":"Weiwei","non-dropping-particle":"","parse-names":false,"suffix":""},{"dropping-particle":"","family":"Stephenson","given":"Patricia","non-dropping-particle":"","parse-names":false,"suffix":""},{"dropping-particle":"","family":"Shreeve","given":"S. Martin","non-dropping-particle":"","parse-names":false,"suffix":""},{"dropping-particle":"","family":"Tye","given":"Lesley M.","non-dropping-particle":"","parse-names":false,"suffix":""},{"dropping-particle":"","family":"Christensen","given":"James G.","non-dropping-particle":"","parse-names":false,"suffix":""},{"dropping-particle":"","family":"Wilner","given":"Keith D.","non-dropping-particle":"","parse-names":false,"suffix":""},{"dropping-particle":"","family":"Clark","given":"Jeffrey W.","non-dropping-particle":"","parse-names":false,"suffix":""},{"dropping-particle":"","family":"Iafrate","given":"A. John","non-dropping-particle":"","parse-names":false,"suffix":""}],"container-title":"New England Journal of Medicine","id":"ITEM-1","issue":"21","issued":{"date-parts":[["2014"]]},"page":"1963-1971","title":"Crizotinib in &lt;i&gt;ROS1&lt;/i&gt; -Rearranged Non–Small-Cell Lung Cancer","type":"article-journal","volume":"371"},"uris":["http://www.mendeley.com/documents/?uuid=296e9ace-ce86-4b05-9aee-b7002d6f56a8"]}],"mendeley":{"formattedCitation":"&lt;sup&gt;1&lt;/sup&gt;","plainTextFormattedCitation":"1","previouslyFormattedCitation":"&lt;sup&gt;1&lt;/sup&gt;"},"properties":{"noteIndex":0},"schema":"https://github.com/citation-style-language/schema/raw/master/csl-citation.json"}</w:instrText>
            </w:r>
            <w:r w:rsidR="00DC6C61" w:rsidRPr="00DD7C96">
              <w:rPr>
                <w:rFonts w:cstheme="minorHAnsi"/>
                <w:iCs/>
                <w:color w:val="000000"/>
                <w:sz w:val="20"/>
                <w:szCs w:val="20"/>
              </w:rPr>
              <w:fldChar w:fldCharType="separate"/>
            </w:r>
            <w:r w:rsidR="00DC6C61" w:rsidRPr="00DD7C96">
              <w:rPr>
                <w:rFonts w:cstheme="minorHAnsi"/>
                <w:b w:val="0"/>
                <w:iCs/>
                <w:noProof/>
                <w:color w:val="000000"/>
                <w:sz w:val="20"/>
                <w:szCs w:val="20"/>
                <w:vertAlign w:val="superscript"/>
              </w:rPr>
              <w:t>1</w:t>
            </w:r>
            <w:r w:rsidR="00DC6C61" w:rsidRPr="00DD7C96">
              <w:rPr>
                <w:rFonts w:cstheme="minorHAnsi"/>
                <w:iCs/>
                <w:color w:val="000000"/>
                <w:sz w:val="20"/>
                <w:szCs w:val="20"/>
              </w:rPr>
              <w:fldChar w:fldCharType="end"/>
            </w:r>
            <w:r w:rsidRPr="00DD7C96">
              <w:rPr>
                <w:rFonts w:cstheme="minorHAnsi"/>
                <w:b w:val="0"/>
                <w:iCs/>
                <w:color w:val="000000"/>
                <w:sz w:val="20"/>
                <w:szCs w:val="20"/>
              </w:rPr>
              <w:t xml:space="preserve"> study was used to inform efficacy inputs</w:t>
            </w:r>
            <w:r w:rsidR="007E148F" w:rsidRPr="00DD7C96">
              <w:rPr>
                <w:rFonts w:cstheme="minorHAnsi"/>
                <w:b w:val="0"/>
                <w:iCs/>
                <w:color w:val="000000"/>
                <w:sz w:val="20"/>
                <w:szCs w:val="20"/>
              </w:rPr>
              <w:t xml:space="preserve"> for the crizotinib arm</w:t>
            </w:r>
            <w:r w:rsidRPr="00DD7C96">
              <w:rPr>
                <w:rFonts w:cstheme="minorHAnsi"/>
                <w:b w:val="0"/>
                <w:iCs/>
                <w:color w:val="000000"/>
                <w:sz w:val="20"/>
                <w:szCs w:val="20"/>
              </w:rPr>
              <w:t xml:space="preserve">. </w:t>
            </w:r>
          </w:p>
        </w:tc>
        <w:tc>
          <w:tcPr>
            <w:tcW w:w="2700" w:type="dxa"/>
            <w:noWrap/>
          </w:tcPr>
          <w:p w14:paraId="69725AAA"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PFS data for crizotinib arm: Combined Analysis</w:t>
            </w:r>
          </w:p>
          <w:p w14:paraId="630D1554"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Log-logistic distribution</w:t>
            </w:r>
          </w:p>
        </w:tc>
        <w:tc>
          <w:tcPr>
            <w:tcW w:w="2790" w:type="dxa"/>
            <w:noWrap/>
          </w:tcPr>
          <w:p w14:paraId="07F83519"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xml:space="preserve">- PFS data for crizotinib arm: PROFILE 1001 </w:t>
            </w:r>
          </w:p>
          <w:p w14:paraId="5819C40A"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-Lognormal distribution</w:t>
            </w:r>
          </w:p>
        </w:tc>
      </w:tr>
      <w:tr w:rsidR="00386627" w:rsidRPr="00DD7C96" w14:paraId="3218ABB1"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02C71B1A" w14:textId="05628EB4"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sz w:val="20"/>
                <w:szCs w:val="20"/>
              </w:rPr>
              <w:t xml:space="preserve">EUROS1 </w:t>
            </w:r>
            <w:r w:rsidR="00DC6C61" w:rsidRPr="00DD7C96">
              <w:rPr>
                <w:rFonts w:asciiTheme="minorHAnsi" w:hAnsiTheme="minorHAnsi" w:cstheme="minorHAnsi"/>
                <w:b w:val="0"/>
                <w:iCs/>
                <w:sz w:val="20"/>
                <w:szCs w:val="20"/>
              </w:rPr>
              <w:t>(</w:t>
            </w:r>
            <w:proofErr w:type="spellStart"/>
            <w:r w:rsidR="00DC6C61" w:rsidRPr="00DD7C96">
              <w:rPr>
                <w:rFonts w:cs="Calibri"/>
                <w:b w:val="0"/>
                <w:iCs/>
                <w:noProof/>
                <w:szCs w:val="24"/>
              </w:rPr>
              <w:t>Mazières</w:t>
            </w:r>
            <w:proofErr w:type="spellEnd"/>
            <w:r w:rsidR="00DC6C61" w:rsidRPr="00DD7C96">
              <w:rPr>
                <w:rFonts w:cs="Calibri"/>
                <w:b w:val="0"/>
                <w:iCs/>
                <w:noProof/>
                <w:szCs w:val="24"/>
              </w:rPr>
              <w:t xml:space="preserve"> 2015)</w:t>
            </w:r>
            <w:r w:rsidR="00DC6C61" w:rsidRPr="00DD7C96">
              <w:rPr>
                <w:rFonts w:asciiTheme="minorHAnsi" w:hAnsiTheme="minorHAnsi" w:cstheme="minorHAnsi"/>
                <w:b w:val="0"/>
                <w:iCs/>
                <w:sz w:val="20"/>
                <w:szCs w:val="20"/>
              </w:rPr>
              <w:t xml:space="preserve"> </w:t>
            </w:r>
            <w:r w:rsidRPr="00DD7C96">
              <w:rPr>
                <w:rFonts w:asciiTheme="minorHAnsi" w:hAnsiTheme="minorHAnsi" w:cstheme="minorHAnsi"/>
                <w:b w:val="0"/>
                <w:iCs/>
                <w:sz w:val="20"/>
                <w:szCs w:val="20"/>
              </w:rPr>
              <w:t xml:space="preserve">data </w:t>
            </w:r>
          </w:p>
          <w:p w14:paraId="2B676214" w14:textId="3508FAF1" w:rsidR="00386627" w:rsidRPr="00DD7C96" w:rsidRDefault="00386627" w:rsidP="006B1D6D">
            <w:pPr>
              <w:rPr>
                <w:rFonts w:cstheme="minorHAnsi"/>
                <w:b w:val="0"/>
                <w:iCs/>
                <w:color w:val="000000"/>
                <w:sz w:val="20"/>
                <w:szCs w:val="20"/>
              </w:rPr>
            </w:pPr>
            <w:r w:rsidRPr="00DD7C96">
              <w:rPr>
                <w:rFonts w:cstheme="minorHAnsi"/>
                <w:b w:val="0"/>
                <w:iCs/>
                <w:color w:val="000000"/>
                <w:sz w:val="20"/>
                <w:szCs w:val="20"/>
              </w:rPr>
              <w:t>Rather than using the combined analysis for the crizotinib and chemotherapy arms, the individual</w:t>
            </w:r>
            <w:r w:rsidR="007E148F" w:rsidRPr="00DD7C96">
              <w:rPr>
                <w:rFonts w:cstheme="minorHAnsi"/>
                <w:b w:val="0"/>
                <w:iCs/>
                <w:color w:val="000000"/>
                <w:sz w:val="20"/>
                <w:szCs w:val="20"/>
              </w:rPr>
              <w:t>ly</w:t>
            </w:r>
            <w:r w:rsidRPr="00DD7C96">
              <w:rPr>
                <w:rFonts w:cstheme="minorHAnsi"/>
                <w:b w:val="0"/>
                <w:iCs/>
                <w:color w:val="000000"/>
                <w:sz w:val="20"/>
                <w:szCs w:val="20"/>
              </w:rPr>
              <w:t xml:space="preserve"> fitted curve</w:t>
            </w:r>
            <w:r w:rsidR="007E148F" w:rsidRPr="00DD7C96">
              <w:rPr>
                <w:rFonts w:cstheme="minorHAnsi"/>
                <w:b w:val="0"/>
                <w:iCs/>
                <w:color w:val="000000"/>
                <w:sz w:val="20"/>
                <w:szCs w:val="20"/>
              </w:rPr>
              <w:t>s</w:t>
            </w:r>
            <w:r w:rsidRPr="00DD7C96">
              <w:rPr>
                <w:rFonts w:cstheme="minorHAnsi"/>
                <w:b w:val="0"/>
                <w:iCs/>
                <w:color w:val="000000"/>
                <w:sz w:val="20"/>
                <w:szCs w:val="20"/>
              </w:rPr>
              <w:t xml:space="preserve"> from the EUROS1 study (</w:t>
            </w:r>
            <w:proofErr w:type="spellStart"/>
            <w:r w:rsidRPr="00DD7C96">
              <w:rPr>
                <w:rFonts w:ascii="Calibri" w:hAnsi="Calibri" w:cs="Calibri"/>
                <w:b w:val="0"/>
                <w:iCs/>
                <w:noProof/>
                <w:szCs w:val="24"/>
              </w:rPr>
              <w:t>Mazières</w:t>
            </w:r>
            <w:proofErr w:type="spellEnd"/>
            <w:r w:rsidRPr="00DD7C96">
              <w:rPr>
                <w:rFonts w:ascii="Calibri" w:hAnsi="Calibri" w:cs="Calibri"/>
                <w:b w:val="0"/>
                <w:iCs/>
                <w:noProof/>
                <w:szCs w:val="24"/>
              </w:rPr>
              <w:t xml:space="preserve"> 2015)</w:t>
            </w:r>
            <w:r w:rsidR="00DC6C61" w:rsidRPr="00DD7C96">
              <w:rPr>
                <w:rFonts w:ascii="Calibri" w:hAnsi="Calibri" w:cs="Calibri"/>
                <w:iCs/>
                <w:noProof/>
                <w:szCs w:val="24"/>
              </w:rPr>
              <w:fldChar w:fldCharType="begin" w:fldLock="1"/>
            </w:r>
            <w:r w:rsidR="00E62DBA" w:rsidRPr="00DD7C96">
              <w:rPr>
                <w:rFonts w:ascii="Calibri" w:hAnsi="Calibri" w:cs="Calibri"/>
                <w:b w:val="0"/>
                <w:iCs/>
                <w:noProof/>
                <w:szCs w:val="24"/>
              </w:rPr>
              <w:instrText>ADDIN CSL_CITATION {"citationItems":[{"id":"ITEM-1","itemData":{"DOI":"10.1200/JCO.2014.58.3302","ISBN":"1527-7755 (Electronic)\\r0732-183X (Linking)","ISSN":"15277755","PMID":"25667280","abstract":"PURPOSE: Approximately 1% of lung adenocarcinomas are driven by oncogenic ROS1 rearrangement. Crizotinib is a potent inhibitor of both ROS1 and ALK kinase domains.\\n\\nPATIENTS AND METHODS: In the absence of a prospective clinical trial in Europe, we conducted a retrospective study in centers that tested for ROS1 rearrangement. Eligible patients had stage IV lung adenocarcinoma, had ROS1 rearrangement according to fluorescent in situ hybridization, and had received crizotinib therapy through an individual off-label use. Best response was assessed locally using RECIST (version 1.1). All other data were analyzed centrally.\\n\\nRESULTS: We identified 32 eligible patients. One patient was excluded because next-generation sequencing was negative for ROS1 fusion. Median age was 50.5 years, 64.5% of patients were women, and 67.7% were never-smokers. Thirty patients were evaluable for progression-free survival (PFS), and 29 patients were evaluable for best response. We observed four patients with disease progression, two patients with stable disease, and objective response in 24 patients, including five complete responses (overall response rate, 80%; disease control rate, 86.7%). Median PFS was 9.1 months, and the PFS rate at 12 months was 44%. No unexpected adverse effects were observed. Twenty-six patients received pemetrexed (either alone or in combination with platinum and either before or after crizotinib) and had a response rate of 57.7% and a median PFS of 7.2 months.\\n\\nCONCLUSION: Crizotinib was highly active at treating lung cancer in patients with a ROS1 rearrangement, suggesting that patients with lung adenocarcinomas should be tested for ROS1. Prospective clinical trials with crizotinib and other ROS1 inhibitors are ongoing or planned.","author":[{"dropping-particle":"","family":"Mazières","given":"Julien","non-dropping-particle":"","parse-names":false,"suffix":""},{"dropping-particle":"","family":"Rouvière","given":"Damien","non-dropping-particle":"","parse-names":false,"suffix":""},{"dropping-particle":"","family":"D.Milia","given":"Julie","non-dropping-particle":"","parse-names":false,"suffix":""},{"dropping-particle":"","family":"Filleron","given":"Thomas","non-dropping-particle":"","parse-names":false,"suffix":""},{"dropping-particle":"","family":"Zalcman","given":"Gérard","non-dropping-particle":"","parse-names":false,"suffix":""},{"dropping-particle":"","family":"Biondani","given":"Pamela","non-dropping-particle":"","parse-names":false,"suffix":""},{"dropping-particle":"","family":"Besse","given":"Benjamin","non-dropping-particle":"","parse-names":false,"suffix":""},{"dropping-particle":"","family":"Barlesi","given":"Fabrice","non-dropping-particle":"","parse-names":false,"suffix":""},{"dropping-particle":"","family":"Léna","given":"Hervé","non-dropping-particle":"","parse-names":false,"suffix":""},{"dropping-particle":"","family":"Monnet","given":"Isabelle","non-dropping-particle":"","parse-names":false,"suffix":""},{"dropping-particle":"","family":"Thiberville","given":"Luc","non-dropping-particle":"","parse-names":false,"suffix":""},{"dropping-particle":"","family":"Pecuchet","given":"Nicolas","non-dropping-particle":"","parse-names":false,"suffix":""},{"dropping-particle":"","family":"Crinò","given":"Lucio","non-dropping-particle":"","parse-names":false,"suffix":""},{"dropping-particle":"","family":"Cappuzzo","given":"Federico","non-dropping-particle":"","parse-names":false,"suffix":""},{"dropping-particle":"","family":"Dingemans","given":"Anne Marie C.","non-dropping-particle":"","parse-names":false,"suffix":""},{"dropping-particle":"","family":"Smit Sacha I Rothschild","given":"Egbert F.","non-dropping-particle":"","parse-names":false,"suffix":""},{"dropping-particle":"","family":"Spirig","given":"Christian","non-dropping-particle":"","parse-names":false,"suffix":""},{"dropping-particle":"","family":"Diebold","given":"Joachim","non-dropping-particle":"","parse-names":false,"suffix":""},{"dropping-particle":"","family":"Gautschi","given":"Oliver","non-dropping-particle":"","parse-names":false,"suffix":""},{"dropping-particle":"","family":"Dziadziuszko","given":"Rafal","non-dropping-particle":"","parse-names":false,"suffix":""},{"dropping-particle":"","family":"Wolf","given":"Jurgen","non-dropping-particle":"","parse-names":false,"suffix":""},{"dropping-particle":"","family":"Thomas","given":"Roman K.","non-dropping-particle":"","parse-names":false,"suffix":""},{"dropping-particle":"","family":"Leenders","given":"Frauke","non-dropping-particle":"","parse-names":false,"suffix":""},{"dropping-particle":"","family":"Heuckmann","given":"Johannes M.","non-dropping-particle":"","parse-names":false,"suffix":""}],"container-title":"Journal of Clinical Oncology","id":"ITEM-1","issue":"9","issued":{"date-parts":[["2015"]]},"page":"992-999","title":"Crizotinib therapy for advanced lung adenocarcinoma and a ROS1 rearrangement: Results from the EUROS1 cohort","type":"article-journal","volume":"33"},"uris":["http://www.mendeley.com/documents/?uuid=9ee22ec9-4bf8-4b5e-afc0-58362aba5ba7"]}],"mendeley":{"formattedCitation":"&lt;sup&gt;3&lt;/sup&gt;","plainTextFormattedCitation":"3","previouslyFormattedCitation":"&lt;sup&gt;3&lt;/sup&gt;"},"properties":{"noteIndex":0},"schema":"https://github.com/citation-style-language/schema/raw/master/csl-citation.json"}</w:instrText>
            </w:r>
            <w:r w:rsidR="00DC6C61" w:rsidRPr="00DD7C96">
              <w:rPr>
                <w:rFonts w:ascii="Calibri" w:hAnsi="Calibri" w:cs="Calibri"/>
                <w:iCs/>
                <w:noProof/>
                <w:szCs w:val="24"/>
              </w:rPr>
              <w:fldChar w:fldCharType="separate"/>
            </w:r>
            <w:r w:rsidR="00DC6C61" w:rsidRPr="00DD7C96">
              <w:rPr>
                <w:rFonts w:ascii="Calibri" w:hAnsi="Calibri" w:cs="Calibri"/>
                <w:b w:val="0"/>
                <w:iCs/>
                <w:noProof/>
                <w:szCs w:val="24"/>
                <w:vertAlign w:val="superscript"/>
              </w:rPr>
              <w:t>3</w:t>
            </w:r>
            <w:r w:rsidR="00DC6C61" w:rsidRPr="00DD7C96">
              <w:rPr>
                <w:rFonts w:ascii="Calibri" w:hAnsi="Calibri" w:cs="Calibri"/>
                <w:iCs/>
                <w:noProof/>
                <w:szCs w:val="24"/>
              </w:rPr>
              <w:fldChar w:fldCharType="end"/>
            </w:r>
            <w:r w:rsidRPr="00DD7C96" w:rsidDel="00D81EF7">
              <w:rPr>
                <w:rFonts w:cstheme="minorHAnsi"/>
                <w:b w:val="0"/>
                <w:iCs/>
                <w:color w:val="000000"/>
                <w:sz w:val="20"/>
                <w:szCs w:val="20"/>
              </w:rPr>
              <w:t xml:space="preserve"> </w:t>
            </w:r>
            <w:r w:rsidRPr="00DD7C96">
              <w:rPr>
                <w:rFonts w:cstheme="minorHAnsi"/>
                <w:b w:val="0"/>
                <w:iCs/>
                <w:color w:val="000000"/>
                <w:sz w:val="20"/>
                <w:szCs w:val="20"/>
              </w:rPr>
              <w:t>w</w:t>
            </w:r>
            <w:r w:rsidR="007E148F" w:rsidRPr="00DD7C96">
              <w:rPr>
                <w:rFonts w:cstheme="minorHAnsi"/>
                <w:b w:val="0"/>
                <w:iCs/>
                <w:color w:val="000000"/>
                <w:sz w:val="20"/>
                <w:szCs w:val="20"/>
              </w:rPr>
              <w:t>ere</w:t>
            </w:r>
            <w:r w:rsidRPr="00DD7C96">
              <w:rPr>
                <w:rFonts w:cstheme="minorHAnsi"/>
                <w:b w:val="0"/>
                <w:iCs/>
                <w:color w:val="000000"/>
                <w:sz w:val="20"/>
                <w:szCs w:val="20"/>
              </w:rPr>
              <w:t xml:space="preserve"> used to inform efficacy inputs for each treatment arm.</w:t>
            </w:r>
          </w:p>
        </w:tc>
        <w:tc>
          <w:tcPr>
            <w:tcW w:w="2700" w:type="dxa"/>
            <w:noWrap/>
          </w:tcPr>
          <w:p w14:paraId="382A647F"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PFS data for crizotinib and chemotherapy arm: Combined Analysis</w:t>
            </w:r>
          </w:p>
        </w:tc>
        <w:tc>
          <w:tcPr>
            <w:tcW w:w="2790" w:type="dxa"/>
            <w:noWrap/>
          </w:tcPr>
          <w:p w14:paraId="4D5E34B4"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 xml:space="preserve">- PFS data for crizotinib and chemotherapy arm: EUROS1 </w:t>
            </w:r>
          </w:p>
        </w:tc>
      </w:tr>
      <w:tr w:rsidR="00386627" w:rsidRPr="00DD7C96" w14:paraId="77C7F58C"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777F7805" w14:textId="77777777"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color w:val="000000"/>
                <w:sz w:val="20"/>
                <w:szCs w:val="20"/>
              </w:rPr>
              <w:t>No PFS difference</w:t>
            </w:r>
          </w:p>
          <w:p w14:paraId="702C4609" w14:textId="10F5457E" w:rsidR="00386627" w:rsidRPr="00DD7C96" w:rsidRDefault="00386627" w:rsidP="006B1D6D">
            <w:pPr>
              <w:rPr>
                <w:rFonts w:eastAsia="Times New Roman" w:cstheme="minorHAnsi"/>
                <w:b w:val="0"/>
                <w:iCs/>
                <w:sz w:val="20"/>
                <w:szCs w:val="20"/>
                <w:lang w:eastAsia="en-CA"/>
              </w:rPr>
            </w:pPr>
            <w:r w:rsidRPr="00DD7C96">
              <w:rPr>
                <w:rFonts w:cstheme="minorHAnsi"/>
                <w:b w:val="0"/>
                <w:iCs/>
                <w:color w:val="000000"/>
                <w:sz w:val="20"/>
                <w:szCs w:val="20"/>
              </w:rPr>
              <w:t>This scenario assume</w:t>
            </w:r>
            <w:r w:rsidR="007E148F" w:rsidRPr="00DD7C96">
              <w:rPr>
                <w:rFonts w:cstheme="minorHAnsi"/>
                <w:b w:val="0"/>
                <w:iCs/>
                <w:color w:val="000000"/>
                <w:sz w:val="20"/>
                <w:szCs w:val="20"/>
              </w:rPr>
              <w:t>d</w:t>
            </w:r>
            <w:r w:rsidRPr="00DD7C96">
              <w:rPr>
                <w:rFonts w:cstheme="minorHAnsi"/>
                <w:b w:val="0"/>
                <w:iCs/>
                <w:color w:val="000000"/>
                <w:sz w:val="20"/>
                <w:szCs w:val="20"/>
              </w:rPr>
              <w:t xml:space="preserve"> no difference in PFS between the crizotinib and chemotherapy group. This is a conservative assumption as crizotinib appears to be associated with improved PFS outcomes. To achieve this the crizotinib PFS time-to-event values </w:t>
            </w:r>
            <w:r w:rsidR="007E148F" w:rsidRPr="00DD7C96">
              <w:rPr>
                <w:rFonts w:cstheme="minorHAnsi"/>
                <w:b w:val="0"/>
                <w:iCs/>
                <w:color w:val="000000"/>
                <w:sz w:val="20"/>
                <w:szCs w:val="20"/>
              </w:rPr>
              <w:t>were</w:t>
            </w:r>
            <w:r w:rsidRPr="00DD7C96">
              <w:rPr>
                <w:rFonts w:cstheme="minorHAnsi"/>
                <w:b w:val="0"/>
                <w:iCs/>
                <w:color w:val="000000"/>
                <w:sz w:val="20"/>
                <w:szCs w:val="20"/>
              </w:rPr>
              <w:t xml:space="preserve"> substituted into the chemotherapy arm. </w:t>
            </w:r>
          </w:p>
        </w:tc>
        <w:tc>
          <w:tcPr>
            <w:tcW w:w="2700" w:type="dxa"/>
            <w:noWrap/>
          </w:tcPr>
          <w:p w14:paraId="6D87A899"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-Source of PFS data (crizotinib arm): Combined chemotherapy analysis</w:t>
            </w:r>
          </w:p>
          <w:p w14:paraId="085BF3FD"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-PFS Maintenance HR: 0.62</w:t>
            </w:r>
          </w:p>
        </w:tc>
        <w:tc>
          <w:tcPr>
            <w:tcW w:w="2790" w:type="dxa"/>
            <w:noWrap/>
          </w:tcPr>
          <w:p w14:paraId="4AABF4DF"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-Source of PFS data (crizotinib arm): Combined chemotherapy analysis</w:t>
            </w:r>
          </w:p>
          <w:p w14:paraId="41DDDF2F"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-PFS Maintenance HR: 1.00</w:t>
            </w:r>
          </w:p>
        </w:tc>
      </w:tr>
      <w:tr w:rsidR="00386627" w:rsidRPr="00DD7C96" w14:paraId="1CA63E24"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4D23F624" w14:textId="77777777"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color w:val="000000"/>
                <w:sz w:val="20"/>
                <w:szCs w:val="20"/>
              </w:rPr>
              <w:t xml:space="preserve">No OS </w:t>
            </w:r>
            <w:proofErr w:type="gramStart"/>
            <w:r w:rsidRPr="00DD7C96">
              <w:rPr>
                <w:rFonts w:asciiTheme="minorHAnsi" w:hAnsiTheme="minorHAnsi" w:cstheme="minorHAnsi"/>
                <w:b w:val="0"/>
                <w:iCs/>
                <w:color w:val="000000"/>
                <w:sz w:val="20"/>
                <w:szCs w:val="20"/>
              </w:rPr>
              <w:t>difference</w:t>
            </w:r>
            <w:proofErr w:type="gramEnd"/>
          </w:p>
          <w:p w14:paraId="77A6ADB3" w14:textId="4D361100" w:rsidR="00386627" w:rsidRPr="00DD7C96" w:rsidRDefault="00386627" w:rsidP="006B1D6D">
            <w:pPr>
              <w:rPr>
                <w:rFonts w:eastAsia="Times New Roman" w:cstheme="minorHAnsi"/>
                <w:b w:val="0"/>
                <w:iCs/>
                <w:sz w:val="20"/>
                <w:szCs w:val="20"/>
                <w:lang w:eastAsia="en-CA"/>
              </w:rPr>
            </w:pPr>
            <w:r w:rsidRPr="00DD7C96">
              <w:rPr>
                <w:rFonts w:cstheme="minorHAnsi"/>
                <w:b w:val="0"/>
                <w:iCs/>
                <w:color w:val="000000"/>
                <w:sz w:val="20"/>
                <w:szCs w:val="20"/>
              </w:rPr>
              <w:t>To deal with uncertainty surrounding the clinical benefit of crizotinib, this scenario assume</w:t>
            </w:r>
            <w:r w:rsidR="007E148F" w:rsidRPr="00DD7C96">
              <w:rPr>
                <w:rFonts w:cstheme="minorHAnsi"/>
                <w:b w:val="0"/>
                <w:iCs/>
                <w:color w:val="000000"/>
                <w:sz w:val="20"/>
                <w:szCs w:val="20"/>
              </w:rPr>
              <w:t>d</w:t>
            </w:r>
            <w:r w:rsidRPr="00DD7C96">
              <w:rPr>
                <w:rFonts w:cstheme="minorHAnsi"/>
                <w:b w:val="0"/>
                <w:iCs/>
                <w:color w:val="000000"/>
                <w:sz w:val="20"/>
                <w:szCs w:val="20"/>
              </w:rPr>
              <w:t xml:space="preserve"> no difference in overall survival between the two groups. </w:t>
            </w:r>
          </w:p>
        </w:tc>
        <w:tc>
          <w:tcPr>
            <w:tcW w:w="2700" w:type="dxa"/>
            <w:noWrap/>
          </w:tcPr>
          <w:p w14:paraId="50629813"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-Median OS (palliation): 4.60</w:t>
            </w:r>
          </w:p>
        </w:tc>
        <w:tc>
          <w:tcPr>
            <w:tcW w:w="2790" w:type="dxa"/>
            <w:noWrap/>
          </w:tcPr>
          <w:p w14:paraId="7170E80B"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-(same PFS between two arms – see scenario 2)</w:t>
            </w:r>
          </w:p>
          <w:p w14:paraId="1382D15B"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 xml:space="preserve"> -Median OS on BSC care (chemo arm): 12.05 months</w:t>
            </w:r>
          </w:p>
        </w:tc>
      </w:tr>
      <w:tr w:rsidR="00386627" w:rsidRPr="00DD7C96" w14:paraId="503C45A6"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30AAB9C1" w14:textId="77777777"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color w:val="000000"/>
                <w:sz w:val="20"/>
                <w:szCs w:val="20"/>
              </w:rPr>
              <w:t xml:space="preserve">No added maintenance </w:t>
            </w:r>
            <w:proofErr w:type="gramStart"/>
            <w:r w:rsidRPr="00DD7C96">
              <w:rPr>
                <w:rFonts w:asciiTheme="minorHAnsi" w:hAnsiTheme="minorHAnsi" w:cstheme="minorHAnsi"/>
                <w:b w:val="0"/>
                <w:iCs/>
                <w:color w:val="000000"/>
                <w:sz w:val="20"/>
                <w:szCs w:val="20"/>
              </w:rPr>
              <w:t>benefit</w:t>
            </w:r>
            <w:proofErr w:type="gramEnd"/>
          </w:p>
          <w:p w14:paraId="20A4F051" w14:textId="77777777" w:rsidR="00386627" w:rsidRPr="00DD7C96" w:rsidRDefault="00386627" w:rsidP="006B1D6D">
            <w:pPr>
              <w:rPr>
                <w:rFonts w:eastAsia="Times New Roman" w:cstheme="minorHAnsi"/>
                <w:b w:val="0"/>
                <w:iCs/>
                <w:sz w:val="20"/>
                <w:szCs w:val="20"/>
                <w:lang w:eastAsia="en-CA"/>
              </w:rPr>
            </w:pPr>
            <w:r w:rsidRPr="00DD7C96">
              <w:rPr>
                <w:rFonts w:cstheme="minorHAnsi"/>
                <w:b w:val="0"/>
                <w:iCs/>
                <w:color w:val="000000"/>
                <w:sz w:val="20"/>
                <w:szCs w:val="20"/>
              </w:rPr>
              <w:t xml:space="preserve">Since uncertainty lies in whether the effect of maintenance is captured in the combined </w:t>
            </w:r>
            <w:r w:rsidRPr="00DD7C96">
              <w:rPr>
                <w:rFonts w:cstheme="minorHAnsi"/>
                <w:b w:val="0"/>
                <w:iCs/>
                <w:color w:val="000000"/>
                <w:sz w:val="20"/>
                <w:szCs w:val="20"/>
              </w:rPr>
              <w:lastRenderedPageBreak/>
              <w:t xml:space="preserve">chemotherapy data, this scenario has removed the maintenance hazard ratio from both arms. </w:t>
            </w:r>
          </w:p>
        </w:tc>
        <w:tc>
          <w:tcPr>
            <w:tcW w:w="2700" w:type="dxa"/>
            <w:noWrap/>
          </w:tcPr>
          <w:p w14:paraId="72A406AD"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lastRenderedPageBreak/>
              <w:t>-PFS maintenance (chemotherapy arm) &amp; progression maintenance (crizotinib arm) HR: 0.62</w:t>
            </w:r>
          </w:p>
        </w:tc>
        <w:tc>
          <w:tcPr>
            <w:tcW w:w="2790" w:type="dxa"/>
            <w:noWrap/>
          </w:tcPr>
          <w:p w14:paraId="19A0FDFB"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eastAsia="Times New Roman" w:cstheme="minorHAnsi"/>
                <w:bCs/>
                <w:iCs/>
                <w:sz w:val="20"/>
                <w:szCs w:val="20"/>
                <w:lang w:eastAsia="en-CA"/>
              </w:rPr>
              <w:t>-PFS maintenance (chemotherapy arm) &amp; progression maintenance (crizotinib arm) HR: 1.00</w:t>
            </w:r>
          </w:p>
        </w:tc>
      </w:tr>
      <w:tr w:rsidR="00386627" w:rsidRPr="00DD7C96" w14:paraId="393D4391"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3348C560" w14:textId="41E41C3D"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color w:val="000000"/>
                <w:sz w:val="20"/>
                <w:szCs w:val="20"/>
              </w:rPr>
              <w:t xml:space="preserve">Lower median PFS for </w:t>
            </w:r>
            <w:r w:rsidR="00DC6C61" w:rsidRPr="00DD7C96">
              <w:rPr>
                <w:rFonts w:asciiTheme="minorHAnsi" w:hAnsiTheme="minorHAnsi" w:cstheme="minorHAnsi"/>
                <w:b w:val="0"/>
                <w:iCs/>
                <w:color w:val="000000"/>
                <w:sz w:val="20"/>
                <w:szCs w:val="20"/>
              </w:rPr>
              <w:t>second-line</w:t>
            </w:r>
            <w:r w:rsidRPr="00DD7C96">
              <w:rPr>
                <w:rFonts w:asciiTheme="minorHAnsi" w:hAnsiTheme="minorHAnsi" w:cstheme="minorHAnsi"/>
                <w:b w:val="0"/>
                <w:iCs/>
                <w:color w:val="000000"/>
                <w:sz w:val="20"/>
                <w:szCs w:val="20"/>
              </w:rPr>
              <w:t xml:space="preserve"> treatment (crizotinib arm)</w:t>
            </w:r>
          </w:p>
          <w:p w14:paraId="09C8C613" w14:textId="4C63C4D3" w:rsidR="00386627" w:rsidRPr="00DD7C96" w:rsidRDefault="00386627" w:rsidP="006B1D6D">
            <w:pPr>
              <w:rPr>
                <w:rFonts w:eastAsia="Times New Roman" w:cstheme="minorHAnsi"/>
                <w:b w:val="0"/>
                <w:iCs/>
                <w:sz w:val="20"/>
                <w:szCs w:val="20"/>
                <w:lang w:eastAsia="en-CA"/>
              </w:rPr>
            </w:pPr>
            <w:r w:rsidRPr="00DD7C96">
              <w:rPr>
                <w:rFonts w:cstheme="minorHAnsi"/>
                <w:b w:val="0"/>
                <w:iCs/>
                <w:color w:val="000000"/>
                <w:sz w:val="20"/>
                <w:szCs w:val="20"/>
              </w:rPr>
              <w:t>Since there is uncertainty regarding the median PFS estimate for patients undergoing</w:t>
            </w:r>
            <w:r w:rsidR="005850F1">
              <w:rPr>
                <w:rFonts w:cstheme="minorHAnsi"/>
                <w:b w:val="0"/>
                <w:iCs/>
                <w:color w:val="000000"/>
                <w:sz w:val="20"/>
                <w:szCs w:val="20"/>
              </w:rPr>
              <w:t xml:space="preserve"> platinum-</w:t>
            </w:r>
            <w:r w:rsidRPr="00DD7C96">
              <w:rPr>
                <w:rFonts w:cstheme="minorHAnsi"/>
                <w:b w:val="0"/>
                <w:iCs/>
                <w:color w:val="000000"/>
                <w:sz w:val="20"/>
                <w:szCs w:val="20"/>
              </w:rPr>
              <w:t>doublet chemotherapy after progressing on crizotinib, a shorter median PFS value was used from Smit et al</w:t>
            </w:r>
            <w:r w:rsidR="007E148F" w:rsidRPr="00DD7C96">
              <w:rPr>
                <w:rFonts w:cstheme="minorHAnsi"/>
                <w:b w:val="0"/>
                <w:iCs/>
                <w:color w:val="000000"/>
                <w:sz w:val="20"/>
                <w:szCs w:val="20"/>
              </w:rPr>
              <w:t>.</w:t>
            </w:r>
            <w:r w:rsidRPr="00DD7C96">
              <w:rPr>
                <w:rFonts w:cstheme="minorHAnsi"/>
                <w:iCs/>
                <w:color w:val="000000"/>
                <w:sz w:val="20"/>
                <w:szCs w:val="20"/>
              </w:rPr>
              <w:fldChar w:fldCharType="begin" w:fldLock="1"/>
            </w:r>
            <w:r w:rsidR="00DC6C61" w:rsidRPr="00DD7C96">
              <w:rPr>
                <w:rFonts w:cstheme="minorHAnsi"/>
                <w:b w:val="0"/>
                <w:iCs/>
                <w:color w:val="000000"/>
                <w:sz w:val="20"/>
                <w:szCs w:val="20"/>
              </w:rPr>
              <w:instrText>ADDIN CSL_CITATION {"citationItems":[{"id":"ITEM-1","itemData":{"DOI":"10.1200/JCO.2008.19.1650","ISBN":"0732183X (ISSN)","ISSN":"0732183X","PMID":"19307503","abstract":"PURPOSE: We performed a randomized phase II trial comparing pemetrexed with pemetrexed plus carboplatin (PC) in patients experiencing relapse after platinum-based chemotherapy.\\n\\nPATIENTS AND METHODS: Main eligibility criteria were histologic or cytologic proof of advanced non-small-cell lung cancer (NSCLC), relapse more than 3 months after platinum-based chemotherapy, normal organ function, and Eastern Cooperative Oncology Group performance status 0 to 2. Patients were randomly assigned to pemetrexed 500 mg/m(2) (arm A) or carboplatin area under the curve 5 and pemetrexed 500 mg/m(2) (arm B), both administered intravenously every 3 weeks. Response assessment was performed every 6 weeks; toxicity assessment was performed every 3 weeks. Primary end point was time to progression (TTP); secondary end points were objective response rate (ORR), overall survival (OS), and toxicity. The study was designed to detect a 33% decrease in the hazard of disease progression in the combination arm (alpha = 0.05, two-sided log-rank test). Polymorphisms of thymidylate synthase, the reduced folate carrier, gamma-glutamyl hydrolase, and methylenetetrahydrofolate reductase (MTHF) were investigated in peripheral WBCs of consenting patients.\\n\\nRESULTS: Two hundred forty patients were enrolled. Median TTP was 2.8 months for arm A versus 4.2 months for arm B (hazard ratio, 0.67; 95% CI, 0.51 to 0.89; P = .005). Median OS was 7.6 months and 8.0 months and ORR was 4% and 9% for arms A and B, respectively. Subgroup analyses found adenocarcinoma to be associated with favorable outcome. Toxicities in both arms was negligible, with one potential toxic death in arm A. Patients with MTHFR C677T homozygous mutation had increased progression-free survival compared with patients with wild-type or heterozygous mutations (P = .03).\\n\\nCONCLUSION: PC as second-line treatment for relapsed NSCLC resulted in a significant 33% reduction of the hazard of disease progression as compared with pemetrexed alone.","author":[{"dropping-particle":"","family":"Smit","given":"Egbert F.","non-dropping-particle":"","parse-names":false,"suffix":""},{"dropping-particle":"","family":"Burgers","given":"Sjaak A.","non-dropping-particle":"","parse-names":false,"suffix":""},{"dropping-particle":"","family":"Biesma","given":"Bonne","non-dropping-particle":"","parse-names":false,"suffix":""},{"dropping-particle":"","family":"Smit","given":"Hans J.M.","non-dropping-particle":"","parse-names":false,"suffix":""},{"dropping-particle":"","family":"Eppinga","given":"Pier","non-dropping-particle":"","parse-names":false,"suffix":""},{"dropping-particle":"","family":"Dingemans","given":"Anne Marie C.","non-dropping-particle":"","parse-names":false,"suffix":""},{"dropping-particle":"","family":"Joerger","given":"Markus","non-dropping-particle":"","parse-names":false,"suffix":""},{"dropping-particle":"","family":"Schellens","given":"Jan H.","non-dropping-particle":"","parse-names":false,"suffix":""},{"dropping-particle":"","family":"Vincent","given":"Andrew","non-dropping-particle":"","parse-names":false,"suffix":""},{"dropping-particle":"","family":"Zandwijk","given":"Nico","non-dropping-particle":"Van","parse-names":false,"suffix":""},{"dropping-particle":"","family":"Groen","given":"Harry J.M.","non-dropping-particle":"","parse-names":false,"suffix":""}],"container-title":"Journal of Clinical Oncology","id":"ITEM-1","issue":"12","issued":{"date-parts":[["2009"]]},"page":"2038-2045","title":"Randomized phase II and pharmacogenetic study of pemetrexed compared with pemetrexed plus carboplatin in pretreated patients with advanced non-small-cell lung cancer","type":"article-journal","volume":"27"},"uris":["http://www.mendeley.com/documents/?uuid=2f93ce0a-a264-4fcb-8437-02871536d387"]}],"mendeley":{"formattedCitation":"&lt;sup&gt;13&lt;/sup&gt;","plainTextFormattedCitation":"13","previouslyFormattedCitation":"&lt;sup&gt;13&lt;/sup&gt;"},"properties":{"noteIndex":0},"schema":"https://github.com/citation-style-language/schema/raw/master/csl-citation.json"}</w:instrText>
            </w:r>
            <w:r w:rsidRPr="00DD7C96">
              <w:rPr>
                <w:rFonts w:cstheme="minorHAnsi"/>
                <w:iCs/>
                <w:color w:val="000000"/>
                <w:sz w:val="20"/>
                <w:szCs w:val="20"/>
              </w:rPr>
              <w:fldChar w:fldCharType="separate"/>
            </w:r>
            <w:r w:rsidR="00DC6C61" w:rsidRPr="00DD7C96">
              <w:rPr>
                <w:rFonts w:cstheme="minorHAnsi"/>
                <w:b w:val="0"/>
                <w:iCs/>
                <w:noProof/>
                <w:color w:val="000000"/>
                <w:sz w:val="20"/>
                <w:szCs w:val="20"/>
                <w:vertAlign w:val="superscript"/>
              </w:rPr>
              <w:t>13</w:t>
            </w:r>
            <w:r w:rsidRPr="00DD7C96">
              <w:rPr>
                <w:rFonts w:cstheme="minorHAnsi"/>
                <w:iCs/>
                <w:color w:val="000000"/>
                <w:sz w:val="20"/>
                <w:szCs w:val="20"/>
              </w:rPr>
              <w:fldChar w:fldCharType="end"/>
            </w:r>
          </w:p>
        </w:tc>
        <w:tc>
          <w:tcPr>
            <w:tcW w:w="2700" w:type="dxa"/>
            <w:noWrap/>
          </w:tcPr>
          <w:p w14:paraId="76638457" w14:textId="19C4DF73"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Median PFS for 2</w:t>
            </w:r>
            <w:r w:rsidR="00AB197F" w:rsidRPr="00AB197F">
              <w:rPr>
                <w:rFonts w:cstheme="minorHAnsi"/>
                <w:bCs/>
                <w:iCs/>
                <w:color w:val="000000"/>
                <w:sz w:val="20"/>
                <w:szCs w:val="20"/>
                <w:vertAlign w:val="superscript"/>
              </w:rPr>
              <w:t>nd</w:t>
            </w:r>
            <w:r w:rsidR="00AB197F">
              <w:rPr>
                <w:rFonts w:cstheme="minorHAnsi"/>
                <w:bCs/>
                <w:iCs/>
                <w:color w:val="000000"/>
                <w:sz w:val="20"/>
                <w:szCs w:val="20"/>
              </w:rPr>
              <w:t xml:space="preserve"> line</w:t>
            </w:r>
            <w:r w:rsidRPr="00DD7C96">
              <w:rPr>
                <w:rFonts w:cstheme="minorHAnsi"/>
                <w:bCs/>
                <w:iCs/>
                <w:color w:val="000000"/>
                <w:sz w:val="20"/>
                <w:szCs w:val="20"/>
              </w:rPr>
              <w:t xml:space="preserve"> treatment (</w:t>
            </w:r>
            <w:proofErr w:type="spellStart"/>
            <w:r w:rsidRPr="00DD7C96">
              <w:rPr>
                <w:rFonts w:cstheme="minorHAnsi"/>
                <w:bCs/>
                <w:iCs/>
                <w:color w:val="000000"/>
                <w:sz w:val="20"/>
                <w:szCs w:val="20"/>
              </w:rPr>
              <w:t>crizotinib</w:t>
            </w:r>
            <w:proofErr w:type="spellEnd"/>
            <w:r w:rsidRPr="00DD7C96">
              <w:rPr>
                <w:rFonts w:cstheme="minorHAnsi"/>
                <w:bCs/>
                <w:iCs/>
                <w:color w:val="000000"/>
                <w:sz w:val="20"/>
                <w:szCs w:val="20"/>
              </w:rPr>
              <w:t xml:space="preserve"> arm): 7.79 months </w:t>
            </w:r>
          </w:p>
        </w:tc>
        <w:tc>
          <w:tcPr>
            <w:tcW w:w="2790" w:type="dxa"/>
            <w:noWrap/>
          </w:tcPr>
          <w:p w14:paraId="62D8FBB5" w14:textId="5B8B5888"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Median PFS for 2</w:t>
            </w:r>
            <w:r w:rsidR="00AB197F" w:rsidRPr="00AB197F">
              <w:rPr>
                <w:rFonts w:cstheme="minorHAnsi"/>
                <w:bCs/>
                <w:iCs/>
                <w:color w:val="000000"/>
                <w:sz w:val="20"/>
                <w:szCs w:val="20"/>
                <w:vertAlign w:val="superscript"/>
              </w:rPr>
              <w:t>nd</w:t>
            </w:r>
            <w:r w:rsidR="00AB197F">
              <w:rPr>
                <w:rFonts w:cstheme="minorHAnsi"/>
                <w:bCs/>
                <w:iCs/>
                <w:color w:val="000000"/>
                <w:sz w:val="20"/>
                <w:szCs w:val="20"/>
              </w:rPr>
              <w:t xml:space="preserve"> line</w:t>
            </w:r>
            <w:r w:rsidRPr="00DD7C96">
              <w:rPr>
                <w:rFonts w:cstheme="minorHAnsi"/>
                <w:bCs/>
                <w:iCs/>
                <w:color w:val="000000"/>
                <w:sz w:val="20"/>
                <w:szCs w:val="20"/>
              </w:rPr>
              <w:t xml:space="preserve"> treatment (</w:t>
            </w:r>
            <w:proofErr w:type="spellStart"/>
            <w:r w:rsidRPr="00DD7C96">
              <w:rPr>
                <w:rFonts w:cstheme="minorHAnsi"/>
                <w:bCs/>
                <w:iCs/>
                <w:color w:val="000000"/>
                <w:sz w:val="20"/>
                <w:szCs w:val="20"/>
              </w:rPr>
              <w:t>crizotinib</w:t>
            </w:r>
            <w:proofErr w:type="spellEnd"/>
            <w:r w:rsidRPr="00DD7C96">
              <w:rPr>
                <w:rFonts w:cstheme="minorHAnsi"/>
                <w:bCs/>
                <w:iCs/>
                <w:color w:val="000000"/>
                <w:sz w:val="20"/>
                <w:szCs w:val="20"/>
              </w:rPr>
              <w:t xml:space="preserve"> arm): 4.20 months </w:t>
            </w:r>
          </w:p>
        </w:tc>
      </w:tr>
      <w:tr w:rsidR="00386627" w:rsidRPr="00DD7C96" w14:paraId="24276D90"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7E55F254" w14:textId="19E3BFD9"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color w:val="000000"/>
                <w:sz w:val="20"/>
                <w:szCs w:val="20"/>
              </w:rPr>
              <w:t xml:space="preserve"> </w:t>
            </w:r>
            <w:r w:rsidR="00E62DBA" w:rsidRPr="00DD7C96">
              <w:rPr>
                <w:rFonts w:asciiTheme="minorHAnsi" w:hAnsiTheme="minorHAnsi" w:cstheme="minorHAnsi"/>
                <w:b w:val="0"/>
                <w:iCs/>
                <w:color w:val="000000"/>
                <w:sz w:val="20"/>
                <w:szCs w:val="20"/>
              </w:rPr>
              <w:t>Equal first-line u</w:t>
            </w:r>
            <w:r w:rsidRPr="00DD7C96">
              <w:rPr>
                <w:rFonts w:asciiTheme="minorHAnsi" w:hAnsiTheme="minorHAnsi" w:cstheme="minorHAnsi"/>
                <w:b w:val="0"/>
                <w:iCs/>
                <w:color w:val="000000"/>
                <w:sz w:val="20"/>
                <w:szCs w:val="20"/>
              </w:rPr>
              <w:t>tility (crizotinib values)</w:t>
            </w:r>
          </w:p>
          <w:p w14:paraId="423E8CDB" w14:textId="4F995538" w:rsidR="00386627" w:rsidRPr="00DD7C96" w:rsidRDefault="00386627" w:rsidP="006B1D6D">
            <w:pPr>
              <w:rPr>
                <w:rFonts w:eastAsia="Times New Roman" w:cstheme="minorHAnsi"/>
                <w:b w:val="0"/>
                <w:iCs/>
                <w:sz w:val="20"/>
                <w:szCs w:val="20"/>
                <w:lang w:eastAsia="en-CA"/>
              </w:rPr>
            </w:pPr>
            <w:r w:rsidRPr="00DD7C96">
              <w:rPr>
                <w:rFonts w:cstheme="minorHAnsi"/>
                <w:b w:val="0"/>
                <w:iCs/>
                <w:color w:val="000000"/>
                <w:sz w:val="20"/>
                <w:szCs w:val="20"/>
              </w:rPr>
              <w:t xml:space="preserve">To test the uncertainty around utility value estimates, the utility value from </w:t>
            </w:r>
            <w:r w:rsidR="00E62DBA" w:rsidRPr="00DD7C96">
              <w:rPr>
                <w:rFonts w:cstheme="minorHAnsi"/>
                <w:b w:val="0"/>
                <w:iCs/>
                <w:color w:val="000000"/>
                <w:sz w:val="20"/>
                <w:szCs w:val="20"/>
              </w:rPr>
              <w:t xml:space="preserve">the </w:t>
            </w:r>
            <w:r w:rsidRPr="00DD7C96">
              <w:rPr>
                <w:rFonts w:cstheme="minorHAnsi"/>
                <w:b w:val="0"/>
                <w:iCs/>
                <w:color w:val="000000"/>
                <w:sz w:val="20"/>
                <w:szCs w:val="20"/>
              </w:rPr>
              <w:t>crizotinib arm was applied to both arms</w:t>
            </w:r>
            <w:r w:rsidR="00E62DBA" w:rsidRPr="00DD7C96">
              <w:rPr>
                <w:rFonts w:cstheme="minorHAnsi"/>
                <w:b w:val="0"/>
                <w:iCs/>
                <w:color w:val="000000"/>
                <w:sz w:val="20"/>
                <w:szCs w:val="20"/>
              </w:rPr>
              <w:t xml:space="preserve"> for first-line therapy</w:t>
            </w:r>
            <w:r w:rsidRPr="00DD7C96">
              <w:rPr>
                <w:rFonts w:cstheme="minorHAnsi"/>
                <w:b w:val="0"/>
                <w:iCs/>
                <w:color w:val="000000"/>
                <w:sz w:val="20"/>
                <w:szCs w:val="20"/>
              </w:rPr>
              <w:t xml:space="preserve">. </w:t>
            </w:r>
          </w:p>
        </w:tc>
        <w:tc>
          <w:tcPr>
            <w:tcW w:w="2700" w:type="dxa"/>
            <w:noWrap/>
          </w:tcPr>
          <w:p w14:paraId="74AE8FA3"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Crizotinib arm: 0.81</w:t>
            </w:r>
          </w:p>
          <w:p w14:paraId="67C95780"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Chemotherapy arm: 0.776</w:t>
            </w:r>
          </w:p>
        </w:tc>
        <w:tc>
          <w:tcPr>
            <w:tcW w:w="2790" w:type="dxa"/>
            <w:noWrap/>
          </w:tcPr>
          <w:p w14:paraId="322EA9EF"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Crizotinib arm: 0.81</w:t>
            </w:r>
          </w:p>
          <w:p w14:paraId="433A06E6"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Chemotherapy arm: 0.81</w:t>
            </w:r>
          </w:p>
        </w:tc>
      </w:tr>
      <w:tr w:rsidR="00386627" w:rsidRPr="00DD7C96" w14:paraId="186B07FF"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17A2F625" w14:textId="4100F4D9" w:rsidR="00386627" w:rsidRPr="00DD7C96" w:rsidRDefault="00E62DBA"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color w:val="000000"/>
                <w:sz w:val="20"/>
                <w:szCs w:val="20"/>
              </w:rPr>
              <w:t>Equal first-line u</w:t>
            </w:r>
            <w:r w:rsidR="00386627" w:rsidRPr="00DD7C96">
              <w:rPr>
                <w:rFonts w:asciiTheme="minorHAnsi" w:hAnsiTheme="minorHAnsi" w:cstheme="minorHAnsi"/>
                <w:b w:val="0"/>
                <w:iCs/>
                <w:color w:val="000000"/>
                <w:sz w:val="20"/>
                <w:szCs w:val="20"/>
              </w:rPr>
              <w:t>tility (chemotherapy values)</w:t>
            </w:r>
          </w:p>
          <w:p w14:paraId="61C9B232" w14:textId="54D6CD93" w:rsidR="00386627" w:rsidRPr="00DD7C96" w:rsidRDefault="00386627" w:rsidP="006B1D6D">
            <w:pPr>
              <w:rPr>
                <w:rFonts w:eastAsia="Times New Roman" w:cstheme="minorHAnsi"/>
                <w:b w:val="0"/>
                <w:iCs/>
                <w:sz w:val="20"/>
                <w:szCs w:val="20"/>
                <w:lang w:eastAsia="en-CA"/>
              </w:rPr>
            </w:pPr>
            <w:r w:rsidRPr="00DD7C96">
              <w:rPr>
                <w:rFonts w:cstheme="minorHAnsi"/>
                <w:b w:val="0"/>
                <w:iCs/>
                <w:color w:val="000000"/>
                <w:sz w:val="20"/>
                <w:szCs w:val="20"/>
              </w:rPr>
              <w:t xml:space="preserve"> To test the uncertainty around utility value estimates, the utility value from </w:t>
            </w:r>
            <w:r w:rsidR="00E62DBA" w:rsidRPr="00DD7C96">
              <w:rPr>
                <w:rFonts w:cstheme="minorHAnsi"/>
                <w:b w:val="0"/>
                <w:iCs/>
                <w:color w:val="000000"/>
                <w:sz w:val="20"/>
                <w:szCs w:val="20"/>
              </w:rPr>
              <w:t xml:space="preserve">the </w:t>
            </w:r>
            <w:r w:rsidRPr="00DD7C96">
              <w:rPr>
                <w:rFonts w:cstheme="minorHAnsi"/>
                <w:b w:val="0"/>
                <w:iCs/>
                <w:color w:val="000000"/>
                <w:sz w:val="20"/>
                <w:szCs w:val="20"/>
              </w:rPr>
              <w:t>chemotherapy arm was applied to both arms</w:t>
            </w:r>
            <w:r w:rsidR="00E62DBA" w:rsidRPr="00DD7C96">
              <w:rPr>
                <w:rFonts w:cstheme="minorHAnsi"/>
                <w:b w:val="0"/>
                <w:iCs/>
                <w:color w:val="000000"/>
                <w:sz w:val="20"/>
                <w:szCs w:val="20"/>
              </w:rPr>
              <w:t xml:space="preserve"> for first-line therapy</w:t>
            </w:r>
            <w:r w:rsidRPr="00DD7C96">
              <w:rPr>
                <w:rFonts w:cstheme="minorHAnsi"/>
                <w:b w:val="0"/>
                <w:iCs/>
                <w:color w:val="000000"/>
                <w:sz w:val="20"/>
                <w:szCs w:val="20"/>
              </w:rPr>
              <w:t>.</w:t>
            </w:r>
          </w:p>
        </w:tc>
        <w:tc>
          <w:tcPr>
            <w:tcW w:w="2700" w:type="dxa"/>
            <w:noWrap/>
          </w:tcPr>
          <w:p w14:paraId="11C61051"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Crizotinib arm: 0.81</w:t>
            </w:r>
          </w:p>
          <w:p w14:paraId="766CB955"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Chemotherapy arm: 0.776</w:t>
            </w:r>
          </w:p>
        </w:tc>
        <w:tc>
          <w:tcPr>
            <w:tcW w:w="2790" w:type="dxa"/>
            <w:noWrap/>
          </w:tcPr>
          <w:p w14:paraId="440EDDC7"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Crizotinib arm: 0.776</w:t>
            </w:r>
          </w:p>
          <w:p w14:paraId="095EE45A"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Chemotherapy arm: 0.776</w:t>
            </w:r>
          </w:p>
        </w:tc>
      </w:tr>
      <w:tr w:rsidR="00386627" w:rsidRPr="00DD7C96" w14:paraId="7DC955D6"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5D1E770F" w14:textId="14F5D1C3" w:rsidR="00386627" w:rsidRPr="00DD7C96" w:rsidRDefault="00386627" w:rsidP="00BE0BB5">
            <w:pPr>
              <w:pStyle w:val="ListParagraph"/>
              <w:numPr>
                <w:ilvl w:val="0"/>
                <w:numId w:val="24"/>
              </w:numPr>
              <w:spacing w:after="0"/>
              <w:rPr>
                <w:rFonts w:asciiTheme="minorHAnsi" w:hAnsiTheme="minorHAnsi" w:cstheme="minorHAnsi"/>
                <w:b w:val="0"/>
                <w:iCs/>
                <w:color w:val="000000"/>
                <w:sz w:val="20"/>
                <w:szCs w:val="20"/>
              </w:rPr>
            </w:pPr>
            <w:r w:rsidRPr="00DD7C96">
              <w:rPr>
                <w:rFonts w:asciiTheme="minorHAnsi" w:hAnsiTheme="minorHAnsi" w:cstheme="minorHAnsi"/>
                <w:b w:val="0"/>
                <w:iCs/>
                <w:color w:val="000000"/>
                <w:sz w:val="20"/>
                <w:szCs w:val="20"/>
              </w:rPr>
              <w:t xml:space="preserve"> </w:t>
            </w:r>
            <w:r w:rsidR="00E62DBA" w:rsidRPr="00DD7C96">
              <w:rPr>
                <w:rFonts w:asciiTheme="minorHAnsi" w:hAnsiTheme="minorHAnsi" w:cstheme="minorHAnsi"/>
                <w:b w:val="0"/>
                <w:iCs/>
                <w:color w:val="000000"/>
                <w:sz w:val="20"/>
                <w:szCs w:val="20"/>
              </w:rPr>
              <w:t>First-line u</w:t>
            </w:r>
            <w:r w:rsidRPr="00DD7C96">
              <w:rPr>
                <w:rFonts w:asciiTheme="minorHAnsi" w:hAnsiTheme="minorHAnsi" w:cstheme="minorHAnsi"/>
                <w:b w:val="0"/>
                <w:iCs/>
                <w:color w:val="000000"/>
                <w:sz w:val="20"/>
                <w:szCs w:val="20"/>
              </w:rPr>
              <w:t xml:space="preserve">tility </w:t>
            </w:r>
            <w:r w:rsidR="00E62DBA" w:rsidRPr="00DD7C96">
              <w:rPr>
                <w:rFonts w:asciiTheme="minorHAnsi" w:hAnsiTheme="minorHAnsi" w:cstheme="minorHAnsi"/>
                <w:b w:val="0"/>
                <w:iCs/>
                <w:color w:val="000000"/>
                <w:sz w:val="20"/>
                <w:szCs w:val="20"/>
              </w:rPr>
              <w:t>values from ALK+ population</w:t>
            </w:r>
          </w:p>
          <w:p w14:paraId="74CA67D7" w14:textId="71D2900D" w:rsidR="00386627" w:rsidRPr="00DD7C96" w:rsidRDefault="00386627" w:rsidP="006B1D6D">
            <w:pPr>
              <w:rPr>
                <w:rFonts w:eastAsia="Times New Roman" w:cstheme="minorHAnsi"/>
                <w:b w:val="0"/>
                <w:iCs/>
                <w:color w:val="000000"/>
                <w:sz w:val="20"/>
                <w:szCs w:val="20"/>
              </w:rPr>
            </w:pPr>
            <w:r w:rsidRPr="00DD7C96">
              <w:rPr>
                <w:rFonts w:cstheme="minorHAnsi"/>
                <w:b w:val="0"/>
                <w:iCs/>
                <w:color w:val="000000"/>
                <w:sz w:val="20"/>
                <w:szCs w:val="20"/>
              </w:rPr>
              <w:t>To test the impact of using utility values from the PROFILE 1014</w:t>
            </w:r>
            <w:r w:rsidR="00E62DBA" w:rsidRPr="00DD7C96">
              <w:rPr>
                <w:rFonts w:cstheme="minorHAnsi"/>
                <w:b w:val="0"/>
                <w:iCs/>
                <w:color w:val="000000"/>
                <w:sz w:val="20"/>
                <w:szCs w:val="20"/>
              </w:rPr>
              <w:t xml:space="preserve"> (Solomon 2014)</w:t>
            </w:r>
            <w:r w:rsidR="00E62DBA" w:rsidRPr="00DD7C96">
              <w:rPr>
                <w:rFonts w:cstheme="minorHAnsi"/>
                <w:iCs/>
                <w:color w:val="000000"/>
                <w:sz w:val="20"/>
                <w:szCs w:val="20"/>
              </w:rPr>
              <w:fldChar w:fldCharType="begin" w:fldLock="1"/>
            </w:r>
            <w:r w:rsidR="00E62DBA" w:rsidRPr="00DD7C96">
              <w:rPr>
                <w:rFonts w:cstheme="minorHAnsi"/>
                <w:b w:val="0"/>
                <w:iCs/>
                <w:color w:val="000000"/>
                <w:sz w:val="20"/>
                <w:szCs w:val="20"/>
              </w:rPr>
              <w:instrText>ADDIN CSL_CITATION {"citationItems":[{"id":"ITEM-1","itemData":{"DOI":"10.1056/NEJMoa1408440","ISBN":"0028-4793","ISSN":"0028-4793","PMID":"25470694","abstract":"BACKGROUND: The efficacy of the ALK inhibitor crizotinib as compared with standard chemotherapy as first-line treatment for advanced ALK-positive non-small-cell lung cancer (NSCLC) is unknown.\\n\\nMETHODS: We conducted an open-label, phase 3 trial comparing crizotinib with chemotherapy in 343 patients with advanced ALK-positive nonsquamous NSCLC who had received no previous systemic treatment for advanced disease. Patients were randomly assigned to receive oral crizotinib at a dose of 250 mg twice daily or to receive intravenous chemotherapy (pemetrexed, 500 mg per square meter of body-surface area, plus either cisplatin, 75 mg per square meter, or carboplatin, target area under the curve of 5 to 6 mg per milliliter per minute) every 3 weeks for up to six cycles. Crossover to crizotinib treatment after disease progression was permitted for patients receiving chemotherapy. The primary end point was progression-free survival as assessed by independent radiologic review.\\n\\nRESULTS: Progression-free survival was significantly longer with crizotinib than with chemotherapy (median, 10.9 months vs. 7.0 months; hazard ratio for progression or death with crizotinib, 0.45; 95% confidence interval [CI], 0.35 to 0.60; P&lt;0.001). Objective response rates were 74% and 45%, respectively (P&lt;0.001). Median overall survival was not reached in either group (hazard ratio for death with crizotinib, 0.82; 95% CI, 0.54 to 1.26; P=0.36); the probability of 1-year survival was 84% with crizotinib and 79% with chemotherapy. The most common adverse events with crizotinib were vision disorders, diarrhea, nausea, and edema, and the most common events with chemotherapy were nausea, fatigue, vomiting, and decreased appetite. As compared with chemotherapy, crizotinib was associated with greater reduction in lung cancer symptoms and greater improvement in quality of life.\\n\\nCONCLUSIONS: Crizotinib was superior to standard first-line pemetrexed-plus-platinum chemotherapy in patients with previously untreated advanced ALK-positive NSCLC. (Funded by Pfizer; PROFILE 1014 ClinicalTrials.gov number, NCT01154140.).","author":[{"dropping-particle":"","family":"Solomon","given":"Benjamin J.","non-dropping-particle":"","parse-names":false,"suffix":""},{"dropping-particle":"","family":"Mok","given":"Tony","non-dropping-particle":"","parse-names":false,"suffix":""},{"dropping-particle":"","family":"Kim","given":"Dong-Wan","non-dropping-particle":"","parse-names":false,"suffix":""},{"dropping-particle":"","family":"Wu","given":"Yi-Long","non-dropping-particle":"","parse-names":false,"suffix":""},{"dropping-particle":"","family":"Nakagawa","given":"Kazuhiko","non-dropping-particle":"","parse-names":false,"suffix":""},{"dropping-particle":"","family":"Mekhail","given":"Tarek","non-dropping-particle":"","parse-names":false,"suffix":""},{"dropping-particle":"","family":"Felip","given":"Enriqueta","non-dropping-particle":"","parse-names":false,"suffix":""},{"dropping-particle":"","family":"Cappuzzo","given":"Federico","non-dropping-particle":"","parse-names":false,"suffix":""},{"dropping-particle":"","family":"Paolini","given":"Jolanda","non-dropping-particle":"","parse-names":false,"suffix":""},{"dropping-particle":"","family":"Usari","given":"Tiziana","non-dropping-particle":"","parse-names":false,"suffix":""},{"dropping-particle":"","family":"Iyer","given":"Shrividya","non-dropping-particle":"","parse-names":false,"suffix":""},{"dropping-particle":"","family":"Reisman","given":"Arlene","non-dropping-particle":"","parse-names":false,"suffix":""},{"dropping-particle":"","family":"Wilner","given":"Keith D.","non-dropping-particle":"","parse-names":false,"suffix":""},{"dropping-particle":"","family":"Tursi","given":"Jennifer","non-dropping-particle":"","parse-names":false,"suffix":""},{"dropping-particle":"","family":"Blackhall","given":"Fiona","non-dropping-particle":"","parse-names":false,"suffix":""}],"container-title":"New England Journal of Medicine","id":"ITEM-1","issue":"23","issued":{"date-parts":[["2014"]]},"page":"2167-2177","title":"First-Line Crizotinib versus Chemotherapy in ALK -Positive Lung Cancer","type":"article-journal","volume":"371"},"uris":["http://www.mendeley.com/documents/?uuid=1fd00ff2-a046-48f0-910e-5c2f80a2e346"]}],"mendeley":{"formattedCitation":"&lt;sup&gt;12&lt;/sup&gt;","plainTextFormattedCitation":"12"},"properties":{"noteIndex":0},"schema":"https://github.com/citation-style-language/schema/raw/master/csl-citation.json"}</w:instrText>
            </w:r>
            <w:r w:rsidR="00E62DBA" w:rsidRPr="00DD7C96">
              <w:rPr>
                <w:rFonts w:cstheme="minorHAnsi"/>
                <w:iCs/>
                <w:color w:val="000000"/>
                <w:sz w:val="20"/>
                <w:szCs w:val="20"/>
              </w:rPr>
              <w:fldChar w:fldCharType="separate"/>
            </w:r>
            <w:r w:rsidR="00E62DBA" w:rsidRPr="00DD7C96">
              <w:rPr>
                <w:rFonts w:cstheme="minorHAnsi"/>
                <w:b w:val="0"/>
                <w:iCs/>
                <w:noProof/>
                <w:color w:val="000000"/>
                <w:sz w:val="20"/>
                <w:szCs w:val="20"/>
                <w:vertAlign w:val="superscript"/>
              </w:rPr>
              <w:t>12</w:t>
            </w:r>
            <w:r w:rsidR="00E62DBA" w:rsidRPr="00DD7C96">
              <w:rPr>
                <w:rFonts w:cstheme="minorHAnsi"/>
                <w:iCs/>
                <w:color w:val="000000"/>
                <w:sz w:val="20"/>
                <w:szCs w:val="20"/>
              </w:rPr>
              <w:fldChar w:fldCharType="end"/>
            </w:r>
            <w:r w:rsidRPr="00DD7C96">
              <w:rPr>
                <w:rFonts w:cstheme="minorHAnsi"/>
                <w:b w:val="0"/>
                <w:iCs/>
                <w:color w:val="000000"/>
                <w:sz w:val="20"/>
                <w:szCs w:val="20"/>
              </w:rPr>
              <w:t xml:space="preserve"> trial for the chemotherapy arm</w:t>
            </w:r>
            <w:r w:rsidR="007E148F" w:rsidRPr="00DD7C96">
              <w:rPr>
                <w:rFonts w:cstheme="minorHAnsi"/>
                <w:b w:val="0"/>
                <w:iCs/>
                <w:color w:val="000000"/>
                <w:sz w:val="20"/>
                <w:szCs w:val="20"/>
              </w:rPr>
              <w:t xml:space="preserve"> (larger difference in utilities between groups)</w:t>
            </w:r>
          </w:p>
        </w:tc>
        <w:tc>
          <w:tcPr>
            <w:tcW w:w="2700" w:type="dxa"/>
            <w:noWrap/>
          </w:tcPr>
          <w:p w14:paraId="13FEAACE"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Chemotherapy arm: 0.776</w:t>
            </w:r>
          </w:p>
        </w:tc>
        <w:tc>
          <w:tcPr>
            <w:tcW w:w="2790" w:type="dxa"/>
            <w:noWrap/>
          </w:tcPr>
          <w:p w14:paraId="2BEB5284" w14:textId="77777777" w:rsidR="00386627" w:rsidRPr="00DD7C96" w:rsidRDefault="00386627" w:rsidP="006B1D6D">
            <w:pPr>
              <w:cnfStyle w:val="000000000000" w:firstRow="0" w:lastRow="0" w:firstColumn="0" w:lastColumn="0" w:oddVBand="0" w:evenVBand="0" w:oddHBand="0" w:evenHBand="0" w:firstRowFirstColumn="0" w:firstRowLastColumn="0" w:lastRowFirstColumn="0" w:lastRowLastColumn="0"/>
              <w:rPr>
                <w:rFonts w:eastAsia="Times New Roman" w:cstheme="minorHAnsi"/>
                <w:bCs/>
                <w:iCs/>
                <w:sz w:val="20"/>
                <w:szCs w:val="20"/>
                <w:lang w:eastAsia="en-CA"/>
              </w:rPr>
            </w:pPr>
            <w:r w:rsidRPr="00DD7C96">
              <w:rPr>
                <w:rFonts w:cstheme="minorHAnsi"/>
                <w:bCs/>
                <w:iCs/>
                <w:color w:val="000000"/>
                <w:sz w:val="20"/>
                <w:szCs w:val="20"/>
              </w:rPr>
              <w:t>Chemotherapy arm: 0.719</w:t>
            </w:r>
          </w:p>
        </w:tc>
      </w:tr>
      <w:tr w:rsidR="00BE0BB5" w:rsidRPr="00DD7C96" w14:paraId="3C4A8675"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02AFE8B6" w14:textId="33ECAD62" w:rsidR="00BE0BB5" w:rsidRPr="00DD7C96" w:rsidRDefault="00BE0BB5" w:rsidP="00BE0BB5">
            <w:pPr>
              <w:pStyle w:val="ListParagraph"/>
              <w:numPr>
                <w:ilvl w:val="0"/>
                <w:numId w:val="24"/>
              </w:numPr>
              <w:spacing w:after="0"/>
              <w:rPr>
                <w:rFonts w:cstheme="minorHAnsi"/>
                <w:b w:val="0"/>
                <w:iCs/>
                <w:color w:val="000000"/>
                <w:sz w:val="20"/>
                <w:szCs w:val="20"/>
              </w:rPr>
            </w:pPr>
            <w:r w:rsidRPr="00DD7C96">
              <w:rPr>
                <w:rFonts w:cstheme="minorHAnsi"/>
                <w:b w:val="0"/>
                <w:iCs/>
                <w:color w:val="000000"/>
                <w:sz w:val="20"/>
                <w:szCs w:val="20"/>
              </w:rPr>
              <w:t>Proportion receiving active therapy in 3</w:t>
            </w:r>
            <w:r w:rsidRPr="00FA3284">
              <w:rPr>
                <w:rFonts w:cstheme="minorHAnsi"/>
                <w:b w:val="0"/>
                <w:iCs/>
                <w:color w:val="000000"/>
                <w:sz w:val="20"/>
                <w:szCs w:val="20"/>
                <w:vertAlign w:val="superscript"/>
              </w:rPr>
              <w:t>rd</w:t>
            </w:r>
            <w:r w:rsidR="00FA3284">
              <w:rPr>
                <w:rFonts w:cstheme="minorHAnsi"/>
                <w:b w:val="0"/>
                <w:iCs/>
                <w:color w:val="000000"/>
                <w:sz w:val="20"/>
                <w:szCs w:val="20"/>
              </w:rPr>
              <w:t xml:space="preserve"> </w:t>
            </w:r>
            <w:r w:rsidRPr="00DD7C96">
              <w:rPr>
                <w:rFonts w:cstheme="minorHAnsi"/>
                <w:b w:val="0"/>
                <w:iCs/>
                <w:color w:val="000000"/>
                <w:sz w:val="20"/>
                <w:szCs w:val="20"/>
              </w:rPr>
              <w:t>line - 30%</w:t>
            </w:r>
          </w:p>
          <w:p w14:paraId="41CDC89D" w14:textId="317F4185" w:rsidR="00BE0BB5" w:rsidRPr="00DD7C96" w:rsidRDefault="00BE0BB5" w:rsidP="00BE0BB5">
            <w:pPr>
              <w:rPr>
                <w:rFonts w:cstheme="minorHAnsi"/>
                <w:b w:val="0"/>
                <w:iCs/>
                <w:color w:val="000000"/>
                <w:sz w:val="20"/>
                <w:szCs w:val="20"/>
              </w:rPr>
            </w:pPr>
            <w:r w:rsidRPr="00DD7C96">
              <w:rPr>
                <w:rFonts w:cstheme="minorHAnsi"/>
                <w:b w:val="0"/>
                <w:iCs/>
                <w:color w:val="000000"/>
                <w:sz w:val="20"/>
                <w:szCs w:val="20"/>
              </w:rPr>
              <w:t>To test uncertainty surrounding proportion of patient’s receiving active therapy in 3</w:t>
            </w:r>
            <w:r w:rsidRPr="00DD7C96">
              <w:rPr>
                <w:rFonts w:cstheme="minorHAnsi"/>
                <w:b w:val="0"/>
                <w:iCs/>
                <w:color w:val="000000"/>
                <w:sz w:val="20"/>
                <w:szCs w:val="20"/>
                <w:vertAlign w:val="superscript"/>
              </w:rPr>
              <w:t>rd</w:t>
            </w:r>
            <w:r w:rsidRPr="00DD7C96">
              <w:rPr>
                <w:rFonts w:cstheme="minorHAnsi"/>
                <w:b w:val="0"/>
                <w:iCs/>
                <w:color w:val="000000"/>
                <w:sz w:val="20"/>
                <w:szCs w:val="20"/>
              </w:rPr>
              <w:t xml:space="preserve"> line, 30% was applied to the model.</w:t>
            </w:r>
          </w:p>
        </w:tc>
        <w:tc>
          <w:tcPr>
            <w:tcW w:w="2700" w:type="dxa"/>
            <w:noWrap/>
          </w:tcPr>
          <w:p w14:paraId="0E96140B" w14:textId="0891FC33" w:rsidR="00BE0BB5" w:rsidRPr="00DD7C96" w:rsidRDefault="00BE0BB5" w:rsidP="00BE0BB5">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Proportion of patients who progress after 2</w:t>
            </w:r>
            <w:r w:rsidRPr="00DD7C96">
              <w:rPr>
                <w:rFonts w:cstheme="minorHAnsi"/>
                <w:bCs/>
                <w:iCs/>
                <w:color w:val="000000"/>
                <w:sz w:val="20"/>
                <w:szCs w:val="20"/>
                <w:vertAlign w:val="superscript"/>
              </w:rPr>
              <w:t>nd</w:t>
            </w:r>
            <w:r w:rsidRPr="00DD7C96">
              <w:rPr>
                <w:rFonts w:cstheme="minorHAnsi"/>
                <w:bCs/>
                <w:iCs/>
                <w:color w:val="000000"/>
                <w:sz w:val="20"/>
                <w:szCs w:val="20"/>
              </w:rPr>
              <w:t xml:space="preserve"> line and receive active 3</w:t>
            </w:r>
            <w:r w:rsidRPr="00DD7C96">
              <w:rPr>
                <w:rFonts w:cstheme="minorHAnsi"/>
                <w:bCs/>
                <w:iCs/>
                <w:color w:val="000000"/>
                <w:sz w:val="20"/>
                <w:szCs w:val="20"/>
                <w:vertAlign w:val="superscript"/>
              </w:rPr>
              <w:t>rd</w:t>
            </w:r>
            <w:r w:rsidRPr="00DD7C96">
              <w:rPr>
                <w:rFonts w:cstheme="minorHAnsi"/>
                <w:bCs/>
                <w:iCs/>
                <w:color w:val="000000"/>
                <w:sz w:val="20"/>
                <w:szCs w:val="20"/>
              </w:rPr>
              <w:t xml:space="preserve"> line therapy: 60% </w:t>
            </w:r>
          </w:p>
        </w:tc>
        <w:tc>
          <w:tcPr>
            <w:tcW w:w="2790" w:type="dxa"/>
            <w:noWrap/>
          </w:tcPr>
          <w:p w14:paraId="2E8B97C7" w14:textId="44D262A5" w:rsidR="00BE0BB5" w:rsidRPr="00DD7C96" w:rsidRDefault="00BE0BB5" w:rsidP="00BE0BB5">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Proportion of patients who progress after 2</w:t>
            </w:r>
            <w:r w:rsidRPr="00DD7C96">
              <w:rPr>
                <w:rFonts w:cstheme="minorHAnsi"/>
                <w:bCs/>
                <w:iCs/>
                <w:color w:val="000000"/>
                <w:sz w:val="20"/>
                <w:szCs w:val="20"/>
                <w:vertAlign w:val="superscript"/>
              </w:rPr>
              <w:t>nd</w:t>
            </w:r>
            <w:r w:rsidRPr="00DD7C96">
              <w:rPr>
                <w:rFonts w:cstheme="minorHAnsi"/>
                <w:bCs/>
                <w:iCs/>
                <w:color w:val="000000"/>
                <w:sz w:val="20"/>
                <w:szCs w:val="20"/>
              </w:rPr>
              <w:t xml:space="preserve"> line and receive active 3</w:t>
            </w:r>
            <w:r w:rsidRPr="00DD7C96">
              <w:rPr>
                <w:rFonts w:cstheme="minorHAnsi"/>
                <w:bCs/>
                <w:iCs/>
                <w:color w:val="000000"/>
                <w:sz w:val="20"/>
                <w:szCs w:val="20"/>
                <w:vertAlign w:val="superscript"/>
              </w:rPr>
              <w:t>rd</w:t>
            </w:r>
            <w:r w:rsidRPr="00DD7C96">
              <w:rPr>
                <w:rFonts w:cstheme="minorHAnsi"/>
                <w:bCs/>
                <w:iCs/>
                <w:color w:val="000000"/>
                <w:sz w:val="20"/>
                <w:szCs w:val="20"/>
              </w:rPr>
              <w:t xml:space="preserve"> line therapy: 30%</w:t>
            </w:r>
          </w:p>
        </w:tc>
      </w:tr>
      <w:tr w:rsidR="00BE0BB5" w:rsidRPr="00DD7C96" w14:paraId="2B33ACE3" w14:textId="77777777" w:rsidTr="00386627">
        <w:trPr>
          <w:trHeight w:val="288"/>
        </w:trPr>
        <w:tc>
          <w:tcPr>
            <w:cnfStyle w:val="001000000000" w:firstRow="0" w:lastRow="0" w:firstColumn="1" w:lastColumn="0" w:oddVBand="0" w:evenVBand="0" w:oddHBand="0" w:evenHBand="0" w:firstRowFirstColumn="0" w:firstRowLastColumn="0" w:lastRowFirstColumn="0" w:lastRowLastColumn="0"/>
            <w:tcW w:w="4315" w:type="dxa"/>
            <w:noWrap/>
          </w:tcPr>
          <w:p w14:paraId="7A015605" w14:textId="41F33304" w:rsidR="00BE0BB5" w:rsidRPr="00DD7C96" w:rsidRDefault="00BE0BB5" w:rsidP="00BE0BB5">
            <w:pPr>
              <w:pStyle w:val="ListParagraph"/>
              <w:numPr>
                <w:ilvl w:val="0"/>
                <w:numId w:val="24"/>
              </w:numPr>
              <w:spacing w:after="0"/>
              <w:rPr>
                <w:rFonts w:cstheme="minorHAnsi"/>
                <w:b w:val="0"/>
                <w:iCs/>
                <w:color w:val="000000"/>
                <w:sz w:val="20"/>
                <w:szCs w:val="20"/>
              </w:rPr>
            </w:pPr>
            <w:r w:rsidRPr="00DD7C96">
              <w:rPr>
                <w:rFonts w:cstheme="minorHAnsi"/>
                <w:b w:val="0"/>
                <w:iCs/>
                <w:color w:val="000000"/>
                <w:sz w:val="20"/>
                <w:szCs w:val="20"/>
              </w:rPr>
              <w:t>Best estimate of 3 above parameters (10, 13, 1</w:t>
            </w:r>
            <w:r w:rsidR="00ED5C22" w:rsidRPr="00DD7C96">
              <w:rPr>
                <w:rFonts w:cstheme="minorHAnsi"/>
                <w:b w:val="0"/>
                <w:iCs/>
                <w:color w:val="000000"/>
                <w:sz w:val="20"/>
                <w:szCs w:val="20"/>
              </w:rPr>
              <w:t>4</w:t>
            </w:r>
            <w:r w:rsidRPr="00DD7C96">
              <w:rPr>
                <w:rFonts w:cstheme="minorHAnsi"/>
                <w:b w:val="0"/>
                <w:iCs/>
                <w:color w:val="000000"/>
                <w:sz w:val="20"/>
                <w:szCs w:val="20"/>
              </w:rPr>
              <w:t>) – pCODR Reanalysis</w:t>
            </w:r>
          </w:p>
          <w:p w14:paraId="3F23BD23" w14:textId="3CAC2A1A" w:rsidR="00BE0BB5" w:rsidRPr="00DD7C96" w:rsidRDefault="00BE0BB5" w:rsidP="00BE0BB5">
            <w:pPr>
              <w:rPr>
                <w:rFonts w:cstheme="minorHAnsi"/>
                <w:b w:val="0"/>
                <w:iCs/>
                <w:color w:val="000000"/>
                <w:sz w:val="20"/>
                <w:szCs w:val="20"/>
              </w:rPr>
            </w:pPr>
            <w:r w:rsidRPr="00DD7C96">
              <w:rPr>
                <w:rFonts w:cstheme="minorHAnsi"/>
                <w:b w:val="0"/>
                <w:iCs/>
                <w:color w:val="000000"/>
                <w:sz w:val="20"/>
                <w:szCs w:val="20"/>
              </w:rPr>
              <w:t>To test the impact of a combination of changes the above 3 parameter changes were applied together (2</w:t>
            </w:r>
            <w:r w:rsidRPr="00DD7C96">
              <w:rPr>
                <w:rFonts w:cstheme="minorHAnsi"/>
                <w:b w:val="0"/>
                <w:iCs/>
                <w:color w:val="000000"/>
                <w:sz w:val="20"/>
                <w:szCs w:val="20"/>
                <w:vertAlign w:val="superscript"/>
              </w:rPr>
              <w:t>nd</w:t>
            </w:r>
            <w:r w:rsidRPr="00DD7C96">
              <w:rPr>
                <w:rFonts w:cstheme="minorHAnsi"/>
                <w:b w:val="0"/>
                <w:iCs/>
                <w:color w:val="000000"/>
                <w:sz w:val="20"/>
                <w:szCs w:val="20"/>
              </w:rPr>
              <w:t xml:space="preserve"> line PFS of 4.2 months, </w:t>
            </w:r>
            <w:r w:rsidR="00ED5C22" w:rsidRPr="00DD7C96">
              <w:rPr>
                <w:rFonts w:cstheme="minorHAnsi"/>
                <w:b w:val="0"/>
                <w:iCs/>
                <w:color w:val="000000"/>
                <w:sz w:val="20"/>
                <w:szCs w:val="20"/>
              </w:rPr>
              <w:t>ALK+ PROFILE 1014 (</w:t>
            </w:r>
            <w:r w:rsidRPr="00DD7C96">
              <w:rPr>
                <w:rFonts w:cstheme="minorHAnsi"/>
                <w:b w:val="0"/>
                <w:iCs/>
                <w:color w:val="000000"/>
                <w:sz w:val="20"/>
                <w:szCs w:val="20"/>
              </w:rPr>
              <w:t>Solomon 2014</w:t>
            </w:r>
            <w:r w:rsidR="00ED5C22" w:rsidRPr="00DD7C96">
              <w:rPr>
                <w:rFonts w:cstheme="minorHAnsi"/>
                <w:b w:val="0"/>
                <w:iCs/>
                <w:color w:val="000000"/>
                <w:sz w:val="20"/>
                <w:szCs w:val="20"/>
              </w:rPr>
              <w:t>)</w:t>
            </w:r>
            <w:r w:rsidRPr="00DD7C96">
              <w:rPr>
                <w:rFonts w:cstheme="minorHAnsi"/>
                <w:b w:val="0"/>
                <w:iCs/>
                <w:color w:val="000000"/>
                <w:sz w:val="20"/>
                <w:szCs w:val="20"/>
              </w:rPr>
              <w:t xml:space="preserve"> utilities and 30% receiving active 3</w:t>
            </w:r>
            <w:r w:rsidRPr="00DD7C96">
              <w:rPr>
                <w:rFonts w:cstheme="minorHAnsi"/>
                <w:b w:val="0"/>
                <w:iCs/>
                <w:color w:val="000000"/>
                <w:sz w:val="20"/>
                <w:szCs w:val="20"/>
                <w:vertAlign w:val="superscript"/>
              </w:rPr>
              <w:t>rd</w:t>
            </w:r>
            <w:r w:rsidRPr="00DD7C96">
              <w:rPr>
                <w:rFonts w:cstheme="minorHAnsi"/>
                <w:b w:val="0"/>
                <w:iCs/>
                <w:color w:val="000000"/>
                <w:sz w:val="20"/>
                <w:szCs w:val="20"/>
              </w:rPr>
              <w:t xml:space="preserve"> line therapy </w:t>
            </w:r>
          </w:p>
        </w:tc>
        <w:tc>
          <w:tcPr>
            <w:tcW w:w="2700" w:type="dxa"/>
            <w:noWrap/>
          </w:tcPr>
          <w:p w14:paraId="50215B68" w14:textId="6222D7B7" w:rsidR="00BE0BB5" w:rsidRPr="00DD7C96" w:rsidRDefault="00BE0BB5" w:rsidP="00BE0BB5">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-Median PFS for 2L treatment (crizotinib arm): 7.79 months</w:t>
            </w:r>
          </w:p>
          <w:p w14:paraId="718F956B" w14:textId="6DBA6CEE" w:rsidR="00BE0BB5" w:rsidRPr="00DD7C96" w:rsidRDefault="00BE0BB5" w:rsidP="00BE0BB5">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-Chemotherapy arm: 0.776</w:t>
            </w:r>
          </w:p>
          <w:p w14:paraId="591BAD52" w14:textId="104CE8E7" w:rsidR="00BE0BB5" w:rsidRPr="00DD7C96" w:rsidRDefault="00BE0BB5" w:rsidP="00BE0BB5">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-Proportion of patients who progress after 2</w:t>
            </w:r>
            <w:r w:rsidRPr="00DD7C96">
              <w:rPr>
                <w:rFonts w:cstheme="minorHAnsi"/>
                <w:bCs/>
                <w:iCs/>
                <w:color w:val="000000"/>
                <w:sz w:val="20"/>
                <w:szCs w:val="20"/>
                <w:vertAlign w:val="superscript"/>
              </w:rPr>
              <w:t>nd</w:t>
            </w:r>
            <w:r w:rsidRPr="00DD7C96">
              <w:rPr>
                <w:rFonts w:cstheme="minorHAnsi"/>
                <w:bCs/>
                <w:iCs/>
                <w:color w:val="000000"/>
                <w:sz w:val="20"/>
                <w:szCs w:val="20"/>
              </w:rPr>
              <w:t xml:space="preserve"> line and receive active 3</w:t>
            </w:r>
            <w:r w:rsidRPr="00DD7C96">
              <w:rPr>
                <w:rFonts w:cstheme="minorHAnsi"/>
                <w:bCs/>
                <w:iCs/>
                <w:color w:val="000000"/>
                <w:sz w:val="20"/>
                <w:szCs w:val="20"/>
                <w:vertAlign w:val="superscript"/>
              </w:rPr>
              <w:t>rd</w:t>
            </w:r>
            <w:r w:rsidRPr="00DD7C96">
              <w:rPr>
                <w:rFonts w:cstheme="minorHAnsi"/>
                <w:bCs/>
                <w:iCs/>
                <w:color w:val="000000"/>
                <w:sz w:val="20"/>
                <w:szCs w:val="20"/>
              </w:rPr>
              <w:t xml:space="preserve"> line therapy: 60% </w:t>
            </w:r>
          </w:p>
        </w:tc>
        <w:tc>
          <w:tcPr>
            <w:tcW w:w="2790" w:type="dxa"/>
            <w:noWrap/>
          </w:tcPr>
          <w:p w14:paraId="361F70D2" w14:textId="23F1E46B" w:rsidR="00BE0BB5" w:rsidRPr="00DD7C96" w:rsidRDefault="00BE0BB5" w:rsidP="00BE0BB5">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-Median PFS for 2L treatment (crizotinib arm): 4.2 months</w:t>
            </w:r>
          </w:p>
          <w:p w14:paraId="749D7E04" w14:textId="11D49D63" w:rsidR="00BE0BB5" w:rsidRPr="00DD7C96" w:rsidRDefault="00BE0BB5" w:rsidP="00BE0BB5">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-Chemotherapy arm: 0.719</w:t>
            </w:r>
          </w:p>
          <w:p w14:paraId="15D5192E" w14:textId="24A6A181" w:rsidR="00BE0BB5" w:rsidRPr="00DD7C96" w:rsidRDefault="00BE0BB5" w:rsidP="00BE0BB5">
            <w:pPr>
              <w:cnfStyle w:val="000000000000" w:firstRow="0" w:lastRow="0" w:firstColumn="0" w:lastColumn="0" w:oddVBand="0" w:evenVBand="0" w:oddHBand="0" w:evenHBand="0" w:firstRowFirstColumn="0" w:firstRowLastColumn="0" w:lastRowFirstColumn="0" w:lastRowLastColumn="0"/>
              <w:rPr>
                <w:rFonts w:cstheme="minorHAnsi"/>
                <w:bCs/>
                <w:iCs/>
                <w:color w:val="000000"/>
                <w:sz w:val="20"/>
                <w:szCs w:val="20"/>
              </w:rPr>
            </w:pPr>
            <w:r w:rsidRPr="00DD7C96">
              <w:rPr>
                <w:rFonts w:cstheme="minorHAnsi"/>
                <w:bCs/>
                <w:iCs/>
                <w:color w:val="000000"/>
                <w:sz w:val="20"/>
                <w:szCs w:val="20"/>
              </w:rPr>
              <w:t>-Proportion of patients who progress after 2</w:t>
            </w:r>
            <w:r w:rsidRPr="00DD7C96">
              <w:rPr>
                <w:rFonts w:cstheme="minorHAnsi"/>
                <w:bCs/>
                <w:iCs/>
                <w:color w:val="000000"/>
                <w:sz w:val="20"/>
                <w:szCs w:val="20"/>
                <w:vertAlign w:val="superscript"/>
              </w:rPr>
              <w:t>nd</w:t>
            </w:r>
            <w:r w:rsidRPr="00DD7C96">
              <w:rPr>
                <w:rFonts w:cstheme="minorHAnsi"/>
                <w:bCs/>
                <w:iCs/>
                <w:color w:val="000000"/>
                <w:sz w:val="20"/>
                <w:szCs w:val="20"/>
              </w:rPr>
              <w:t xml:space="preserve"> line and receive active 3</w:t>
            </w:r>
            <w:r w:rsidRPr="00DD7C96">
              <w:rPr>
                <w:rFonts w:cstheme="minorHAnsi"/>
                <w:bCs/>
                <w:iCs/>
                <w:color w:val="000000"/>
                <w:sz w:val="20"/>
                <w:szCs w:val="20"/>
                <w:vertAlign w:val="superscript"/>
              </w:rPr>
              <w:t>rd</w:t>
            </w:r>
            <w:r w:rsidRPr="00DD7C96">
              <w:rPr>
                <w:rFonts w:cstheme="minorHAnsi"/>
                <w:bCs/>
                <w:iCs/>
                <w:color w:val="000000"/>
                <w:sz w:val="20"/>
                <w:szCs w:val="20"/>
              </w:rPr>
              <w:t xml:space="preserve"> line therapy: 30%</w:t>
            </w:r>
          </w:p>
        </w:tc>
      </w:tr>
    </w:tbl>
    <w:p w14:paraId="0AB5AFF1" w14:textId="0C172BBC" w:rsidR="00AB197F" w:rsidRDefault="00FA3284" w:rsidP="00AB197F">
      <w:pPr>
        <w:spacing w:after="0"/>
        <w:jc w:val="both"/>
        <w:rPr>
          <w:bCs/>
          <w:iCs/>
          <w:sz w:val="16"/>
          <w:szCs w:val="16"/>
        </w:rPr>
      </w:pPr>
      <w:r>
        <w:rPr>
          <w:bCs/>
          <w:iCs/>
          <w:sz w:val="16"/>
          <w:szCs w:val="16"/>
        </w:rPr>
        <w:t xml:space="preserve">HR = Hazard ratio; </w:t>
      </w:r>
      <w:proofErr w:type="spellStart"/>
      <w:r w:rsidRPr="00FA3284">
        <w:rPr>
          <w:bCs/>
          <w:iCs/>
          <w:sz w:val="16"/>
          <w:szCs w:val="16"/>
        </w:rPr>
        <w:t>pCODR</w:t>
      </w:r>
      <w:proofErr w:type="spellEnd"/>
      <w:r w:rsidRPr="00FA3284">
        <w:rPr>
          <w:bCs/>
          <w:iCs/>
          <w:sz w:val="16"/>
          <w:szCs w:val="16"/>
        </w:rPr>
        <w:t xml:space="preserve"> </w:t>
      </w:r>
      <w:r>
        <w:rPr>
          <w:bCs/>
          <w:iCs/>
          <w:sz w:val="16"/>
          <w:szCs w:val="16"/>
        </w:rPr>
        <w:t xml:space="preserve">= pan-Canadian Oncology Drug Review; </w:t>
      </w:r>
      <w:r w:rsidR="00AB197F">
        <w:rPr>
          <w:bCs/>
          <w:iCs/>
          <w:sz w:val="16"/>
          <w:szCs w:val="16"/>
        </w:rPr>
        <w:t>PFS = Progression-free survival; OS = Overall survival</w:t>
      </w:r>
    </w:p>
    <w:p w14:paraId="30A7B4DB" w14:textId="77777777" w:rsidR="00822BE5" w:rsidRPr="00DD7C96" w:rsidRDefault="00822BE5" w:rsidP="002E0EFC">
      <w:pPr>
        <w:spacing w:after="0"/>
        <w:jc w:val="both"/>
        <w:rPr>
          <w:bCs/>
          <w:iCs/>
        </w:rPr>
      </w:pPr>
    </w:p>
    <w:p w14:paraId="2D8DCC28" w14:textId="77777777" w:rsidR="00822BE5" w:rsidRPr="00DD7C96" w:rsidRDefault="00822BE5" w:rsidP="002E0EFC">
      <w:pPr>
        <w:spacing w:after="0"/>
        <w:jc w:val="both"/>
        <w:rPr>
          <w:bCs/>
          <w:iCs/>
        </w:rPr>
      </w:pPr>
    </w:p>
    <w:p w14:paraId="3991B863" w14:textId="77777777" w:rsidR="00822BE5" w:rsidRPr="00DD7C96" w:rsidRDefault="00822BE5" w:rsidP="002E0EFC">
      <w:pPr>
        <w:spacing w:after="0"/>
        <w:jc w:val="both"/>
        <w:rPr>
          <w:bCs/>
          <w:iCs/>
        </w:rPr>
      </w:pPr>
    </w:p>
    <w:p w14:paraId="20A4E8C3" w14:textId="77777777" w:rsidR="00386627" w:rsidRPr="00DD7C96" w:rsidRDefault="00386627">
      <w:pPr>
        <w:rPr>
          <w:bCs/>
          <w:iCs/>
        </w:rPr>
      </w:pPr>
      <w:r w:rsidRPr="00DD7C96">
        <w:rPr>
          <w:bCs/>
          <w:iCs/>
        </w:rPr>
        <w:br w:type="page"/>
      </w:r>
    </w:p>
    <w:bookmarkEnd w:id="0"/>
    <w:p w14:paraId="57D1C892" w14:textId="54D8A51B" w:rsidR="007C4028" w:rsidRDefault="007C4028" w:rsidP="007C4028">
      <w:pPr>
        <w:spacing w:after="0"/>
        <w:jc w:val="both"/>
        <w:rPr>
          <w:bCs/>
          <w:iCs/>
        </w:rPr>
      </w:pPr>
    </w:p>
    <w:tbl>
      <w:tblPr>
        <w:tblStyle w:val="TableGrid"/>
        <w:tblpPr w:leftFromText="180" w:rightFromText="180" w:vertAnchor="text" w:horzAnchor="margin" w:tblpY="82"/>
        <w:tblW w:w="0" w:type="auto"/>
        <w:tblLook w:val="04A0" w:firstRow="1" w:lastRow="0" w:firstColumn="1" w:lastColumn="0" w:noHBand="0" w:noVBand="1"/>
      </w:tblPr>
      <w:tblGrid>
        <w:gridCol w:w="9350"/>
      </w:tblGrid>
      <w:tr w:rsidR="003C4FCE" w14:paraId="011B0DC4" w14:textId="77777777" w:rsidTr="003C4FCE">
        <w:tc>
          <w:tcPr>
            <w:tcW w:w="9350" w:type="dxa"/>
          </w:tcPr>
          <w:p w14:paraId="4B0D8470" w14:textId="77777777" w:rsidR="003C4FCE" w:rsidRDefault="003C4FCE" w:rsidP="003C4FCE">
            <w:pPr>
              <w:rPr>
                <w:noProof/>
              </w:rPr>
            </w:pPr>
            <w:r>
              <w:rPr>
                <w:noProof/>
              </w:rPr>
              <w:t>Database: Pubmed</w:t>
            </w:r>
          </w:p>
          <w:p w14:paraId="609E909B" w14:textId="77777777" w:rsidR="003C4FCE" w:rsidRDefault="003C4FCE" w:rsidP="003C4FCE">
            <w:pPr>
              <w:rPr>
                <w:noProof/>
              </w:rPr>
            </w:pPr>
            <w:r>
              <w:rPr>
                <w:noProof/>
              </w:rPr>
              <w:t>Keywords: ROS1, lung cancer, prognosis</w:t>
            </w:r>
          </w:p>
          <w:p w14:paraId="3E1E74EF" w14:textId="77777777" w:rsidR="003C4FCE" w:rsidRDefault="003C4FCE" w:rsidP="003C4FCE">
            <w:pPr>
              <w:rPr>
                <w:noProof/>
              </w:rPr>
            </w:pPr>
            <w:r>
              <w:rPr>
                <w:noProof/>
              </w:rPr>
              <w:t>Search date: May 11, 2018</w:t>
            </w:r>
          </w:p>
          <w:p w14:paraId="3178BA82" w14:textId="77777777" w:rsidR="003C4FCE" w:rsidRDefault="003C4FCE" w:rsidP="003C4FCE">
            <w:pPr>
              <w:jc w:val="both"/>
              <w:rPr>
                <w:bCs/>
                <w:iCs/>
              </w:rPr>
            </w:pPr>
          </w:p>
          <w:p w14:paraId="7F97E437" w14:textId="77777777" w:rsidR="003C4FCE" w:rsidRDefault="003C4FCE" w:rsidP="003C4FCE">
            <w:pPr>
              <w:jc w:val="both"/>
              <w:rPr>
                <w:bCs/>
                <w:iCs/>
              </w:rPr>
            </w:pPr>
            <w:r>
              <w:rPr>
                <w:noProof/>
                <w:lang w:eastAsia="en-CA"/>
              </w:rPr>
              <w:drawing>
                <wp:inline distT="0" distB="0" distL="0" distR="0" wp14:anchorId="4C441479" wp14:editId="6AD24351">
                  <wp:extent cx="4662235" cy="27584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2355" b="42258"/>
                          <a:stretch/>
                        </pic:blipFill>
                        <pic:spPr bwMode="auto">
                          <a:xfrm>
                            <a:off x="0" y="0"/>
                            <a:ext cx="4671500" cy="276392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C4FCE" w14:paraId="4369C8AB" w14:textId="77777777" w:rsidTr="003C4FCE">
        <w:tc>
          <w:tcPr>
            <w:tcW w:w="9350" w:type="dxa"/>
          </w:tcPr>
          <w:p w14:paraId="05EBCE61" w14:textId="77777777" w:rsidR="003C4FCE" w:rsidRDefault="003C4FCE" w:rsidP="003C4FCE">
            <w:pPr>
              <w:rPr>
                <w:noProof/>
              </w:rPr>
            </w:pPr>
            <w:r>
              <w:rPr>
                <w:noProof/>
              </w:rPr>
              <w:t>Database: Pubmed</w:t>
            </w:r>
          </w:p>
          <w:p w14:paraId="42591F3A" w14:textId="77777777" w:rsidR="003C4FCE" w:rsidRDefault="003C4FCE" w:rsidP="003C4FCE">
            <w:pPr>
              <w:rPr>
                <w:noProof/>
              </w:rPr>
            </w:pPr>
            <w:r>
              <w:rPr>
                <w:noProof/>
              </w:rPr>
              <w:t>Keywords: ROS1, lung cancer, crizotinib</w:t>
            </w:r>
          </w:p>
          <w:p w14:paraId="700FDE0D" w14:textId="77777777" w:rsidR="003C4FCE" w:rsidRDefault="003C4FCE" w:rsidP="003C4FCE">
            <w:pPr>
              <w:rPr>
                <w:noProof/>
              </w:rPr>
            </w:pPr>
            <w:r>
              <w:rPr>
                <w:noProof/>
              </w:rPr>
              <w:t>Search date: May 14, 2018</w:t>
            </w:r>
          </w:p>
          <w:p w14:paraId="2BC67B7B" w14:textId="77777777" w:rsidR="003C4FCE" w:rsidRDefault="003C4FCE" w:rsidP="003C4FCE">
            <w:pPr>
              <w:jc w:val="both"/>
              <w:rPr>
                <w:bCs/>
                <w:iCs/>
              </w:rPr>
            </w:pPr>
          </w:p>
          <w:p w14:paraId="787BE0BE" w14:textId="77777777" w:rsidR="003C4FCE" w:rsidRDefault="003C4FCE" w:rsidP="003C4FCE">
            <w:pPr>
              <w:jc w:val="both"/>
              <w:rPr>
                <w:bCs/>
                <w:iCs/>
              </w:rPr>
            </w:pPr>
            <w:r>
              <w:rPr>
                <w:noProof/>
                <w:lang w:eastAsia="en-CA"/>
              </w:rPr>
              <w:drawing>
                <wp:inline distT="0" distB="0" distL="0" distR="0" wp14:anchorId="1F6D60B5" wp14:editId="4223B0FB">
                  <wp:extent cx="4518660" cy="2819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3557" b="33193"/>
                          <a:stretch/>
                        </pic:blipFill>
                        <pic:spPr bwMode="auto">
                          <a:xfrm>
                            <a:off x="0" y="0"/>
                            <a:ext cx="4525084" cy="282340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252DFC9" w14:textId="5772FF21" w:rsidR="003C4FCE" w:rsidRPr="00DD7C96" w:rsidRDefault="007C4028" w:rsidP="007C4028">
      <w:pPr>
        <w:spacing w:after="0"/>
        <w:jc w:val="both"/>
        <w:rPr>
          <w:bCs/>
          <w:iCs/>
        </w:rPr>
      </w:pPr>
      <w:r w:rsidRPr="00DD7C96">
        <w:rPr>
          <w:bCs/>
          <w:iCs/>
        </w:rPr>
        <w:t>Fig</w:t>
      </w:r>
      <w:r w:rsidR="00BE78AF">
        <w:rPr>
          <w:bCs/>
          <w:iCs/>
        </w:rPr>
        <w:t>.</w:t>
      </w:r>
      <w:r w:rsidRPr="00DD7C96">
        <w:rPr>
          <w:bCs/>
          <w:iCs/>
        </w:rPr>
        <w:t xml:space="preserve"> 1</w:t>
      </w:r>
      <w:r w:rsidR="00BE78AF">
        <w:rPr>
          <w:bCs/>
          <w:iCs/>
        </w:rPr>
        <w:t>.</w:t>
      </w:r>
      <w:r w:rsidRPr="00DD7C96">
        <w:rPr>
          <w:bCs/>
          <w:iCs/>
        </w:rPr>
        <w:t xml:space="preserve"> PRISMA flow chart for ROS1 studies</w:t>
      </w:r>
    </w:p>
    <w:p w14:paraId="26085EC2" w14:textId="08A8E481" w:rsidR="007C4028" w:rsidRPr="00DD7C96" w:rsidRDefault="007C4028" w:rsidP="007C4028">
      <w:pPr>
        <w:spacing w:after="0"/>
        <w:jc w:val="both"/>
        <w:rPr>
          <w:bCs/>
          <w:iCs/>
        </w:rPr>
      </w:pPr>
    </w:p>
    <w:p w14:paraId="2A280A86" w14:textId="77777777" w:rsidR="007C4028" w:rsidRPr="00DD7C96" w:rsidRDefault="007C4028" w:rsidP="007C4028">
      <w:pPr>
        <w:spacing w:after="0"/>
        <w:jc w:val="both"/>
        <w:rPr>
          <w:bCs/>
          <w:iCs/>
        </w:rPr>
      </w:pPr>
    </w:p>
    <w:p w14:paraId="5970502F" w14:textId="72A98B68" w:rsidR="00596FB2" w:rsidRDefault="00596FB2" w:rsidP="007C4028">
      <w:pPr>
        <w:spacing w:after="0"/>
        <w:jc w:val="both"/>
        <w:rPr>
          <w:bCs/>
          <w:iCs/>
        </w:rPr>
      </w:pPr>
      <w:r>
        <w:rPr>
          <w:bCs/>
          <w:iCs/>
          <w:noProof/>
        </w:rPr>
        <w:lastRenderedPageBreak/>
        <w:drawing>
          <wp:inline distT="0" distB="0" distL="0" distR="0" wp14:anchorId="6D560B51" wp14:editId="21C4BA50">
            <wp:extent cx="5943600" cy="4457700"/>
            <wp:effectExtent l="0" t="0" r="0" b="0"/>
            <wp:docPr id="3" name="Picture 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D288C8C" w14:textId="15EAB88C" w:rsidR="007C4028" w:rsidRPr="00DD7C96" w:rsidRDefault="007C4028" w:rsidP="007C4028">
      <w:pPr>
        <w:spacing w:after="0"/>
        <w:jc w:val="both"/>
        <w:rPr>
          <w:bCs/>
          <w:iCs/>
        </w:rPr>
      </w:pPr>
      <w:r w:rsidRPr="00DD7C96">
        <w:rPr>
          <w:bCs/>
          <w:iCs/>
        </w:rPr>
        <w:t>Fig</w:t>
      </w:r>
      <w:r w:rsidR="00BE78AF">
        <w:rPr>
          <w:bCs/>
          <w:iCs/>
        </w:rPr>
        <w:t>.</w:t>
      </w:r>
      <w:r w:rsidRPr="00DD7C96">
        <w:rPr>
          <w:bCs/>
          <w:iCs/>
        </w:rPr>
        <w:t xml:space="preserve"> 2</w:t>
      </w:r>
      <w:r w:rsidR="00BE78AF">
        <w:rPr>
          <w:bCs/>
          <w:iCs/>
        </w:rPr>
        <w:t>.</w:t>
      </w:r>
      <w:r w:rsidRPr="00DD7C96">
        <w:rPr>
          <w:bCs/>
          <w:iCs/>
        </w:rPr>
        <w:t xml:space="preserve"> Kaplan-Meier curve from combined analysis for</w:t>
      </w:r>
      <w:r w:rsidR="003C4FCE">
        <w:rPr>
          <w:bCs/>
          <w:iCs/>
        </w:rPr>
        <w:t xml:space="preserve"> progression-free survival (</w:t>
      </w:r>
      <w:r w:rsidRPr="00DD7C96">
        <w:rPr>
          <w:bCs/>
          <w:iCs/>
        </w:rPr>
        <w:t>PFS</w:t>
      </w:r>
      <w:r w:rsidR="003C4FCE">
        <w:rPr>
          <w:bCs/>
          <w:iCs/>
        </w:rPr>
        <w:t>)</w:t>
      </w:r>
      <w:r w:rsidRPr="00DD7C96">
        <w:rPr>
          <w:bCs/>
          <w:iCs/>
        </w:rPr>
        <w:t xml:space="preserve"> among ROS1+ NSCLC patients</w:t>
      </w:r>
    </w:p>
    <w:p w14:paraId="4A8D85A2" w14:textId="3C308843" w:rsidR="00DD2D0F" w:rsidRDefault="00DD2D0F" w:rsidP="007C4028">
      <w:pPr>
        <w:spacing w:after="0"/>
        <w:jc w:val="both"/>
        <w:rPr>
          <w:bCs/>
          <w:iCs/>
        </w:rPr>
      </w:pPr>
      <w:r>
        <w:rPr>
          <w:bCs/>
          <w:iCs/>
          <w:noProof/>
        </w:rPr>
        <w:lastRenderedPageBreak/>
        <w:drawing>
          <wp:inline distT="0" distB="0" distL="0" distR="0" wp14:anchorId="2CE85193" wp14:editId="48D1092C">
            <wp:extent cx="6456542" cy="3892550"/>
            <wp:effectExtent l="0" t="0" r="1905" b="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6476186" cy="3904393"/>
                    </a:xfrm>
                    <a:prstGeom prst="rect">
                      <a:avLst/>
                    </a:prstGeom>
                  </pic:spPr>
                </pic:pic>
              </a:graphicData>
            </a:graphic>
          </wp:inline>
        </w:drawing>
      </w:r>
    </w:p>
    <w:p w14:paraId="05074A19" w14:textId="76A571C9" w:rsidR="007C4028" w:rsidRPr="00DD7C96" w:rsidRDefault="007C4028" w:rsidP="007C4028">
      <w:pPr>
        <w:spacing w:after="0"/>
        <w:jc w:val="both"/>
        <w:rPr>
          <w:bCs/>
          <w:iCs/>
        </w:rPr>
      </w:pPr>
      <w:r w:rsidRPr="00DD7C96">
        <w:rPr>
          <w:bCs/>
          <w:iCs/>
        </w:rPr>
        <w:t>Fig</w:t>
      </w:r>
      <w:r w:rsidR="00BE78AF">
        <w:rPr>
          <w:bCs/>
          <w:iCs/>
        </w:rPr>
        <w:t>.</w:t>
      </w:r>
      <w:r w:rsidRPr="00DD7C96">
        <w:rPr>
          <w:bCs/>
          <w:iCs/>
        </w:rPr>
        <w:t xml:space="preserve"> 3</w:t>
      </w:r>
      <w:r w:rsidR="00BE78AF">
        <w:rPr>
          <w:bCs/>
          <w:iCs/>
        </w:rPr>
        <w:t>.</w:t>
      </w:r>
      <w:r w:rsidRPr="00DD7C96">
        <w:rPr>
          <w:bCs/>
          <w:iCs/>
        </w:rPr>
        <w:t xml:space="preserve"> Kaplan-Meier curve of PROFILE 1014 for </w:t>
      </w:r>
      <w:r w:rsidR="003C4FCE">
        <w:rPr>
          <w:bCs/>
          <w:iCs/>
        </w:rPr>
        <w:t>progression-free survival (</w:t>
      </w:r>
      <w:r w:rsidRPr="00DD7C96">
        <w:rPr>
          <w:bCs/>
          <w:iCs/>
        </w:rPr>
        <w:t>PFS</w:t>
      </w:r>
      <w:r w:rsidR="003C4FCE">
        <w:rPr>
          <w:bCs/>
          <w:iCs/>
        </w:rPr>
        <w:t>)</w:t>
      </w:r>
      <w:r w:rsidRPr="00DD7C96">
        <w:rPr>
          <w:bCs/>
          <w:iCs/>
        </w:rPr>
        <w:t xml:space="preserve"> among ALK+ NSCLC patients for each treatment</w:t>
      </w:r>
    </w:p>
    <w:p w14:paraId="03B25B75" w14:textId="0F19F0B8" w:rsidR="007C4028" w:rsidRPr="00DD7C96" w:rsidRDefault="00AB197F" w:rsidP="007C4028">
      <w:pPr>
        <w:spacing w:after="0"/>
        <w:jc w:val="both"/>
        <w:rPr>
          <w:bCs/>
          <w:iCs/>
          <w:sz w:val="18"/>
        </w:rPr>
      </w:pPr>
      <w:r>
        <w:rPr>
          <w:bCs/>
          <w:iCs/>
          <w:sz w:val="16"/>
          <w:szCs w:val="16"/>
        </w:rPr>
        <w:t xml:space="preserve">Chemo = Chemotherapy; </w:t>
      </w:r>
      <w:proofErr w:type="spellStart"/>
      <w:r>
        <w:rPr>
          <w:bCs/>
          <w:iCs/>
          <w:sz w:val="16"/>
          <w:szCs w:val="16"/>
        </w:rPr>
        <w:t>Criz</w:t>
      </w:r>
      <w:proofErr w:type="spellEnd"/>
      <w:r>
        <w:rPr>
          <w:bCs/>
          <w:iCs/>
          <w:sz w:val="16"/>
          <w:szCs w:val="16"/>
        </w:rPr>
        <w:t xml:space="preserve"> = </w:t>
      </w:r>
      <w:proofErr w:type="spellStart"/>
      <w:r>
        <w:rPr>
          <w:bCs/>
          <w:iCs/>
          <w:sz w:val="16"/>
          <w:szCs w:val="16"/>
        </w:rPr>
        <w:t>Crizotinib</w:t>
      </w:r>
      <w:proofErr w:type="spellEnd"/>
    </w:p>
    <w:p w14:paraId="24F1911B" w14:textId="77777777" w:rsidR="00596FB2" w:rsidRDefault="00596FB2">
      <w:pPr>
        <w:rPr>
          <w:bCs/>
          <w:iCs/>
        </w:rPr>
      </w:pPr>
      <w:r>
        <w:rPr>
          <w:bCs/>
          <w:iCs/>
        </w:rPr>
        <w:br w:type="page"/>
      </w:r>
    </w:p>
    <w:p w14:paraId="6C6B37B8" w14:textId="6F4FCC25" w:rsidR="007C4028" w:rsidRPr="00DD7C96" w:rsidRDefault="00596FB2" w:rsidP="007C4028">
      <w:pPr>
        <w:spacing w:after="0"/>
        <w:jc w:val="both"/>
        <w:rPr>
          <w:bCs/>
          <w:iCs/>
        </w:rPr>
      </w:pPr>
      <w:r>
        <w:rPr>
          <w:noProof/>
        </w:rPr>
        <w:lastRenderedPageBreak/>
        <w:drawing>
          <wp:inline distT="0" distB="0" distL="0" distR="0" wp14:anchorId="0394217B" wp14:editId="4A1E766A">
            <wp:extent cx="5943600" cy="3251835"/>
            <wp:effectExtent l="0" t="0" r="0" b="5715"/>
            <wp:docPr id="2" name="Chart 2">
              <a:extLst xmlns:a="http://schemas.openxmlformats.org/drawingml/2006/main">
                <a:ext uri="{FF2B5EF4-FFF2-40B4-BE49-F238E27FC236}">
                  <a16:creationId xmlns:a16="http://schemas.microsoft.com/office/drawing/2014/main" id="{00000000-0008-0000-0E00-00001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7C4028" w:rsidRPr="00DD7C96">
        <w:rPr>
          <w:bCs/>
          <w:iCs/>
        </w:rPr>
        <w:t xml:space="preserve"> Fig</w:t>
      </w:r>
      <w:r w:rsidR="00BE78AF">
        <w:rPr>
          <w:bCs/>
          <w:iCs/>
        </w:rPr>
        <w:t>.</w:t>
      </w:r>
      <w:r w:rsidR="007C4028" w:rsidRPr="00DD7C96">
        <w:rPr>
          <w:bCs/>
          <w:iCs/>
        </w:rPr>
        <w:t xml:space="preserve"> 4</w:t>
      </w:r>
      <w:r w:rsidR="00BE78AF">
        <w:rPr>
          <w:bCs/>
          <w:iCs/>
        </w:rPr>
        <w:t>.</w:t>
      </w:r>
      <w:r w:rsidR="007C4028" w:rsidRPr="00DD7C96">
        <w:rPr>
          <w:bCs/>
          <w:iCs/>
        </w:rPr>
        <w:t xml:space="preserve"> Kaplan-Meier curve and parametric curve of combined analysis for </w:t>
      </w:r>
      <w:r w:rsidR="003C4FCE">
        <w:rPr>
          <w:bCs/>
          <w:iCs/>
        </w:rPr>
        <w:t>progression-free survival (</w:t>
      </w:r>
      <w:r w:rsidR="007C4028" w:rsidRPr="00DD7C96">
        <w:rPr>
          <w:bCs/>
          <w:iCs/>
        </w:rPr>
        <w:t>PFS</w:t>
      </w:r>
      <w:r w:rsidR="003C4FCE">
        <w:rPr>
          <w:bCs/>
          <w:iCs/>
        </w:rPr>
        <w:t>)</w:t>
      </w:r>
      <w:r w:rsidR="007C4028" w:rsidRPr="00DD7C96">
        <w:rPr>
          <w:bCs/>
          <w:iCs/>
        </w:rPr>
        <w:t xml:space="preserve"> for each treatment </w:t>
      </w:r>
      <w:r w:rsidR="003C4FCE">
        <w:rPr>
          <w:bCs/>
          <w:iCs/>
        </w:rPr>
        <w:t xml:space="preserve">group </w:t>
      </w:r>
      <w:r w:rsidR="007C4028" w:rsidRPr="00DD7C96">
        <w:rPr>
          <w:bCs/>
          <w:iCs/>
        </w:rPr>
        <w:t>with hazard ratio applied to patients undergoing maintenance</w:t>
      </w:r>
      <w:r w:rsidR="003C4FCE">
        <w:rPr>
          <w:bCs/>
          <w:iCs/>
        </w:rPr>
        <w:t xml:space="preserve"> pemetrexed in chemotherapy group</w:t>
      </w:r>
    </w:p>
    <w:p w14:paraId="68459217" w14:textId="001DEA58" w:rsidR="007C4028" w:rsidRPr="00DD7C96" w:rsidRDefault="00AB197F" w:rsidP="007C4028">
      <w:pPr>
        <w:spacing w:after="0"/>
        <w:jc w:val="both"/>
        <w:rPr>
          <w:bCs/>
          <w:iCs/>
        </w:rPr>
      </w:pPr>
      <w:r>
        <w:rPr>
          <w:bCs/>
          <w:iCs/>
          <w:sz w:val="16"/>
          <w:szCs w:val="16"/>
        </w:rPr>
        <w:t xml:space="preserve">Chemo = Chemotherapy; </w:t>
      </w:r>
      <w:proofErr w:type="spellStart"/>
      <w:r>
        <w:rPr>
          <w:bCs/>
          <w:iCs/>
          <w:sz w:val="16"/>
          <w:szCs w:val="16"/>
        </w:rPr>
        <w:t>Criz</w:t>
      </w:r>
      <w:proofErr w:type="spellEnd"/>
      <w:r>
        <w:rPr>
          <w:bCs/>
          <w:iCs/>
          <w:sz w:val="16"/>
          <w:szCs w:val="16"/>
        </w:rPr>
        <w:t xml:space="preserve"> = </w:t>
      </w:r>
      <w:proofErr w:type="spellStart"/>
      <w:r>
        <w:rPr>
          <w:bCs/>
          <w:iCs/>
          <w:sz w:val="16"/>
          <w:szCs w:val="16"/>
        </w:rPr>
        <w:t>Crizotinib</w:t>
      </w:r>
      <w:proofErr w:type="spellEnd"/>
    </w:p>
    <w:p w14:paraId="7749FD40" w14:textId="2746E5ED" w:rsidR="00596FB2" w:rsidRDefault="00596FB2">
      <w:pPr>
        <w:rPr>
          <w:bCs/>
          <w:iCs/>
        </w:rPr>
      </w:pPr>
      <w:r>
        <w:rPr>
          <w:bCs/>
          <w:iCs/>
        </w:rPr>
        <w:br w:type="page"/>
      </w:r>
    </w:p>
    <w:p w14:paraId="60E4BC33" w14:textId="2507A2E5" w:rsidR="00F6138B" w:rsidRDefault="00F6138B" w:rsidP="007C4028">
      <w:pPr>
        <w:spacing w:after="0"/>
        <w:jc w:val="both"/>
        <w:rPr>
          <w:bCs/>
          <w:iCs/>
        </w:rPr>
      </w:pPr>
      <w:r>
        <w:rPr>
          <w:noProof/>
        </w:rPr>
        <w:lastRenderedPageBreak/>
        <w:drawing>
          <wp:inline distT="0" distB="0" distL="0" distR="0" wp14:anchorId="63E6E24E" wp14:editId="2A799219">
            <wp:extent cx="6355080" cy="6659880"/>
            <wp:effectExtent l="0" t="0" r="7620" b="7620"/>
            <wp:docPr id="6" name="Chart 6">
              <a:extLst xmlns:a="http://schemas.openxmlformats.org/drawingml/2006/main">
                <a:ext uri="{FF2B5EF4-FFF2-40B4-BE49-F238E27FC236}">
                  <a16:creationId xmlns:a16="http://schemas.microsoft.com/office/drawing/2014/main" id="{00000000-0008-0000-0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0026D1F" w14:textId="3074888E" w:rsidR="007C4028" w:rsidRPr="00DD7C96" w:rsidRDefault="007C4028" w:rsidP="007C4028">
      <w:pPr>
        <w:spacing w:after="0"/>
        <w:jc w:val="both"/>
        <w:rPr>
          <w:bCs/>
          <w:iCs/>
        </w:rPr>
      </w:pPr>
      <w:r w:rsidRPr="00DD7C96">
        <w:rPr>
          <w:bCs/>
          <w:iCs/>
        </w:rPr>
        <w:t>Fig</w:t>
      </w:r>
      <w:r w:rsidR="00BE78AF">
        <w:rPr>
          <w:bCs/>
          <w:iCs/>
        </w:rPr>
        <w:t>.</w:t>
      </w:r>
      <w:r w:rsidRPr="00DD7C96">
        <w:rPr>
          <w:bCs/>
          <w:iCs/>
        </w:rPr>
        <w:t xml:space="preserve"> 5</w:t>
      </w:r>
      <w:r w:rsidR="00BE78AF">
        <w:rPr>
          <w:bCs/>
          <w:iCs/>
        </w:rPr>
        <w:t>.</w:t>
      </w:r>
      <w:r w:rsidRPr="00DD7C96">
        <w:rPr>
          <w:bCs/>
          <w:iCs/>
        </w:rPr>
        <w:t xml:space="preserve"> Results from one-way deterministic sensitivity analysis</w:t>
      </w:r>
    </w:p>
    <w:p w14:paraId="283C3FC4" w14:textId="77777777" w:rsidR="00AB197F" w:rsidRDefault="00AB197F" w:rsidP="00AB197F">
      <w:pPr>
        <w:spacing w:after="0"/>
        <w:jc w:val="both"/>
        <w:rPr>
          <w:bCs/>
          <w:iCs/>
          <w:sz w:val="16"/>
          <w:szCs w:val="16"/>
        </w:rPr>
      </w:pPr>
      <w:r>
        <w:rPr>
          <w:bCs/>
          <w:iCs/>
          <w:sz w:val="16"/>
          <w:szCs w:val="16"/>
        </w:rPr>
        <w:t xml:space="preserve">Chemo = Chemotherapy; </w:t>
      </w:r>
      <w:proofErr w:type="spellStart"/>
      <w:r>
        <w:rPr>
          <w:bCs/>
          <w:iCs/>
          <w:sz w:val="16"/>
          <w:szCs w:val="16"/>
        </w:rPr>
        <w:t>Criz</w:t>
      </w:r>
      <w:proofErr w:type="spellEnd"/>
      <w:r>
        <w:rPr>
          <w:bCs/>
          <w:iCs/>
          <w:sz w:val="16"/>
          <w:szCs w:val="16"/>
        </w:rPr>
        <w:t xml:space="preserve"> = </w:t>
      </w:r>
      <w:proofErr w:type="spellStart"/>
      <w:r>
        <w:rPr>
          <w:bCs/>
          <w:iCs/>
          <w:sz w:val="16"/>
          <w:szCs w:val="16"/>
        </w:rPr>
        <w:t>Crizotinib</w:t>
      </w:r>
      <w:proofErr w:type="spellEnd"/>
      <w:r>
        <w:rPr>
          <w:bCs/>
          <w:iCs/>
          <w:sz w:val="16"/>
          <w:szCs w:val="16"/>
        </w:rPr>
        <w:t>; PFS = Progression-free survival; OS = Overall survival</w:t>
      </w:r>
    </w:p>
    <w:p w14:paraId="71054E4A" w14:textId="6FF4197A" w:rsidR="00BE78AF" w:rsidRDefault="00BE78AF">
      <w:pPr>
        <w:rPr>
          <w:bCs/>
          <w:iCs/>
        </w:rPr>
      </w:pPr>
      <w:r>
        <w:rPr>
          <w:bCs/>
          <w:iCs/>
        </w:rPr>
        <w:br w:type="page"/>
      </w:r>
    </w:p>
    <w:p w14:paraId="5D47FB10" w14:textId="77777777" w:rsidR="00BE78AF" w:rsidRPr="00DD7C96" w:rsidRDefault="00BE78AF" w:rsidP="00BE78AF">
      <w:pPr>
        <w:spacing w:after="0"/>
        <w:jc w:val="both"/>
        <w:rPr>
          <w:bCs/>
          <w:iCs/>
        </w:rPr>
      </w:pPr>
      <w:bookmarkStart w:id="1" w:name="_Toc501544637"/>
      <w:bookmarkStart w:id="2" w:name="_Toc523315789"/>
      <w:bookmarkStart w:id="3" w:name="_Toc528115004"/>
      <w:bookmarkStart w:id="4" w:name="_Toc524687873"/>
      <w:bookmarkStart w:id="5" w:name="_Toc528115028"/>
      <w:r w:rsidRPr="00DD7C96">
        <w:rPr>
          <w:bCs/>
          <w:iCs/>
        </w:rPr>
        <w:lastRenderedPageBreak/>
        <w:t>References</w:t>
      </w:r>
    </w:p>
    <w:bookmarkEnd w:id="1"/>
    <w:bookmarkEnd w:id="2"/>
    <w:bookmarkEnd w:id="3"/>
    <w:bookmarkEnd w:id="4"/>
    <w:bookmarkEnd w:id="5"/>
    <w:p w14:paraId="2D778ECD"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cs="Arial"/>
          <w:bCs/>
          <w:iCs/>
        </w:rPr>
        <w:fldChar w:fldCharType="begin" w:fldLock="1"/>
      </w:r>
      <w:r w:rsidRPr="00DD7C96">
        <w:rPr>
          <w:rFonts w:cs="Arial"/>
          <w:bCs/>
          <w:iCs/>
        </w:rPr>
        <w:instrText xml:space="preserve">ADDIN Mendeley Bibliography CSL_BIBLIOGRAPHY </w:instrText>
      </w:r>
      <w:r w:rsidRPr="00DD7C96">
        <w:rPr>
          <w:rFonts w:cs="Arial"/>
          <w:bCs/>
          <w:iCs/>
        </w:rPr>
        <w:fldChar w:fldCharType="separate"/>
      </w:r>
      <w:r w:rsidRPr="00DD7C96">
        <w:rPr>
          <w:rFonts w:ascii="Calibri" w:hAnsi="Calibri" w:cs="Calibri"/>
          <w:bCs/>
          <w:iCs/>
          <w:noProof/>
          <w:szCs w:val="24"/>
        </w:rPr>
        <w:t xml:space="preserve">1. </w:t>
      </w:r>
      <w:r w:rsidRPr="00DD7C96">
        <w:rPr>
          <w:rFonts w:ascii="Calibri" w:hAnsi="Calibri" w:cs="Calibri"/>
          <w:bCs/>
          <w:iCs/>
          <w:noProof/>
          <w:szCs w:val="24"/>
        </w:rPr>
        <w:tab/>
        <w:t>Shaw AT, Ou S-HI, Bang Y-J, et al. Crizotinib in ROS1 -Rearranged Non–Small-Cell Lung Cancer. N Engl J Med. 2014;371(21):1963-1971. doi:10.1056/NEJMoa1406766</w:t>
      </w:r>
    </w:p>
    <w:p w14:paraId="5EAE0DDC"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2. </w:t>
      </w:r>
      <w:r w:rsidRPr="00DD7C96">
        <w:rPr>
          <w:rFonts w:ascii="Calibri" w:hAnsi="Calibri" w:cs="Calibri"/>
          <w:bCs/>
          <w:iCs/>
          <w:noProof/>
          <w:szCs w:val="24"/>
        </w:rPr>
        <w:tab/>
        <w:t>Wu Y-L, Yang JC-H, Kim D-W, et al. Phase II Study of Crizotinib in East Asian Patients With ROS1-Positive Advanced Non–Small-Cell Lung Cancer. J Clin Oncol. 2018:JCO.2017.75.558. doi:10.1200/JCO.2017.75.5587</w:t>
      </w:r>
    </w:p>
    <w:p w14:paraId="5656A463"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3. </w:t>
      </w:r>
      <w:r w:rsidRPr="00DD7C96">
        <w:rPr>
          <w:rFonts w:ascii="Calibri" w:hAnsi="Calibri" w:cs="Calibri"/>
          <w:bCs/>
          <w:iCs/>
          <w:noProof/>
          <w:szCs w:val="24"/>
        </w:rPr>
        <w:tab/>
        <w:t>Mazières J, Rouvière D, D.Milia J, et al. Crizotinib therapy for advanced lung adenocarcinoma and a ROS1 rearrangement: Results from the EUROS1 cohort. J Clin Oncol. 2015;33(9):992-999. doi:10.1200/JCO.2014.58.3302</w:t>
      </w:r>
    </w:p>
    <w:p w14:paraId="54ED4048"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4. </w:t>
      </w:r>
      <w:r w:rsidRPr="00DD7C96">
        <w:rPr>
          <w:rFonts w:ascii="Calibri" w:hAnsi="Calibri" w:cs="Calibri"/>
          <w:bCs/>
          <w:iCs/>
          <w:noProof/>
          <w:szCs w:val="24"/>
        </w:rPr>
        <w:tab/>
        <w:t>Song Z, Su H, Zhang Y. Patients with ROS1 rearrangement-positive non-small-cell lung cancer benefit from pemetrexed-based chemotherapy. Cancer Med. 2016;5(10):2688-2693. doi:10.1002/cam4.809</w:t>
      </w:r>
    </w:p>
    <w:p w14:paraId="2CC7ED96"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5. </w:t>
      </w:r>
      <w:r w:rsidRPr="00DD7C96">
        <w:rPr>
          <w:rFonts w:ascii="Calibri" w:hAnsi="Calibri" w:cs="Calibri"/>
          <w:bCs/>
          <w:iCs/>
          <w:noProof/>
          <w:szCs w:val="24"/>
        </w:rPr>
        <w:tab/>
        <w:t>Zhang L, Jiang T, Zhao C, et al. Efficacy of crizotinib and pemetrexed-based chemotherapy in Chinese NSCLC patients with &amp;lt;i&amp;gt;ROS1&amp;lt;/i&amp;gt; rearrangement. Oncotarget. 2016;7(46). doi:10.18632/oncotarget.12612</w:t>
      </w:r>
    </w:p>
    <w:p w14:paraId="0CF26EC2"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6. </w:t>
      </w:r>
      <w:r w:rsidRPr="00DD7C96">
        <w:rPr>
          <w:rFonts w:ascii="Calibri" w:hAnsi="Calibri" w:cs="Calibri"/>
          <w:bCs/>
          <w:iCs/>
          <w:noProof/>
          <w:szCs w:val="24"/>
        </w:rPr>
        <w:tab/>
        <w:t>Drilon A, Bergagnini I, Delasos L, et al. Clinical outcomes with pemetrexed-based systemic therapies in RET-rearranged lung cancers. Ann Oncol. 2016;27(7):1286-1291. doi:10.1093/annonc/mdw163</w:t>
      </w:r>
    </w:p>
    <w:p w14:paraId="4B8FC518"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7. </w:t>
      </w:r>
      <w:r w:rsidRPr="00DD7C96">
        <w:rPr>
          <w:rFonts w:ascii="Calibri" w:hAnsi="Calibri" w:cs="Calibri"/>
          <w:bCs/>
          <w:iCs/>
          <w:noProof/>
          <w:szCs w:val="24"/>
        </w:rPr>
        <w:tab/>
        <w:t>Kim HR, Lim SM, Kim HJ, et al. The frequency and impact of ROS1 rearrangement on clinical outcomes in never smokers with lung adenocarcinoma. Ann Oncol. 2013;24(9):2364-2370. doi:10.1093/annonc/mdt220</w:t>
      </w:r>
    </w:p>
    <w:p w14:paraId="65890188"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8. </w:t>
      </w:r>
      <w:r w:rsidRPr="00DD7C96">
        <w:rPr>
          <w:rFonts w:ascii="Calibri" w:hAnsi="Calibri" w:cs="Calibri"/>
          <w:bCs/>
          <w:iCs/>
          <w:noProof/>
          <w:szCs w:val="24"/>
        </w:rPr>
        <w:tab/>
        <w:t>Borghaei H, Brahmer JR, Paz-Ares L, et al. Nivolumab in Nonsquamous Non-Small-Cell Lung Cancer. N Engl J Med. 2016;374(5):493-494. doi:10.1056/NEJMc1514790</w:t>
      </w:r>
    </w:p>
    <w:p w14:paraId="540CBA1D"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9. </w:t>
      </w:r>
      <w:r w:rsidRPr="00DD7C96">
        <w:rPr>
          <w:rFonts w:ascii="Calibri" w:hAnsi="Calibri" w:cs="Calibri"/>
          <w:bCs/>
          <w:iCs/>
          <w:noProof/>
          <w:szCs w:val="24"/>
        </w:rPr>
        <w:tab/>
        <w:t>Brahmer JR, Reckamp KL, Baas P, Crino L, Eberhardt WEE. Nivolumab versus Docetaxel in Advanced Squamous-Cell Non-Small Cell Lung Cancer. N Engl J Med. 2015;373(2):123-135. doi:10.1056/NEJMoa1507643.Nivolumab</w:t>
      </w:r>
    </w:p>
    <w:p w14:paraId="074CC01B"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10. </w:t>
      </w:r>
      <w:r w:rsidRPr="00DD7C96">
        <w:rPr>
          <w:rFonts w:ascii="Calibri" w:hAnsi="Calibri" w:cs="Calibri"/>
          <w:bCs/>
          <w:iCs/>
          <w:noProof/>
          <w:szCs w:val="24"/>
        </w:rPr>
        <w:tab/>
        <w:t>Herbst RS, Baas P, Kim DW, et al. Pembrolizumab versus docetaxel for previously treated, PD-L1-positive, advanced non-small-cell lung cancer (KEYNOTE-010): A randomised controlled trial. Lancet. 2016;387(10027):1540-1550. doi:10.1016/S0140-6736(15)01281-7</w:t>
      </w:r>
    </w:p>
    <w:p w14:paraId="26728FEC"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11. </w:t>
      </w:r>
      <w:r w:rsidRPr="00DD7C96">
        <w:rPr>
          <w:rFonts w:ascii="Calibri" w:hAnsi="Calibri" w:cs="Calibri"/>
          <w:bCs/>
          <w:iCs/>
          <w:noProof/>
          <w:szCs w:val="24"/>
        </w:rPr>
        <w:tab/>
        <w:t>Vansteenkiste J, Fehrenbacher L, Spira AI, et al. Atezolizumab monotherapy vs docetaxel in 2L/3L non-small cell lung cancer: Primary analyses for efficacy, safety and predictive biomarkers from a randomized phase II study (POPLAR). Eur J Cancer. 2015;51:abstr 14LBA. doi:10.1016/S0959-8049(15)30072-1</w:t>
      </w:r>
    </w:p>
    <w:p w14:paraId="1408087C"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szCs w:val="24"/>
        </w:rPr>
      </w:pPr>
      <w:r w:rsidRPr="00DD7C96">
        <w:rPr>
          <w:rFonts w:ascii="Calibri" w:hAnsi="Calibri" w:cs="Calibri"/>
          <w:bCs/>
          <w:iCs/>
          <w:noProof/>
          <w:szCs w:val="24"/>
        </w:rPr>
        <w:t xml:space="preserve">12. </w:t>
      </w:r>
      <w:r w:rsidRPr="00DD7C96">
        <w:rPr>
          <w:rFonts w:ascii="Calibri" w:hAnsi="Calibri" w:cs="Calibri"/>
          <w:bCs/>
          <w:iCs/>
          <w:noProof/>
          <w:szCs w:val="24"/>
        </w:rPr>
        <w:tab/>
        <w:t>Solomon BJ, Mok T, Kim D-W, et al. First-Line Crizotinib versus Chemotherapy in ALK -Positive Lung Cancer. N Engl J Med. 2014;371(23):2167-2177. doi:10.1056/NEJMoa1408440</w:t>
      </w:r>
    </w:p>
    <w:p w14:paraId="133A35EC" w14:textId="77777777" w:rsidR="00BE78AF" w:rsidRPr="00DD7C96" w:rsidRDefault="00BE78AF" w:rsidP="00BE78AF">
      <w:pPr>
        <w:widowControl w:val="0"/>
        <w:autoSpaceDE w:val="0"/>
        <w:autoSpaceDN w:val="0"/>
        <w:adjustRightInd w:val="0"/>
        <w:spacing w:before="120" w:after="120" w:line="240" w:lineRule="auto"/>
        <w:ind w:left="640" w:hanging="640"/>
        <w:rPr>
          <w:rFonts w:ascii="Calibri" w:hAnsi="Calibri" w:cs="Calibri"/>
          <w:bCs/>
          <w:iCs/>
          <w:noProof/>
        </w:rPr>
      </w:pPr>
      <w:r w:rsidRPr="00DD7C96">
        <w:rPr>
          <w:rFonts w:ascii="Calibri" w:hAnsi="Calibri" w:cs="Calibri"/>
          <w:bCs/>
          <w:iCs/>
          <w:noProof/>
          <w:szCs w:val="24"/>
        </w:rPr>
        <w:t xml:space="preserve">13. </w:t>
      </w:r>
      <w:r w:rsidRPr="00DD7C96">
        <w:rPr>
          <w:rFonts w:ascii="Calibri" w:hAnsi="Calibri" w:cs="Calibri"/>
          <w:bCs/>
          <w:iCs/>
          <w:noProof/>
          <w:szCs w:val="24"/>
        </w:rPr>
        <w:tab/>
        <w:t>Smit EF, Burgers SA, Biesma B, et al. Randomized phase II and pharmacogenetic study of pemetrexed compared with pemetrexed plus carboplatin in pretreated patients with advanced non-small-cell lung cancer. J Clin Oncol. 2009;27(12):2038-2045. doi:10.1200/JCO.2008.19.1650</w:t>
      </w:r>
    </w:p>
    <w:p w14:paraId="028256C8" w14:textId="3B334D0A" w:rsidR="00283C74" w:rsidRPr="00DD7C96" w:rsidRDefault="00BE78AF" w:rsidP="00BE78AF">
      <w:pPr>
        <w:rPr>
          <w:bCs/>
          <w:iCs/>
        </w:rPr>
      </w:pPr>
      <w:r w:rsidRPr="00DD7C96">
        <w:rPr>
          <w:rFonts w:cs="Arial"/>
          <w:bCs/>
          <w:iCs/>
        </w:rPr>
        <w:fldChar w:fldCharType="end"/>
      </w:r>
    </w:p>
    <w:sectPr w:rsidR="00283C74" w:rsidRPr="00DD7C96">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BA51D2" w14:textId="77777777" w:rsidR="00294412" w:rsidRDefault="00294412" w:rsidP="00D63A5D">
      <w:pPr>
        <w:spacing w:after="0" w:line="240" w:lineRule="auto"/>
      </w:pPr>
      <w:r>
        <w:separator/>
      </w:r>
    </w:p>
  </w:endnote>
  <w:endnote w:type="continuationSeparator" w:id="0">
    <w:p w14:paraId="22233E84" w14:textId="77777777" w:rsidR="00294412" w:rsidRDefault="00294412" w:rsidP="00D63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7755723"/>
      <w:docPartObj>
        <w:docPartGallery w:val="Page Numbers (Bottom of Page)"/>
        <w:docPartUnique/>
      </w:docPartObj>
    </w:sdtPr>
    <w:sdtEndPr>
      <w:rPr>
        <w:noProof/>
      </w:rPr>
    </w:sdtEndPr>
    <w:sdtContent>
      <w:p w14:paraId="36FA6AAC" w14:textId="55FFAD78" w:rsidR="00BE78AF" w:rsidRDefault="00BE78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B3147F" w14:textId="77777777" w:rsidR="00BE78AF" w:rsidRDefault="00BE7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5E0343" w14:textId="77777777" w:rsidR="00294412" w:rsidRDefault="00294412" w:rsidP="00D63A5D">
      <w:pPr>
        <w:spacing w:after="0" w:line="240" w:lineRule="auto"/>
      </w:pPr>
      <w:r>
        <w:separator/>
      </w:r>
    </w:p>
  </w:footnote>
  <w:footnote w:type="continuationSeparator" w:id="0">
    <w:p w14:paraId="3F83A511" w14:textId="77777777" w:rsidR="00294412" w:rsidRDefault="00294412" w:rsidP="00D63A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434D4"/>
    <w:multiLevelType w:val="hybridMultilevel"/>
    <w:tmpl w:val="AFEEF36E"/>
    <w:lvl w:ilvl="0" w:tplc="DB7CA9E8">
      <w:start w:val="1"/>
      <w:numFmt w:val="lowerLetter"/>
      <w:lvlText w:val="%1."/>
      <w:lvlJc w:val="left"/>
      <w:pPr>
        <w:ind w:left="144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1D39A9"/>
    <w:multiLevelType w:val="hybridMultilevel"/>
    <w:tmpl w:val="7E8E81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922A5E"/>
    <w:multiLevelType w:val="hybridMultilevel"/>
    <w:tmpl w:val="2AEAB852"/>
    <w:lvl w:ilvl="0" w:tplc="3C8E5C00">
      <w:start w:val="12"/>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3C301F4"/>
    <w:multiLevelType w:val="hybridMultilevel"/>
    <w:tmpl w:val="54DE20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60022B"/>
    <w:multiLevelType w:val="hybridMultilevel"/>
    <w:tmpl w:val="57CCA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B6DE6"/>
    <w:multiLevelType w:val="hybridMultilevel"/>
    <w:tmpl w:val="9B7A035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1C46BA"/>
    <w:multiLevelType w:val="hybridMultilevel"/>
    <w:tmpl w:val="BACA6D06"/>
    <w:lvl w:ilvl="0" w:tplc="0409000F">
      <w:start w:val="1"/>
      <w:numFmt w:val="decimal"/>
      <w:lvlText w:val="%1."/>
      <w:lvlJc w:val="left"/>
      <w:pPr>
        <w:ind w:left="720" w:hanging="360"/>
      </w:pPr>
    </w:lvl>
    <w:lvl w:ilvl="1" w:tplc="DB7CA9E8">
      <w:start w:val="1"/>
      <w:numFmt w:val="lowerLetter"/>
      <w:lvlText w:val="%2."/>
      <w:lvlJc w:val="left"/>
      <w:pPr>
        <w:ind w:left="1440" w:hanging="360"/>
      </w:pPr>
      <w:rPr>
        <w:rFonts w:hint="default"/>
      </w:r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706BBC"/>
    <w:multiLevelType w:val="hybridMultilevel"/>
    <w:tmpl w:val="B7B2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C4DC8"/>
    <w:multiLevelType w:val="hybridMultilevel"/>
    <w:tmpl w:val="73A884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1156B6F"/>
    <w:multiLevelType w:val="hybridMultilevel"/>
    <w:tmpl w:val="57CCA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354C71"/>
    <w:multiLevelType w:val="hybridMultilevel"/>
    <w:tmpl w:val="D7986B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8F24AB6"/>
    <w:multiLevelType w:val="hybridMultilevel"/>
    <w:tmpl w:val="57CCA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AB092A"/>
    <w:multiLevelType w:val="hybridMultilevel"/>
    <w:tmpl w:val="57CCA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28735D"/>
    <w:multiLevelType w:val="hybridMultilevel"/>
    <w:tmpl w:val="08DC5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5F5059E"/>
    <w:multiLevelType w:val="hybridMultilevel"/>
    <w:tmpl w:val="BACA6D06"/>
    <w:lvl w:ilvl="0" w:tplc="0409000F">
      <w:start w:val="1"/>
      <w:numFmt w:val="decimal"/>
      <w:lvlText w:val="%1."/>
      <w:lvlJc w:val="left"/>
      <w:pPr>
        <w:ind w:left="720" w:hanging="360"/>
      </w:pPr>
    </w:lvl>
    <w:lvl w:ilvl="1" w:tplc="DB7CA9E8">
      <w:start w:val="1"/>
      <w:numFmt w:val="lowerLetter"/>
      <w:lvlText w:val="%2."/>
      <w:lvlJc w:val="left"/>
      <w:pPr>
        <w:ind w:left="1440" w:hanging="360"/>
      </w:pPr>
      <w:rPr>
        <w:rFonts w:hint="default"/>
      </w:r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A16EE4"/>
    <w:multiLevelType w:val="hybridMultilevel"/>
    <w:tmpl w:val="FBD4A0CC"/>
    <w:lvl w:ilvl="0" w:tplc="ECAE6D7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002DB"/>
    <w:multiLevelType w:val="hybridMultilevel"/>
    <w:tmpl w:val="5EA2D4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3ED682A"/>
    <w:multiLevelType w:val="hybridMultilevel"/>
    <w:tmpl w:val="57CCA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FF3FAC"/>
    <w:multiLevelType w:val="hybridMultilevel"/>
    <w:tmpl w:val="583C785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7BD39BC"/>
    <w:multiLevelType w:val="hybridMultilevel"/>
    <w:tmpl w:val="1D2A5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C8180D"/>
    <w:multiLevelType w:val="hybridMultilevel"/>
    <w:tmpl w:val="BA6437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56D63B6"/>
    <w:multiLevelType w:val="hybridMultilevel"/>
    <w:tmpl w:val="F5D21A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A8E2955"/>
    <w:multiLevelType w:val="hybridMultilevel"/>
    <w:tmpl w:val="BABA0B66"/>
    <w:lvl w:ilvl="0" w:tplc="A8C07CA2">
      <w:start w:val="1"/>
      <w:numFmt w:val="decimal"/>
      <w:lvlText w:val="%1."/>
      <w:lvlJc w:val="left"/>
      <w:pPr>
        <w:ind w:left="840" w:hanging="720"/>
      </w:pPr>
      <w:rPr>
        <w:rFonts w:ascii="Arial" w:eastAsia="Arial" w:hAnsi="Arial" w:cs="Arial" w:hint="default"/>
        <w:spacing w:val="-1"/>
        <w:w w:val="100"/>
        <w:sz w:val="20"/>
        <w:szCs w:val="20"/>
      </w:rPr>
    </w:lvl>
    <w:lvl w:ilvl="1" w:tplc="BA60A6C0">
      <w:numFmt w:val="bullet"/>
      <w:lvlText w:val=""/>
      <w:lvlJc w:val="left"/>
      <w:pPr>
        <w:ind w:left="1560" w:hanging="361"/>
      </w:pPr>
      <w:rPr>
        <w:rFonts w:ascii="Symbol" w:eastAsia="Symbol" w:hAnsi="Symbol" w:cs="Symbol" w:hint="default"/>
        <w:w w:val="99"/>
        <w:sz w:val="22"/>
        <w:szCs w:val="22"/>
      </w:rPr>
    </w:lvl>
    <w:lvl w:ilvl="2" w:tplc="87C4EF06">
      <w:numFmt w:val="bullet"/>
      <w:lvlText w:val="•"/>
      <w:lvlJc w:val="left"/>
      <w:pPr>
        <w:ind w:left="2437" w:hanging="361"/>
      </w:pPr>
      <w:rPr>
        <w:rFonts w:hint="default"/>
      </w:rPr>
    </w:lvl>
    <w:lvl w:ilvl="3" w:tplc="72023CDC">
      <w:numFmt w:val="bullet"/>
      <w:lvlText w:val="•"/>
      <w:lvlJc w:val="left"/>
      <w:pPr>
        <w:ind w:left="3315" w:hanging="361"/>
      </w:pPr>
      <w:rPr>
        <w:rFonts w:hint="default"/>
      </w:rPr>
    </w:lvl>
    <w:lvl w:ilvl="4" w:tplc="3BE085E8">
      <w:numFmt w:val="bullet"/>
      <w:lvlText w:val="•"/>
      <w:lvlJc w:val="left"/>
      <w:pPr>
        <w:ind w:left="4193" w:hanging="361"/>
      </w:pPr>
      <w:rPr>
        <w:rFonts w:hint="default"/>
      </w:rPr>
    </w:lvl>
    <w:lvl w:ilvl="5" w:tplc="9AE4BCC8">
      <w:numFmt w:val="bullet"/>
      <w:lvlText w:val="•"/>
      <w:lvlJc w:val="left"/>
      <w:pPr>
        <w:ind w:left="5071" w:hanging="361"/>
      </w:pPr>
      <w:rPr>
        <w:rFonts w:hint="default"/>
      </w:rPr>
    </w:lvl>
    <w:lvl w:ilvl="6" w:tplc="D3260AB6">
      <w:numFmt w:val="bullet"/>
      <w:lvlText w:val="•"/>
      <w:lvlJc w:val="left"/>
      <w:pPr>
        <w:ind w:left="5948" w:hanging="361"/>
      </w:pPr>
      <w:rPr>
        <w:rFonts w:hint="default"/>
      </w:rPr>
    </w:lvl>
    <w:lvl w:ilvl="7" w:tplc="6E22A1D6">
      <w:numFmt w:val="bullet"/>
      <w:lvlText w:val="•"/>
      <w:lvlJc w:val="left"/>
      <w:pPr>
        <w:ind w:left="6826" w:hanging="361"/>
      </w:pPr>
      <w:rPr>
        <w:rFonts w:hint="default"/>
      </w:rPr>
    </w:lvl>
    <w:lvl w:ilvl="8" w:tplc="1F72C840">
      <w:numFmt w:val="bullet"/>
      <w:lvlText w:val="•"/>
      <w:lvlJc w:val="left"/>
      <w:pPr>
        <w:ind w:left="7704" w:hanging="361"/>
      </w:pPr>
      <w:rPr>
        <w:rFonts w:hint="default"/>
      </w:rPr>
    </w:lvl>
  </w:abstractNum>
  <w:abstractNum w:abstractNumId="23" w15:restartNumberingAfterBreak="0">
    <w:nsid w:val="6AA17DB9"/>
    <w:multiLevelType w:val="hybridMultilevel"/>
    <w:tmpl w:val="D4BA5D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BDD5A8D"/>
    <w:multiLevelType w:val="hybridMultilevel"/>
    <w:tmpl w:val="25102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7609F9"/>
    <w:multiLevelType w:val="hybridMultilevel"/>
    <w:tmpl w:val="6E90E196"/>
    <w:lvl w:ilvl="0" w:tplc="04090019">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ED40C8F"/>
    <w:multiLevelType w:val="hybridMultilevel"/>
    <w:tmpl w:val="10B08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3666B5D"/>
    <w:multiLevelType w:val="hybridMultilevel"/>
    <w:tmpl w:val="57CCA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814DDE"/>
    <w:multiLevelType w:val="hybridMultilevel"/>
    <w:tmpl w:val="BACA6D06"/>
    <w:lvl w:ilvl="0" w:tplc="0409000F">
      <w:start w:val="1"/>
      <w:numFmt w:val="decimal"/>
      <w:lvlText w:val="%1."/>
      <w:lvlJc w:val="left"/>
      <w:pPr>
        <w:ind w:left="720" w:hanging="360"/>
      </w:pPr>
    </w:lvl>
    <w:lvl w:ilvl="1" w:tplc="DB7CA9E8">
      <w:start w:val="1"/>
      <w:numFmt w:val="lowerLetter"/>
      <w:lvlText w:val="%2."/>
      <w:lvlJc w:val="left"/>
      <w:pPr>
        <w:ind w:left="1440" w:hanging="360"/>
      </w:pPr>
      <w:rPr>
        <w:rFonts w:hint="default"/>
      </w:rPr>
    </w:lvl>
    <w:lvl w:ilvl="2" w:tplc="F1A83ED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315EB"/>
    <w:multiLevelType w:val="hybridMultilevel"/>
    <w:tmpl w:val="3FF2B1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7165000"/>
    <w:multiLevelType w:val="hybridMultilevel"/>
    <w:tmpl w:val="A8CAF9E2"/>
    <w:lvl w:ilvl="0" w:tplc="04090019">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88C6CCC"/>
    <w:multiLevelType w:val="hybridMultilevel"/>
    <w:tmpl w:val="EC7A9E2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9DE7A8C"/>
    <w:multiLevelType w:val="hybridMultilevel"/>
    <w:tmpl w:val="21CE3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F50A71"/>
    <w:multiLevelType w:val="hybridMultilevel"/>
    <w:tmpl w:val="91AAAD68"/>
    <w:lvl w:ilvl="0" w:tplc="04090019">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A084B41"/>
    <w:multiLevelType w:val="hybridMultilevel"/>
    <w:tmpl w:val="6DF60472"/>
    <w:lvl w:ilvl="0" w:tplc="DB7CA9E8">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DBB494A"/>
    <w:multiLevelType w:val="hybridMultilevel"/>
    <w:tmpl w:val="BF6053FC"/>
    <w:lvl w:ilvl="0" w:tplc="04090019">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4"/>
  </w:num>
  <w:num w:numId="2">
    <w:abstractNumId w:val="15"/>
  </w:num>
  <w:num w:numId="3">
    <w:abstractNumId w:val="7"/>
  </w:num>
  <w:num w:numId="4">
    <w:abstractNumId w:val="6"/>
  </w:num>
  <w:num w:numId="5">
    <w:abstractNumId w:val="26"/>
  </w:num>
  <w:num w:numId="6">
    <w:abstractNumId w:val="30"/>
  </w:num>
  <w:num w:numId="7">
    <w:abstractNumId w:val="32"/>
  </w:num>
  <w:num w:numId="8">
    <w:abstractNumId w:val="19"/>
  </w:num>
  <w:num w:numId="9">
    <w:abstractNumId w:val="5"/>
  </w:num>
  <w:num w:numId="10">
    <w:abstractNumId w:val="35"/>
  </w:num>
  <w:num w:numId="11">
    <w:abstractNumId w:val="18"/>
  </w:num>
  <w:num w:numId="12">
    <w:abstractNumId w:val="22"/>
  </w:num>
  <w:num w:numId="13">
    <w:abstractNumId w:val="16"/>
  </w:num>
  <w:num w:numId="14">
    <w:abstractNumId w:val="31"/>
  </w:num>
  <w:num w:numId="15">
    <w:abstractNumId w:val="25"/>
  </w:num>
  <w:num w:numId="16">
    <w:abstractNumId w:val="21"/>
  </w:num>
  <w:num w:numId="17">
    <w:abstractNumId w:val="3"/>
  </w:num>
  <w:num w:numId="18">
    <w:abstractNumId w:val="1"/>
  </w:num>
  <w:num w:numId="19">
    <w:abstractNumId w:val="13"/>
  </w:num>
  <w:num w:numId="20">
    <w:abstractNumId w:val="23"/>
  </w:num>
  <w:num w:numId="21">
    <w:abstractNumId w:val="33"/>
  </w:num>
  <w:num w:numId="22">
    <w:abstractNumId w:val="20"/>
  </w:num>
  <w:num w:numId="23">
    <w:abstractNumId w:val="8"/>
  </w:num>
  <w:num w:numId="24">
    <w:abstractNumId w:val="29"/>
  </w:num>
  <w:num w:numId="25">
    <w:abstractNumId w:val="17"/>
  </w:num>
  <w:num w:numId="26">
    <w:abstractNumId w:val="27"/>
  </w:num>
  <w:num w:numId="27">
    <w:abstractNumId w:val="4"/>
  </w:num>
  <w:num w:numId="28">
    <w:abstractNumId w:val="11"/>
  </w:num>
  <w:num w:numId="29">
    <w:abstractNumId w:val="2"/>
  </w:num>
  <w:num w:numId="30">
    <w:abstractNumId w:val="12"/>
  </w:num>
  <w:num w:numId="31">
    <w:abstractNumId w:val="9"/>
  </w:num>
  <w:num w:numId="32">
    <w:abstractNumId w:val="34"/>
  </w:num>
  <w:num w:numId="33">
    <w:abstractNumId w:val="0"/>
  </w:num>
  <w:num w:numId="34">
    <w:abstractNumId w:val="14"/>
  </w:num>
  <w:num w:numId="35">
    <w:abstractNumId w:val="28"/>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A1A"/>
    <w:rsid w:val="00006898"/>
    <w:rsid w:val="0002717A"/>
    <w:rsid w:val="00046614"/>
    <w:rsid w:val="000813A5"/>
    <w:rsid w:val="00085ACB"/>
    <w:rsid w:val="000C140B"/>
    <w:rsid w:val="001422B4"/>
    <w:rsid w:val="00180AA3"/>
    <w:rsid w:val="00185661"/>
    <w:rsid w:val="00196124"/>
    <w:rsid w:val="001B7FA5"/>
    <w:rsid w:val="001D288F"/>
    <w:rsid w:val="001F1D90"/>
    <w:rsid w:val="001F2169"/>
    <w:rsid w:val="0022417B"/>
    <w:rsid w:val="00283C74"/>
    <w:rsid w:val="00294412"/>
    <w:rsid w:val="002B20CF"/>
    <w:rsid w:val="002E0EFC"/>
    <w:rsid w:val="00386627"/>
    <w:rsid w:val="003B1BE2"/>
    <w:rsid w:val="003C4FCE"/>
    <w:rsid w:val="003E790C"/>
    <w:rsid w:val="004361F2"/>
    <w:rsid w:val="00444F20"/>
    <w:rsid w:val="0046751A"/>
    <w:rsid w:val="004732D1"/>
    <w:rsid w:val="00474613"/>
    <w:rsid w:val="00477E49"/>
    <w:rsid w:val="00497629"/>
    <w:rsid w:val="004A61C6"/>
    <w:rsid w:val="004A77C8"/>
    <w:rsid w:val="005175F2"/>
    <w:rsid w:val="00577363"/>
    <w:rsid w:val="005850F1"/>
    <w:rsid w:val="00591AFC"/>
    <w:rsid w:val="00596FB2"/>
    <w:rsid w:val="00630EAE"/>
    <w:rsid w:val="00644BC1"/>
    <w:rsid w:val="006B1D6D"/>
    <w:rsid w:val="006B4D2B"/>
    <w:rsid w:val="006E203A"/>
    <w:rsid w:val="006E77A0"/>
    <w:rsid w:val="007A4A27"/>
    <w:rsid w:val="007C234E"/>
    <w:rsid w:val="007C4028"/>
    <w:rsid w:val="007C62A6"/>
    <w:rsid w:val="007D7832"/>
    <w:rsid w:val="007E148F"/>
    <w:rsid w:val="00822BE5"/>
    <w:rsid w:val="00830F84"/>
    <w:rsid w:val="00833103"/>
    <w:rsid w:val="00850C74"/>
    <w:rsid w:val="00914CD8"/>
    <w:rsid w:val="00937269"/>
    <w:rsid w:val="00943DF3"/>
    <w:rsid w:val="009547E1"/>
    <w:rsid w:val="00A300F7"/>
    <w:rsid w:val="00A931B8"/>
    <w:rsid w:val="00AA5A13"/>
    <w:rsid w:val="00AB197F"/>
    <w:rsid w:val="00AB4A1A"/>
    <w:rsid w:val="00AC4CE4"/>
    <w:rsid w:val="00AE5496"/>
    <w:rsid w:val="00AF460B"/>
    <w:rsid w:val="00AF6972"/>
    <w:rsid w:val="00B2160D"/>
    <w:rsid w:val="00B25979"/>
    <w:rsid w:val="00B43A44"/>
    <w:rsid w:val="00B93293"/>
    <w:rsid w:val="00BA58DE"/>
    <w:rsid w:val="00BB1A86"/>
    <w:rsid w:val="00BE0BB5"/>
    <w:rsid w:val="00BE78AF"/>
    <w:rsid w:val="00C3491F"/>
    <w:rsid w:val="00C351E3"/>
    <w:rsid w:val="00C51623"/>
    <w:rsid w:val="00C54099"/>
    <w:rsid w:val="00C71E20"/>
    <w:rsid w:val="00C86005"/>
    <w:rsid w:val="00CB17EB"/>
    <w:rsid w:val="00CF2B04"/>
    <w:rsid w:val="00D029BE"/>
    <w:rsid w:val="00D038BA"/>
    <w:rsid w:val="00D370FD"/>
    <w:rsid w:val="00D63A5D"/>
    <w:rsid w:val="00D67EC6"/>
    <w:rsid w:val="00D70372"/>
    <w:rsid w:val="00D81EF7"/>
    <w:rsid w:val="00DC6C61"/>
    <w:rsid w:val="00DD2D0F"/>
    <w:rsid w:val="00DD7C96"/>
    <w:rsid w:val="00DE7420"/>
    <w:rsid w:val="00DF58E2"/>
    <w:rsid w:val="00DF7153"/>
    <w:rsid w:val="00E5378E"/>
    <w:rsid w:val="00E62DBA"/>
    <w:rsid w:val="00EA370F"/>
    <w:rsid w:val="00ED5C22"/>
    <w:rsid w:val="00F3681C"/>
    <w:rsid w:val="00F41831"/>
    <w:rsid w:val="00F45BCB"/>
    <w:rsid w:val="00F465DE"/>
    <w:rsid w:val="00F6138B"/>
    <w:rsid w:val="00F8129C"/>
    <w:rsid w:val="00F8275C"/>
    <w:rsid w:val="00FA3284"/>
    <w:rsid w:val="00FC08F7"/>
    <w:rsid w:val="00FD6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B3A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A44"/>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CA"/>
    </w:rPr>
  </w:style>
  <w:style w:type="paragraph" w:styleId="Heading2">
    <w:name w:val="heading 2"/>
    <w:basedOn w:val="Normal"/>
    <w:next w:val="Normal"/>
    <w:link w:val="Heading2Char"/>
    <w:uiPriority w:val="9"/>
    <w:unhideWhenUsed/>
    <w:qFormat/>
    <w:rsid w:val="00B43A44"/>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n-CA"/>
    </w:rPr>
  </w:style>
  <w:style w:type="paragraph" w:styleId="Heading3">
    <w:name w:val="heading 3"/>
    <w:basedOn w:val="Normal"/>
    <w:next w:val="Normal"/>
    <w:link w:val="Heading3Char"/>
    <w:uiPriority w:val="9"/>
    <w:unhideWhenUsed/>
    <w:qFormat/>
    <w:rsid w:val="00B43A44"/>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n-CA"/>
    </w:rPr>
  </w:style>
  <w:style w:type="paragraph" w:styleId="Heading4">
    <w:name w:val="heading 4"/>
    <w:basedOn w:val="Normal"/>
    <w:next w:val="Normal"/>
    <w:link w:val="Heading4Char"/>
    <w:uiPriority w:val="9"/>
    <w:unhideWhenUsed/>
    <w:qFormat/>
    <w:rsid w:val="00B43A44"/>
    <w:pPr>
      <w:keepNext/>
      <w:keepLines/>
      <w:spacing w:before="40" w:after="0" w:line="240" w:lineRule="auto"/>
      <w:outlineLvl w:val="3"/>
    </w:pPr>
    <w:rPr>
      <w:rFonts w:asciiTheme="majorHAnsi" w:eastAsiaTheme="majorEastAsia" w:hAnsiTheme="majorHAnsi" w:cstheme="majorBidi"/>
      <w:i/>
      <w:iCs/>
      <w:color w:val="2E74B5" w:themeColor="accent1" w:themeShade="BF"/>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44"/>
    <w:rPr>
      <w:rFonts w:asciiTheme="majorHAnsi" w:eastAsiaTheme="majorEastAsia" w:hAnsiTheme="majorHAnsi" w:cstheme="majorBidi"/>
      <w:color w:val="2E74B5" w:themeColor="accent1" w:themeShade="BF"/>
      <w:sz w:val="32"/>
      <w:szCs w:val="32"/>
      <w:lang w:val="en-CA"/>
    </w:rPr>
  </w:style>
  <w:style w:type="character" w:customStyle="1" w:styleId="Heading2Char">
    <w:name w:val="Heading 2 Char"/>
    <w:basedOn w:val="DefaultParagraphFont"/>
    <w:link w:val="Heading2"/>
    <w:uiPriority w:val="9"/>
    <w:rsid w:val="00B43A44"/>
    <w:rPr>
      <w:rFonts w:asciiTheme="majorHAnsi" w:eastAsiaTheme="majorEastAsia" w:hAnsiTheme="majorHAnsi" w:cstheme="majorBidi"/>
      <w:color w:val="2E74B5" w:themeColor="accent1" w:themeShade="BF"/>
      <w:sz w:val="26"/>
      <w:szCs w:val="26"/>
      <w:lang w:val="en-CA"/>
    </w:rPr>
  </w:style>
  <w:style w:type="character" w:customStyle="1" w:styleId="Heading3Char">
    <w:name w:val="Heading 3 Char"/>
    <w:basedOn w:val="DefaultParagraphFont"/>
    <w:link w:val="Heading3"/>
    <w:uiPriority w:val="9"/>
    <w:rsid w:val="00B43A44"/>
    <w:rPr>
      <w:rFonts w:asciiTheme="majorHAnsi" w:eastAsiaTheme="majorEastAsia" w:hAnsiTheme="majorHAnsi" w:cstheme="majorBidi"/>
      <w:color w:val="1F4D78" w:themeColor="accent1" w:themeShade="7F"/>
      <w:sz w:val="24"/>
      <w:szCs w:val="24"/>
      <w:lang w:val="en-CA"/>
    </w:rPr>
  </w:style>
  <w:style w:type="character" w:customStyle="1" w:styleId="Heading4Char">
    <w:name w:val="Heading 4 Char"/>
    <w:basedOn w:val="DefaultParagraphFont"/>
    <w:link w:val="Heading4"/>
    <w:uiPriority w:val="9"/>
    <w:rsid w:val="00B43A44"/>
    <w:rPr>
      <w:rFonts w:asciiTheme="majorHAnsi" w:eastAsiaTheme="majorEastAsia" w:hAnsiTheme="majorHAnsi" w:cstheme="majorBidi"/>
      <w:i/>
      <w:iCs/>
      <w:color w:val="2E74B5" w:themeColor="accent1" w:themeShade="BF"/>
      <w:lang w:val="en-CA"/>
    </w:rPr>
  </w:style>
  <w:style w:type="table" w:styleId="ListTable3-Accent5">
    <w:name w:val="List Table 3 Accent 5"/>
    <w:basedOn w:val="TableNormal"/>
    <w:uiPriority w:val="48"/>
    <w:rsid w:val="00B93293"/>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Header">
    <w:name w:val="header"/>
    <w:basedOn w:val="Normal"/>
    <w:link w:val="HeaderChar"/>
    <w:uiPriority w:val="99"/>
    <w:unhideWhenUsed/>
    <w:rsid w:val="00B43A44"/>
    <w:pPr>
      <w:tabs>
        <w:tab w:val="center" w:pos="4680"/>
        <w:tab w:val="right" w:pos="9360"/>
      </w:tabs>
      <w:spacing w:after="0" w:line="240" w:lineRule="auto"/>
    </w:pPr>
    <w:rPr>
      <w:rFonts w:ascii="Calibri" w:eastAsia="Calibri" w:hAnsi="Calibri" w:cs="Times New Roman"/>
      <w:lang w:val="en-CA"/>
    </w:rPr>
  </w:style>
  <w:style w:type="character" w:customStyle="1" w:styleId="HeaderChar">
    <w:name w:val="Header Char"/>
    <w:basedOn w:val="DefaultParagraphFont"/>
    <w:link w:val="Header"/>
    <w:uiPriority w:val="99"/>
    <w:rsid w:val="00B43A44"/>
    <w:rPr>
      <w:rFonts w:ascii="Calibri" w:eastAsia="Calibri" w:hAnsi="Calibri" w:cs="Times New Roman"/>
      <w:lang w:val="en-CA"/>
    </w:rPr>
  </w:style>
  <w:style w:type="paragraph" w:styleId="Footer">
    <w:name w:val="footer"/>
    <w:basedOn w:val="Normal"/>
    <w:link w:val="FooterChar"/>
    <w:uiPriority w:val="99"/>
    <w:unhideWhenUsed/>
    <w:rsid w:val="00B43A44"/>
    <w:pPr>
      <w:tabs>
        <w:tab w:val="center" w:pos="4680"/>
        <w:tab w:val="right" w:pos="9360"/>
      </w:tabs>
      <w:spacing w:after="0" w:line="240" w:lineRule="auto"/>
    </w:pPr>
    <w:rPr>
      <w:rFonts w:ascii="Calibri" w:eastAsia="Calibri" w:hAnsi="Calibri" w:cs="Times New Roman"/>
      <w:lang w:val="en-CA"/>
    </w:rPr>
  </w:style>
  <w:style w:type="character" w:customStyle="1" w:styleId="FooterChar">
    <w:name w:val="Footer Char"/>
    <w:basedOn w:val="DefaultParagraphFont"/>
    <w:link w:val="Footer"/>
    <w:uiPriority w:val="99"/>
    <w:rsid w:val="00B43A44"/>
    <w:rPr>
      <w:rFonts w:ascii="Calibri" w:eastAsia="Calibri" w:hAnsi="Calibri" w:cs="Times New Roman"/>
      <w:lang w:val="en-CA"/>
    </w:rPr>
  </w:style>
  <w:style w:type="paragraph" w:styleId="NormalWeb">
    <w:name w:val="Normal (Web)"/>
    <w:basedOn w:val="Normal"/>
    <w:uiPriority w:val="99"/>
    <w:unhideWhenUsed/>
    <w:rsid w:val="00B43A44"/>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BalloonTextChar">
    <w:name w:val="Balloon Text Char"/>
    <w:basedOn w:val="DefaultParagraphFont"/>
    <w:link w:val="BalloonText"/>
    <w:uiPriority w:val="99"/>
    <w:semiHidden/>
    <w:rsid w:val="00B43A44"/>
    <w:rPr>
      <w:rFonts w:ascii="Segoe UI" w:eastAsia="Calibri" w:hAnsi="Segoe UI" w:cs="Segoe UI"/>
      <w:sz w:val="18"/>
      <w:szCs w:val="18"/>
      <w:lang w:val="en-CA"/>
    </w:rPr>
  </w:style>
  <w:style w:type="paragraph" w:styleId="BalloonText">
    <w:name w:val="Balloon Text"/>
    <w:basedOn w:val="Normal"/>
    <w:link w:val="BalloonTextChar"/>
    <w:uiPriority w:val="99"/>
    <w:semiHidden/>
    <w:unhideWhenUsed/>
    <w:rsid w:val="00B43A44"/>
    <w:pPr>
      <w:spacing w:after="0" w:line="240" w:lineRule="auto"/>
    </w:pPr>
    <w:rPr>
      <w:rFonts w:ascii="Segoe UI" w:eastAsia="Calibri" w:hAnsi="Segoe UI" w:cs="Segoe UI"/>
      <w:sz w:val="18"/>
      <w:szCs w:val="18"/>
      <w:lang w:val="en-CA"/>
    </w:rPr>
  </w:style>
  <w:style w:type="character" w:styleId="EndnoteReference">
    <w:name w:val="endnote reference"/>
    <w:basedOn w:val="DefaultParagraphFont"/>
    <w:uiPriority w:val="99"/>
    <w:unhideWhenUsed/>
    <w:rsid w:val="00B43A44"/>
    <w:rPr>
      <w:vertAlign w:val="superscript"/>
    </w:rPr>
  </w:style>
  <w:style w:type="paragraph" w:styleId="EndnoteText">
    <w:name w:val="endnote text"/>
    <w:basedOn w:val="Normal"/>
    <w:link w:val="EndnoteTextChar"/>
    <w:uiPriority w:val="99"/>
    <w:unhideWhenUsed/>
    <w:rsid w:val="00B43A44"/>
    <w:pPr>
      <w:spacing w:after="0" w:line="240" w:lineRule="auto"/>
    </w:pPr>
    <w:rPr>
      <w:sz w:val="20"/>
      <w:szCs w:val="20"/>
    </w:rPr>
  </w:style>
  <w:style w:type="character" w:customStyle="1" w:styleId="EndnoteTextChar">
    <w:name w:val="Endnote Text Char"/>
    <w:basedOn w:val="DefaultParagraphFont"/>
    <w:link w:val="EndnoteText"/>
    <w:uiPriority w:val="99"/>
    <w:rsid w:val="00B43A44"/>
    <w:rPr>
      <w:sz w:val="20"/>
      <w:szCs w:val="20"/>
    </w:rPr>
  </w:style>
  <w:style w:type="paragraph" w:styleId="CommentText">
    <w:name w:val="annotation text"/>
    <w:basedOn w:val="Normal"/>
    <w:link w:val="CommentTextChar"/>
    <w:uiPriority w:val="99"/>
    <w:unhideWhenUsed/>
    <w:rsid w:val="00B43A44"/>
    <w:pPr>
      <w:spacing w:line="240" w:lineRule="auto"/>
    </w:pPr>
    <w:rPr>
      <w:sz w:val="20"/>
      <w:szCs w:val="20"/>
    </w:rPr>
  </w:style>
  <w:style w:type="character" w:customStyle="1" w:styleId="CommentTextChar">
    <w:name w:val="Comment Text Char"/>
    <w:basedOn w:val="DefaultParagraphFont"/>
    <w:link w:val="CommentText"/>
    <w:uiPriority w:val="99"/>
    <w:rsid w:val="00B43A44"/>
    <w:rPr>
      <w:sz w:val="20"/>
      <w:szCs w:val="20"/>
    </w:rPr>
  </w:style>
  <w:style w:type="paragraph" w:styleId="NoSpacing">
    <w:name w:val="No Spacing"/>
    <w:uiPriority w:val="1"/>
    <w:qFormat/>
    <w:rsid w:val="00B43A44"/>
    <w:pPr>
      <w:spacing w:after="0" w:line="240" w:lineRule="auto"/>
    </w:pPr>
    <w:rPr>
      <w:rFonts w:ascii="Calibri" w:eastAsia="Calibri" w:hAnsi="Calibri" w:cs="Times New Roman"/>
    </w:rPr>
  </w:style>
  <w:style w:type="paragraph" w:customStyle="1" w:styleId="EndNoteBibliography">
    <w:name w:val="EndNote Bibliography"/>
    <w:basedOn w:val="Normal"/>
    <w:link w:val="EndNoteBibliographyChar"/>
    <w:rsid w:val="00B43A44"/>
    <w:pPr>
      <w:spacing w:after="240" w:line="240" w:lineRule="auto"/>
      <w:jc w:val="both"/>
    </w:pPr>
    <w:rPr>
      <w:rFonts w:ascii="Calibri Light" w:eastAsia="Calibri" w:hAnsi="Calibri Light" w:cs="Calibri Light"/>
      <w:noProof/>
      <w:sz w:val="32"/>
    </w:rPr>
  </w:style>
  <w:style w:type="character" w:customStyle="1" w:styleId="EndNoteBibliographyChar">
    <w:name w:val="EndNote Bibliography Char"/>
    <w:basedOn w:val="DefaultParagraphFont"/>
    <w:link w:val="EndNoteBibliography"/>
    <w:rsid w:val="00B43A44"/>
    <w:rPr>
      <w:rFonts w:ascii="Calibri Light" w:eastAsia="Calibri" w:hAnsi="Calibri Light" w:cs="Calibri Light"/>
      <w:noProof/>
      <w:sz w:val="32"/>
    </w:rPr>
  </w:style>
  <w:style w:type="paragraph" w:customStyle="1" w:styleId="Paragraph">
    <w:name w:val="Paragraph"/>
    <w:link w:val="ParagraphChar"/>
    <w:rsid w:val="00B43A44"/>
    <w:pPr>
      <w:spacing w:after="240" w:line="240" w:lineRule="auto"/>
    </w:pPr>
    <w:rPr>
      <w:rFonts w:ascii="Times New Roman" w:eastAsia="Times New Roman" w:hAnsi="Times New Roman" w:cs="Times New Roman"/>
      <w:sz w:val="24"/>
      <w:szCs w:val="24"/>
    </w:rPr>
  </w:style>
  <w:style w:type="character" w:customStyle="1" w:styleId="ParagraphChar">
    <w:name w:val="Paragraph Char"/>
    <w:basedOn w:val="DefaultParagraphFont"/>
    <w:link w:val="Paragraph"/>
    <w:locked/>
    <w:rsid w:val="00B43A44"/>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43A44"/>
    <w:pPr>
      <w:widowControl w:val="0"/>
      <w:autoSpaceDE w:val="0"/>
      <w:autoSpaceDN w:val="0"/>
      <w:spacing w:after="0" w:line="240" w:lineRule="auto"/>
    </w:pPr>
    <w:rPr>
      <w:rFonts w:ascii="Arial" w:eastAsia="Arial" w:hAnsi="Arial" w:cs="Arial"/>
    </w:rPr>
  </w:style>
  <w:style w:type="character" w:styleId="Hyperlink">
    <w:name w:val="Hyperlink"/>
    <w:basedOn w:val="DefaultParagraphFont"/>
    <w:uiPriority w:val="99"/>
    <w:unhideWhenUsed/>
    <w:rsid w:val="00B43A44"/>
    <w:rPr>
      <w:color w:val="0563C1" w:themeColor="hyperlink"/>
      <w:u w:val="single"/>
    </w:rPr>
  </w:style>
  <w:style w:type="paragraph" w:customStyle="1" w:styleId="Default">
    <w:name w:val="Default"/>
    <w:rsid w:val="00B43A44"/>
    <w:pPr>
      <w:autoSpaceDE w:val="0"/>
      <w:autoSpaceDN w:val="0"/>
      <w:adjustRightInd w:val="0"/>
      <w:spacing w:after="0" w:line="240" w:lineRule="auto"/>
    </w:pPr>
    <w:rPr>
      <w:rFonts w:ascii="Calibri" w:hAnsi="Calibri" w:cs="Calibri"/>
      <w:color w:val="000000"/>
      <w:sz w:val="24"/>
      <w:szCs w:val="24"/>
    </w:rPr>
  </w:style>
  <w:style w:type="paragraph" w:styleId="Caption">
    <w:name w:val="caption"/>
    <w:aliases w:val="表タイトル,Table caption,Caption 3,c,appendix"/>
    <w:basedOn w:val="Normal"/>
    <w:next w:val="Normal"/>
    <w:link w:val="CaptionChar"/>
    <w:uiPriority w:val="35"/>
    <w:unhideWhenUsed/>
    <w:qFormat/>
    <w:rsid w:val="00B43A44"/>
    <w:pPr>
      <w:spacing w:after="200" w:line="240" w:lineRule="auto"/>
    </w:pPr>
    <w:rPr>
      <w:rFonts w:ascii="Calibri" w:eastAsia="Calibri" w:hAnsi="Calibri" w:cs="Times New Roman"/>
      <w:i/>
      <w:iCs/>
      <w:color w:val="44546A" w:themeColor="text2"/>
      <w:sz w:val="18"/>
      <w:szCs w:val="18"/>
      <w:lang w:val="en-CA"/>
    </w:rPr>
  </w:style>
  <w:style w:type="character" w:customStyle="1" w:styleId="CaptionChar">
    <w:name w:val="Caption Char"/>
    <w:aliases w:val="表タイトル Char,Table caption Char,Caption 3 Char,c Char,appendix Char"/>
    <w:basedOn w:val="DefaultParagraphFont"/>
    <w:link w:val="Caption"/>
    <w:uiPriority w:val="35"/>
    <w:locked/>
    <w:rsid w:val="00B43A44"/>
    <w:rPr>
      <w:rFonts w:ascii="Calibri" w:eastAsia="Calibri" w:hAnsi="Calibri" w:cs="Times New Roman"/>
      <w:i/>
      <w:iCs/>
      <w:color w:val="44546A" w:themeColor="text2"/>
      <w:sz w:val="18"/>
      <w:szCs w:val="18"/>
      <w:lang w:val="en-CA"/>
    </w:rPr>
  </w:style>
  <w:style w:type="paragraph" w:styleId="ListParagraph">
    <w:name w:val="List Paragraph"/>
    <w:basedOn w:val="Normal"/>
    <w:uiPriority w:val="34"/>
    <w:qFormat/>
    <w:rsid w:val="00B43A44"/>
    <w:pPr>
      <w:spacing w:after="240" w:line="240" w:lineRule="auto"/>
      <w:ind w:left="720"/>
      <w:contextualSpacing/>
    </w:pPr>
    <w:rPr>
      <w:rFonts w:ascii="Calibri" w:eastAsia="Calibri" w:hAnsi="Calibri" w:cs="Times New Roman"/>
      <w:lang w:val="en-CA"/>
    </w:rPr>
  </w:style>
  <w:style w:type="paragraph" w:styleId="PlainText">
    <w:name w:val="Plain Text"/>
    <w:basedOn w:val="Normal"/>
    <w:link w:val="PlainTextChar"/>
    <w:uiPriority w:val="99"/>
    <w:unhideWhenUsed/>
    <w:rsid w:val="00B43A44"/>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B43A44"/>
    <w:rPr>
      <w:rFonts w:ascii="Calibri" w:hAnsi="Calibri" w:cs="Consolas"/>
      <w:szCs w:val="21"/>
    </w:rPr>
  </w:style>
  <w:style w:type="paragraph" w:styleId="BodyText">
    <w:name w:val="Body Text"/>
    <w:aliases w:val="GS,GS + Left,Left:  0 cm,Hanging:  1.27 cm,After:  12 pt,After:  12 pt + Black"/>
    <w:basedOn w:val="Normal"/>
    <w:link w:val="BodyTextChar"/>
    <w:rsid w:val="00B43A44"/>
    <w:pPr>
      <w:spacing w:after="120" w:line="240" w:lineRule="auto"/>
      <w:ind w:left="720"/>
    </w:pPr>
    <w:rPr>
      <w:rFonts w:ascii="Times New Roman" w:eastAsia="SimSun" w:hAnsi="Times New Roman" w:cs="Times New Roman"/>
      <w:sz w:val="24"/>
      <w:szCs w:val="24"/>
      <w:lang w:val="en-GB"/>
    </w:rPr>
  </w:style>
  <w:style w:type="character" w:customStyle="1" w:styleId="BodyTextChar">
    <w:name w:val="Body Text Char"/>
    <w:aliases w:val="GS Char,GS + Left Char,Left:  0 cm Char,Hanging:  1.27 cm Char,After:  12 pt Char,After:  12 pt + Black Char"/>
    <w:basedOn w:val="DefaultParagraphFont"/>
    <w:link w:val="BodyText"/>
    <w:rsid w:val="00B43A44"/>
    <w:rPr>
      <w:rFonts w:ascii="Times New Roman" w:eastAsia="SimSun" w:hAnsi="Times New Roman" w:cs="Times New Roman"/>
      <w:sz w:val="24"/>
      <w:szCs w:val="24"/>
      <w:lang w:val="en-GB"/>
    </w:rPr>
  </w:style>
  <w:style w:type="paragraph" w:styleId="TOCHeading">
    <w:name w:val="TOC Heading"/>
    <w:basedOn w:val="Heading1"/>
    <w:next w:val="Normal"/>
    <w:uiPriority w:val="39"/>
    <w:unhideWhenUsed/>
    <w:qFormat/>
    <w:rsid w:val="00B43A44"/>
    <w:pPr>
      <w:spacing w:line="259" w:lineRule="auto"/>
      <w:outlineLvl w:val="9"/>
    </w:pPr>
    <w:rPr>
      <w:lang w:val="en-US"/>
    </w:rPr>
  </w:style>
  <w:style w:type="paragraph" w:styleId="TOC1">
    <w:name w:val="toc 1"/>
    <w:basedOn w:val="Normal"/>
    <w:next w:val="Normal"/>
    <w:autoRedefine/>
    <w:uiPriority w:val="39"/>
    <w:unhideWhenUsed/>
    <w:rsid w:val="00B43A44"/>
    <w:pPr>
      <w:spacing w:after="100" w:line="240" w:lineRule="auto"/>
    </w:pPr>
    <w:rPr>
      <w:rFonts w:ascii="Calibri" w:eastAsia="Calibri" w:hAnsi="Calibri" w:cs="Times New Roman"/>
      <w:lang w:val="en-CA"/>
    </w:rPr>
  </w:style>
  <w:style w:type="paragraph" w:styleId="TOC2">
    <w:name w:val="toc 2"/>
    <w:basedOn w:val="Normal"/>
    <w:next w:val="Normal"/>
    <w:autoRedefine/>
    <w:uiPriority w:val="39"/>
    <w:unhideWhenUsed/>
    <w:rsid w:val="00B43A44"/>
    <w:pPr>
      <w:spacing w:after="100" w:line="240" w:lineRule="auto"/>
      <w:ind w:left="220"/>
    </w:pPr>
    <w:rPr>
      <w:rFonts w:ascii="Calibri" w:eastAsia="Calibri" w:hAnsi="Calibri" w:cs="Times New Roman"/>
      <w:lang w:val="en-CA"/>
    </w:rPr>
  </w:style>
  <w:style w:type="paragraph" w:styleId="TOC3">
    <w:name w:val="toc 3"/>
    <w:basedOn w:val="Normal"/>
    <w:next w:val="Normal"/>
    <w:autoRedefine/>
    <w:uiPriority w:val="39"/>
    <w:unhideWhenUsed/>
    <w:rsid w:val="00B43A44"/>
    <w:pPr>
      <w:spacing w:after="100" w:line="240" w:lineRule="auto"/>
      <w:ind w:left="440"/>
    </w:pPr>
    <w:rPr>
      <w:rFonts w:ascii="Calibri" w:eastAsia="Calibri" w:hAnsi="Calibri" w:cs="Times New Roman"/>
      <w:lang w:val="en-CA"/>
    </w:rPr>
  </w:style>
  <w:style w:type="character" w:styleId="Emphasis">
    <w:name w:val="Emphasis"/>
    <w:basedOn w:val="DefaultParagraphFont"/>
    <w:uiPriority w:val="20"/>
    <w:qFormat/>
    <w:rsid w:val="00B43A44"/>
    <w:rPr>
      <w:i/>
      <w:iCs/>
    </w:rPr>
  </w:style>
  <w:style w:type="character" w:customStyle="1" w:styleId="CommentSubjectChar">
    <w:name w:val="Comment Subject Char"/>
    <w:basedOn w:val="CommentTextChar"/>
    <w:link w:val="CommentSubject"/>
    <w:uiPriority w:val="99"/>
    <w:semiHidden/>
    <w:rsid w:val="00B43A44"/>
    <w:rPr>
      <w:rFonts w:ascii="Calibri" w:eastAsia="Calibri" w:hAnsi="Calibri" w:cs="Times New Roman"/>
      <w:b/>
      <w:bCs/>
      <w:sz w:val="20"/>
      <w:szCs w:val="20"/>
      <w:lang w:val="en-CA"/>
    </w:rPr>
  </w:style>
  <w:style w:type="paragraph" w:styleId="CommentSubject">
    <w:name w:val="annotation subject"/>
    <w:basedOn w:val="CommentText"/>
    <w:next w:val="CommentText"/>
    <w:link w:val="CommentSubjectChar"/>
    <w:uiPriority w:val="99"/>
    <w:semiHidden/>
    <w:unhideWhenUsed/>
    <w:rsid w:val="00B43A44"/>
    <w:pPr>
      <w:spacing w:after="240"/>
    </w:pPr>
    <w:rPr>
      <w:rFonts w:ascii="Calibri" w:eastAsia="Calibri" w:hAnsi="Calibri" w:cs="Times New Roman"/>
      <w:b/>
      <w:bCs/>
      <w:lang w:val="en-CA"/>
    </w:rPr>
  </w:style>
  <w:style w:type="character" w:customStyle="1" w:styleId="FootnoteTextChar">
    <w:name w:val="Footnote Text Char"/>
    <w:basedOn w:val="DefaultParagraphFont"/>
    <w:link w:val="FootnoteText"/>
    <w:uiPriority w:val="99"/>
    <w:semiHidden/>
    <w:rsid w:val="00B43A44"/>
    <w:rPr>
      <w:rFonts w:ascii="Calibri" w:eastAsia="Calibri" w:hAnsi="Calibri" w:cs="Times New Roman"/>
      <w:sz w:val="20"/>
      <w:szCs w:val="20"/>
    </w:rPr>
  </w:style>
  <w:style w:type="paragraph" w:styleId="FootnoteText">
    <w:name w:val="footnote text"/>
    <w:basedOn w:val="Normal"/>
    <w:link w:val="FootnoteTextChar"/>
    <w:uiPriority w:val="99"/>
    <w:semiHidden/>
    <w:unhideWhenUsed/>
    <w:rsid w:val="00B43A44"/>
    <w:pPr>
      <w:spacing w:after="0" w:line="240" w:lineRule="auto"/>
    </w:pPr>
    <w:rPr>
      <w:rFonts w:ascii="Calibri" w:eastAsia="Calibri" w:hAnsi="Calibri" w:cs="Times New Roman"/>
      <w:sz w:val="20"/>
      <w:szCs w:val="20"/>
    </w:rPr>
  </w:style>
  <w:style w:type="character" w:customStyle="1" w:styleId="FootnoteTextChar1">
    <w:name w:val="Footnote Text Char1"/>
    <w:basedOn w:val="DefaultParagraphFont"/>
    <w:uiPriority w:val="99"/>
    <w:semiHidden/>
    <w:rsid w:val="00B43A44"/>
    <w:rPr>
      <w:sz w:val="20"/>
      <w:szCs w:val="20"/>
    </w:rPr>
  </w:style>
  <w:style w:type="paragraph" w:styleId="TableofFigures">
    <w:name w:val="table of figures"/>
    <w:basedOn w:val="Normal"/>
    <w:next w:val="Normal"/>
    <w:uiPriority w:val="99"/>
    <w:unhideWhenUsed/>
    <w:rsid w:val="00B43A44"/>
    <w:pPr>
      <w:spacing w:after="0" w:line="240" w:lineRule="auto"/>
    </w:pPr>
    <w:rPr>
      <w:rFonts w:ascii="Calibri" w:eastAsia="Calibri" w:hAnsi="Calibri" w:cs="Times New Roman"/>
      <w:lang w:val="en-CA"/>
    </w:rPr>
  </w:style>
  <w:style w:type="table" w:styleId="GridTable5Dark-Accent5">
    <w:name w:val="Grid Table 5 Dark Accent 5"/>
    <w:basedOn w:val="TableNormal"/>
    <w:uiPriority w:val="50"/>
    <w:rsid w:val="00B43A44"/>
    <w:pPr>
      <w:spacing w:after="0" w:line="240" w:lineRule="auto"/>
    </w:pPr>
    <w:rPr>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IntenseEmphasis">
    <w:name w:val="Intense Emphasis"/>
    <w:basedOn w:val="DefaultParagraphFont"/>
    <w:uiPriority w:val="21"/>
    <w:qFormat/>
    <w:rsid w:val="00B43A44"/>
    <w:rPr>
      <w:i/>
      <w:iCs/>
      <w:color w:val="5B9BD5" w:themeColor="accent1"/>
    </w:rPr>
  </w:style>
  <w:style w:type="character" w:styleId="SubtleEmphasis">
    <w:name w:val="Subtle Emphasis"/>
    <w:basedOn w:val="DefaultParagraphFont"/>
    <w:uiPriority w:val="19"/>
    <w:qFormat/>
    <w:rsid w:val="00B43A44"/>
    <w:rPr>
      <w:i/>
      <w:iCs/>
      <w:color w:val="404040" w:themeColor="text1" w:themeTint="BF"/>
    </w:rPr>
  </w:style>
  <w:style w:type="character" w:styleId="CommentReference">
    <w:name w:val="annotation reference"/>
    <w:basedOn w:val="DefaultParagraphFont"/>
    <w:uiPriority w:val="99"/>
    <w:semiHidden/>
    <w:unhideWhenUsed/>
    <w:rsid w:val="00474613"/>
    <w:rPr>
      <w:sz w:val="16"/>
      <w:szCs w:val="16"/>
    </w:rPr>
  </w:style>
  <w:style w:type="table" w:customStyle="1" w:styleId="ListTable3-Accent51">
    <w:name w:val="List Table 3 - Accent 51"/>
    <w:basedOn w:val="TableNormal"/>
    <w:next w:val="ListTable3-Accent5"/>
    <w:uiPriority w:val="48"/>
    <w:rsid w:val="00DE7420"/>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PlainTable2">
    <w:name w:val="Plain Table 2"/>
    <w:basedOn w:val="TableNormal"/>
    <w:uiPriority w:val="42"/>
    <w:rsid w:val="00822B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E537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6">
    <w:name w:val="List Table 2 Accent 6"/>
    <w:basedOn w:val="TableNormal"/>
    <w:uiPriority w:val="47"/>
    <w:rsid w:val="0038662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8662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3C4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72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cods.cancercare.on.ca\shared\Pharmacoeconomics\Public\Shaun\Criztotinib\13b.%20Criz%20CEA%20model%20v1%20FINAL%20Updated%20Tornado.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cods.cancercare.on.ca\shared\Pharmacoeconomics\Public\Shaun\Criztotinib\13b.%20Criz%20CEA%20model%20v1%20FINAL%20Updated%20Tornado%20bmc.xlsm"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'Survival Curve Summary'!$C$11</c:f>
              <c:strCache>
                <c:ptCount val="1"/>
                <c:pt idx="0">
                  <c:v>Criz PFS (Markov)</c:v>
                </c:pt>
              </c:strCache>
            </c:strRef>
          </c:tx>
          <c:spPr>
            <a:ln w="19050" cap="rnd">
              <a:solidFill>
                <a:schemeClr val="tx1"/>
              </a:solidFill>
              <a:round/>
            </a:ln>
            <a:effectLst/>
          </c:spPr>
          <c:marker>
            <c:symbol val="none"/>
          </c:marker>
          <c:xVal>
            <c:numRef>
              <c:f>'Survival Curve Summary'!$B$12:$B$252</c:f>
              <c:numCache>
                <c:formatCode>0</c:formatCode>
                <c:ptCount val="2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numCache>
            </c:numRef>
          </c:xVal>
          <c:yVal>
            <c:numRef>
              <c:f>'Survival Curve Summary'!$C$12:$C$252</c:f>
              <c:numCache>
                <c:formatCode>0.0%</c:formatCode>
                <c:ptCount val="241"/>
                <c:pt idx="0">
                  <c:v>1</c:v>
                </c:pt>
                <c:pt idx="1">
                  <c:v>0.98007714623204212</c:v>
                </c:pt>
                <c:pt idx="2">
                  <c:v>0.94828201412216773</c:v>
                </c:pt>
                <c:pt idx="3">
                  <c:v>0.91145542790531919</c:v>
                </c:pt>
                <c:pt idx="4">
                  <c:v>0.87235337405003677</c:v>
                </c:pt>
                <c:pt idx="5">
                  <c:v>0.83260630577841954</c:v>
                </c:pt>
                <c:pt idx="6">
                  <c:v>0.79324853658224637</c:v>
                </c:pt>
                <c:pt idx="7">
                  <c:v>0.75494018754214043</c:v>
                </c:pt>
                <c:pt idx="8">
                  <c:v>0.71809088722544312</c:v>
                </c:pt>
                <c:pt idx="9">
                  <c:v>0.68293859113358046</c:v>
                </c:pt>
                <c:pt idx="10">
                  <c:v>0.64960308087092955</c:v>
                </c:pt>
                <c:pt idx="11">
                  <c:v>0.61812333936837405</c:v>
                </c:pt>
                <c:pt idx="12">
                  <c:v>0.58848397131245822</c:v>
                </c:pt>
                <c:pt idx="13">
                  <c:v>0.56063393339497891</c:v>
                </c:pt>
                <c:pt idx="14">
                  <c:v>0.53449978164310308</c:v>
                </c:pt>
                <c:pt idx="15">
                  <c:v>0.50999498398416232</c:v>
                </c:pt>
                <c:pt idx="16">
                  <c:v>0.48702640422512494</c:v>
                </c:pt>
                <c:pt idx="17">
                  <c:v>0.46549875475018965</c:v>
                </c:pt>
                <c:pt idx="18">
                  <c:v>0.44531759466229737</c:v>
                </c:pt>
                <c:pt idx="19">
                  <c:v>0.42639129090235206</c:v>
                </c:pt>
                <c:pt idx="20">
                  <c:v>0.40863224444886365</c:v>
                </c:pt>
                <c:pt idx="21">
                  <c:v>0.3919575998562469</c:v>
                </c:pt>
                <c:pt idx="22">
                  <c:v>0.37628959547278457</c:v>
                </c:pt>
                <c:pt idx="23">
                  <c:v>0.36155566743984074</c:v>
                </c:pt>
                <c:pt idx="24">
                  <c:v>0.34768838847271966</c:v>
                </c:pt>
                <c:pt idx="25">
                  <c:v>0.33462529915524847</c:v>
                </c:pt>
                <c:pt idx="26">
                  <c:v>0.32230867263680391</c:v>
                </c:pt>
                <c:pt idx="27">
                  <c:v>0.31068524144844095</c:v>
                </c:pt>
                <c:pt idx="28">
                  <c:v>0.29970590637740663</c:v>
                </c:pt>
                <c:pt idx="29">
                  <c:v>0.28932544102769153</c:v>
                </c:pt>
                <c:pt idx="30">
                  <c:v>0.27950220117258145</c:v>
                </c:pt>
                <c:pt idx="31">
                  <c:v>0.27019784478183334</c:v>
                </c:pt>
                <c:pt idx="32">
                  <c:v>0.26137706632353658</c:v>
                </c:pt>
                <c:pt idx="33">
                  <c:v>0.25300734733879432</c:v>
                </c:pt>
                <c:pt idx="34">
                  <c:v>0.24505872417685651</c:v>
                </c:pt>
                <c:pt idx="35">
                  <c:v>0.23750357302159697</c:v>
                </c:pt>
                <c:pt idx="36">
                  <c:v>0.23031641183717602</c:v>
                </c:pt>
                <c:pt idx="37">
                  <c:v>0.22347371853861772</c:v>
                </c:pt>
                <c:pt idx="38">
                  <c:v>0.21695376449905418</c:v>
                </c:pt>
                <c:pt idx="39">
                  <c:v>0.21073646240126562</c:v>
                </c:pt>
                <c:pt idx="40">
                  <c:v>0.2048032273991913</c:v>
                </c:pt>
                <c:pt idx="41">
                  <c:v>0.19913685055533711</c:v>
                </c:pt>
                <c:pt idx="42">
                  <c:v>0.19372138354813728</c:v>
                </c:pt>
                <c:pt idx="43">
                  <c:v>0.18854203368911232</c:v>
                </c:pt>
                <c:pt idx="44">
                  <c:v>0.18358506834586075</c:v>
                </c:pt>
                <c:pt idx="45">
                  <c:v>0.17883772792846306</c:v>
                </c:pt>
                <c:pt idx="46">
                  <c:v>0.17428814666025469</c:v>
                </c:pt>
                <c:pt idx="47">
                  <c:v>0.16992528041678895</c:v>
                </c:pt>
                <c:pt idx="48">
                  <c:v>0.16573884097759323</c:v>
                </c:pt>
                <c:pt idx="49">
                  <c:v>0.16171923609307512</c:v>
                </c:pt>
                <c:pt idx="50">
                  <c:v>0.15785751482308563</c:v>
                </c:pt>
                <c:pt idx="51">
                  <c:v>0.15414531765393763</c:v>
                </c:pt>
                <c:pt idx="52">
                  <c:v>0.1505748309470358</c:v>
                </c:pt>
                <c:pt idx="53">
                  <c:v>0.14713874531476206</c:v>
                </c:pt>
                <c:pt idx="54">
                  <c:v>0.1438302175580258</c:v>
                </c:pt>
                <c:pt idx="55">
                  <c:v>0.14064283583513937</c:v>
                </c:pt>
                <c:pt idx="56">
                  <c:v>0.1375705877636394</c:v>
                </c:pt>
                <c:pt idx="57">
                  <c:v>0.13460783118559708</c:v>
                </c:pt>
                <c:pt idx="58">
                  <c:v>0.13174926735308484</c:v>
                </c:pt>
                <c:pt idx="59">
                  <c:v>0.12898991631403706</c:v>
                </c:pt>
                <c:pt idx="60">
                  <c:v>0.1263250942999902</c:v>
                </c:pt>
                <c:pt idx="61">
                  <c:v>0.1237503929363243</c:v>
                </c:pt>
                <c:pt idx="62">
                  <c:v>0.12126166011286055</c:v>
                </c:pt>
                <c:pt idx="63">
                  <c:v>0.11885498236817986</c:v>
                </c:pt>
                <c:pt idx="64">
                  <c:v>0.11652666865498987</c:v>
                </c:pt>
                <c:pt idx="65">
                  <c:v>0.11427323536643275</c:v>
                </c:pt>
                <c:pt idx="66">
                  <c:v>0.11209139251453976</c:v>
                </c:pt>
                <c:pt idx="67">
                  <c:v>0.10997803096222378</c:v>
                </c:pt>
                <c:pt idx="68">
                  <c:v>0.10793021061937666</c:v>
                </c:pt>
                <c:pt idx="69">
                  <c:v>0.10594514952190472</c:v>
                </c:pt>
                <c:pt idx="70">
                  <c:v>0.1040202137199885</c:v>
                </c:pt>
                <c:pt idx="71">
                  <c:v>0.10215290790857481</c:v>
                </c:pt>
                <c:pt idx="72">
                  <c:v>0.10034086673917213</c:v>
                </c:pt>
                <c:pt idx="73">
                  <c:v>9.8581846757500174E-2</c:v>
                </c:pt>
                <c:pt idx="74">
                  <c:v>9.6873718916488133E-2</c:v>
                </c:pt>
                <c:pt idx="75">
                  <c:v>9.5214461618590721E-2</c:v>
                </c:pt>
                <c:pt idx="76">
                  <c:v>9.3602154245435942E-2</c:v>
                </c:pt>
                <c:pt idx="77">
                  <c:v>9.2034971136480043E-2</c:v>
                </c:pt>
                <c:pt idx="78">
                  <c:v>9.0511175981661696E-2</c:v>
                </c:pt>
                <c:pt idx="79">
                  <c:v>8.9029116596054211E-2</c:v>
                </c:pt>
                <c:pt idx="80">
                  <c:v>8.7587220047240927E-2</c:v>
                </c:pt>
                <c:pt idx="81">
                  <c:v>8.6183988108612788E-2</c:v>
                </c:pt>
                <c:pt idx="82">
                  <c:v>8.4817993014036766E-2</c:v>
                </c:pt>
                <c:pt idx="83">
                  <c:v>8.3487873491384298E-2</c:v>
                </c:pt>
                <c:pt idx="84">
                  <c:v>8.2192331054269971E-2</c:v>
                </c:pt>
                <c:pt idx="85">
                  <c:v>8.0930126533039062E-2</c:v>
                </c:pt>
                <c:pt idx="86">
                  <c:v>7.9700076827585647E-2</c:v>
                </c:pt>
                <c:pt idx="87">
                  <c:v>7.8501051865985563E-2</c:v>
                </c:pt>
                <c:pt idx="88">
                  <c:v>7.7331971754209777E-2</c:v>
                </c:pt>
                <c:pt idx="89">
                  <c:v>7.6191804103353258E-2</c:v>
                </c:pt>
                <c:pt idx="90">
                  <c:v>7.5079561521881347E-2</c:v>
                </c:pt>
                <c:pt idx="91">
                  <c:v>7.3994299261372617E-2</c:v>
                </c:pt>
                <c:pt idx="92">
                  <c:v>7.2935113005129046E-2</c:v>
                </c:pt>
                <c:pt idx="93">
                  <c:v>7.1901136789842252E-2</c:v>
                </c:pt>
                <c:pt idx="94">
                  <c:v>7.0891541051252685E-2</c:v>
                </c:pt>
                <c:pt idx="95">
                  <c:v>6.9905530785424205E-2</c:v>
                </c:pt>
                <c:pt idx="96">
                  <c:v>6.8942343817886081E-2</c:v>
                </c:pt>
                <c:pt idx="97">
                  <c:v>6.8001249173472E-2</c:v>
                </c:pt>
                <c:pt idx="98">
                  <c:v>6.7081545540215254E-2</c:v>
                </c:pt>
                <c:pt idx="99">
                  <c:v>6.6182559821146777E-2</c:v>
                </c:pt>
                <c:pt idx="100">
                  <c:v>6.5303645768291466E-2</c:v>
                </c:pt>
                <c:pt idx="101">
                  <c:v>6.4444182693569149E-2</c:v>
                </c:pt>
                <c:pt idx="102">
                  <c:v>6.3603574251687264E-2</c:v>
                </c:pt>
                <c:pt idx="103">
                  <c:v>6.2781247290462042E-2</c:v>
                </c:pt>
                <c:pt idx="104">
                  <c:v>6.1976650764325861E-2</c:v>
                </c:pt>
                <c:pt idx="105">
                  <c:v>6.1189254707078311E-2</c:v>
                </c:pt>
                <c:pt idx="106">
                  <c:v>6.0418549260210196E-2</c:v>
                </c:pt>
                <c:pt idx="107">
                  <c:v>5.9664043753385652E-2</c:v>
                </c:pt>
                <c:pt idx="108">
                  <c:v>5.8925265833900044E-2</c:v>
                </c:pt>
                <c:pt idx="109">
                  <c:v>5.8201760642148541E-2</c:v>
                </c:pt>
                <c:pt idx="110">
                  <c:v>5.7493090030340858E-2</c:v>
                </c:pt>
                <c:pt idx="111">
                  <c:v>5.679883182188257E-2</c:v>
                </c:pt>
                <c:pt idx="112">
                  <c:v>5.6118579109015444E-2</c:v>
                </c:pt>
                <c:pt idx="113">
                  <c:v>5.5451939586468643E-2</c:v>
                </c:pt>
                <c:pt idx="114">
                  <c:v>5.4798534919019599E-2</c:v>
                </c:pt>
                <c:pt idx="115">
                  <c:v>5.4158000141001097E-2</c:v>
                </c:pt>
                <c:pt idx="116">
                  <c:v>5.3529983085917443E-2</c:v>
                </c:pt>
                <c:pt idx="117">
                  <c:v>5.2914143844451443E-2</c:v>
                </c:pt>
                <c:pt idx="118">
                  <c:v>5.2310154249252332E-2</c:v>
                </c:pt>
                <c:pt idx="119">
                  <c:v>5.1717697384998575E-2</c:v>
                </c:pt>
                <c:pt idx="120">
                  <c:v>5.1136467122322303E-2</c:v>
                </c:pt>
                <c:pt idx="121">
                  <c:v>5.0566167674272237E-2</c:v>
                </c:pt>
                <c:pt idx="122">
                  <c:v>5.000651317407255E-2</c:v>
                </c:pt>
                <c:pt idx="123">
                  <c:v>4.9457227273012931E-2</c:v>
                </c:pt>
                <c:pt idx="124">
                  <c:v>4.891804275737572E-2</c:v>
                </c:pt>
                <c:pt idx="125">
                  <c:v>4.8388701183372705E-2</c:v>
                </c:pt>
                <c:pt idx="126">
                  <c:v>4.7868952529126353E-2</c:v>
                </c:pt>
                <c:pt idx="127">
                  <c:v>4.7358554862787984E-2</c:v>
                </c:pt>
                <c:pt idx="128">
                  <c:v>4.6857274025939664E-2</c:v>
                </c:pt>
                <c:pt idx="129">
                  <c:v>4.6364883331477008E-2</c:v>
                </c:pt>
                <c:pt idx="130">
                  <c:v>4.5881163275217435E-2</c:v>
                </c:pt>
                <c:pt idx="131">
                  <c:v>4.5405901260522172E-2</c:v>
                </c:pt>
                <c:pt idx="132">
                  <c:v>4.4938891335262347E-2</c:v>
                </c:pt>
                <c:pt idx="133">
                  <c:v>4.4479933940497526E-2</c:v>
                </c:pt>
                <c:pt idx="134">
                  <c:v>4.4028835670271382E-2</c:v>
                </c:pt>
                <c:pt idx="135">
                  <c:v>4.3585409041963327E-2</c:v>
                </c:pt>
                <c:pt idx="136">
                  <c:v>4.3149472276666517E-2</c:v>
                </c:pt>
                <c:pt idx="137">
                  <c:v>4.272084908909253E-2</c:v>
                </c:pt>
                <c:pt idx="138">
                  <c:v>4.2299368486530403E-2</c:v>
                </c:pt>
                <c:pt idx="139">
                  <c:v>4.1884864576415326E-2</c:v>
                </c:pt>
                <c:pt idx="140">
                  <c:v>4.1477176382084729E-2</c:v>
                </c:pt>
                <c:pt idx="141">
                  <c:v>4.10761476663251E-2</c:v>
                </c:pt>
                <c:pt idx="142">
                  <c:v>4.0681626762332043E-2</c:v>
                </c:pt>
                <c:pt idx="143">
                  <c:v>4.0293466411728818E-2</c:v>
                </c:pt>
                <c:pt idx="144">
                  <c:v>3.99115236093057E-2</c:v>
                </c:pt>
                <c:pt idx="145">
                  <c:v>3.9535659454162229E-2</c:v>
                </c:pt>
                <c:pt idx="146">
                  <c:v>3.9165739006950091E-2</c:v>
                </c:pt>
                <c:pt idx="147">
                  <c:v>3.8801631152931261E-2</c:v>
                </c:pt>
                <c:pt idx="148">
                  <c:v>3.8443208470580179E-2</c:v>
                </c:pt>
                <c:pt idx="149">
                  <c:v>3.8090347105474036E-2</c:v>
                </c:pt>
                <c:pt idx="150">
                  <c:v>3.7742926649227279E-2</c:v>
                </c:pt>
                <c:pt idx="151">
                  <c:v>3.7400830023239781E-2</c:v>
                </c:pt>
                <c:pt idx="152">
                  <c:v>3.706394336704024E-2</c:v>
                </c:pt>
                <c:pt idx="153">
                  <c:v>3.6732155931016461E-2</c:v>
                </c:pt>
                <c:pt idx="154">
                  <c:v>3.6405359973335986E-2</c:v>
                </c:pt>
                <c:pt idx="155">
                  <c:v>3.6083450660869439E-2</c:v>
                </c:pt>
                <c:pt idx="156">
                  <c:v>3.5766325973938952E-2</c:v>
                </c:pt>
                <c:pt idx="157">
                  <c:v>3.5453886614722888E-2</c:v>
                </c:pt>
                <c:pt idx="158">
                  <c:v>3.5146035919156063E-2</c:v>
                </c:pt>
                <c:pt idx="159">
                  <c:v>3.4842679772172924E-2</c:v>
                </c:pt>
                <c:pt idx="160">
                  <c:v>3.4543726526148733E-2</c:v>
                </c:pt>
                <c:pt idx="161">
                  <c:v>3.4249086922400217E-2</c:v>
                </c:pt>
                <c:pt idx="162">
                  <c:v>3.3958674015614983E-2</c:v>
                </c:pt>
                <c:pt idx="163">
                  <c:v>3.3672403101084172E-2</c:v>
                </c:pt>
                <c:pt idx="164">
                  <c:v>3.3390191644619344E-2</c:v>
                </c:pt>
                <c:pt idx="165">
                  <c:v>3.3111959215040628E-2</c:v>
                </c:pt>
                <c:pt idx="166">
                  <c:v>3.283762741912772E-2</c:v>
                </c:pt>
                <c:pt idx="167">
                  <c:v>3.2567119838931277E-2</c:v>
                </c:pt>
                <c:pt idx="168">
                  <c:v>3.2300361971346205E-2</c:v>
                </c:pt>
                <c:pt idx="169">
                  <c:v>3.2037281169853805E-2</c:v>
                </c:pt>
                <c:pt idx="170">
                  <c:v>3.1777806588343394E-2</c:v>
                </c:pt>
                <c:pt idx="171">
                  <c:v>3.1521869126928628E-2</c:v>
                </c:pt>
                <c:pt idx="172">
                  <c:v>3.1269401379677091E-2</c:v>
                </c:pt>
                <c:pt idx="173">
                  <c:v>3.1020337584176036E-2</c:v>
                </c:pt>
                <c:pt idx="174">
                  <c:v>3.0774613572860439E-2</c:v>
                </c:pt>
                <c:pt idx="175">
                  <c:v>3.0532166726032643E-2</c:v>
                </c:pt>
                <c:pt idx="176">
                  <c:v>3.0292935926506347E-2</c:v>
                </c:pt>
                <c:pt idx="177">
                  <c:v>3.0056861515810558E-2</c:v>
                </c:pt>
                <c:pt idx="178">
                  <c:v>2.982388525189222E-2</c:v>
                </c:pt>
                <c:pt idx="179">
                  <c:v>2.95939502682585E-2</c:v>
                </c:pt>
                <c:pt idx="180">
                  <c:v>2.936700103450279E-2</c:v>
                </c:pt>
                <c:pt idx="181">
                  <c:v>2.9142983318160599E-2</c:v>
                </c:pt>
                <c:pt idx="182">
                  <c:v>2.8921844147844069E-2</c:v>
                </c:pt>
                <c:pt idx="183">
                  <c:v>2.8703531777606071E-2</c:v>
                </c:pt>
                <c:pt idx="184">
                  <c:v>2.8487995652486699E-2</c:v>
                </c:pt>
                <c:pt idx="185">
                  <c:v>2.8275186375197346E-2</c:v>
                </c:pt>
                <c:pt idx="186">
                  <c:v>2.8065055673899234E-2</c:v>
                </c:pt>
                <c:pt idx="187">
                  <c:v>2.7857556371035291E-2</c:v>
                </c:pt>
                <c:pt idx="188">
                  <c:v>2.7652642353175744E-2</c:v>
                </c:pt>
                <c:pt idx="189">
                  <c:v>2.7450268541839847E-2</c:v>
                </c:pt>
                <c:pt idx="190">
                  <c:v>2.7250390865257237E-2</c:v>
                </c:pt>
                <c:pt idx="191">
                  <c:v>2.7052966231034568E-2</c:v>
                </c:pt>
                <c:pt idx="192">
                  <c:v>2.6857952499693877E-2</c:v>
                </c:pt>
                <c:pt idx="193">
                  <c:v>2.6665308459050893E-2</c:v>
                </c:pt>
                <c:pt idx="194">
                  <c:v>2.6474993799402765E-2</c:v>
                </c:pt>
                <c:pt idx="195">
                  <c:v>2.6286969089495904E-2</c:v>
                </c:pt>
                <c:pt idx="196">
                  <c:v>2.6101195753245626E-2</c:v>
                </c:pt>
                <c:pt idx="197">
                  <c:v>2.5917636047180961E-2</c:v>
                </c:pt>
                <c:pt idx="198">
                  <c:v>2.5736253038588328E-2</c:v>
                </c:pt>
                <c:pt idx="199">
                  <c:v>2.5557010584329534E-2</c:v>
                </c:pt>
                <c:pt idx="200">
                  <c:v>2.5379873310310223E-2</c:v>
                </c:pt>
                <c:pt idx="201">
                  <c:v>2.5204806591575622E-2</c:v>
                </c:pt>
                <c:pt idx="202">
                  <c:v>2.5031776533011908E-2</c:v>
                </c:pt>
                <c:pt idx="203">
                  <c:v>2.4860749950631797E-2</c:v>
                </c:pt>
                <c:pt idx="204">
                  <c:v>2.4691694353424304E-2</c:v>
                </c:pt>
                <c:pt idx="205">
                  <c:v>2.4524577925748952E-2</c:v>
                </c:pt>
                <c:pt idx="206">
                  <c:v>2.4359369510255875E-2</c:v>
                </c:pt>
                <c:pt idx="207">
                  <c:v>2.4196038591313578E-2</c:v>
                </c:pt>
                <c:pt idx="208">
                  <c:v>2.4034555278927311E-2</c:v>
                </c:pt>
                <c:pt idx="209">
                  <c:v>2.3874890293131168E-2</c:v>
                </c:pt>
                <c:pt idx="210">
                  <c:v>2.3717014948838048E-2</c:v>
                </c:pt>
                <c:pt idx="211">
                  <c:v>2.3560901141131844E-2</c:v>
                </c:pt>
                <c:pt idx="212">
                  <c:v>2.3406521330987466E-2</c:v>
                </c:pt>
                <c:pt idx="213">
                  <c:v>2.3253848531403925E-2</c:v>
                </c:pt>
                <c:pt idx="214">
                  <c:v>2.3102856293937081E-2</c:v>
                </c:pt>
                <c:pt idx="215">
                  <c:v>2.2953518695618784E-2</c:v>
                </c:pt>
                <c:pt idx="216">
                  <c:v>2.2805810326249613E-2</c:v>
                </c:pt>
                <c:pt idx="217">
                  <c:v>2.2659706276053026E-2</c:v>
                </c:pt>
                <c:pt idx="218">
                  <c:v>2.2515182123679051E-2</c:v>
                </c:pt>
                <c:pt idx="219">
                  <c:v>2.2372213924546292E-2</c:v>
                </c:pt>
                <c:pt idx="220">
                  <c:v>2.2230778199511168E-2</c:v>
                </c:pt>
                <c:pt idx="221">
                  <c:v>2.2090851923853939E-2</c:v>
                </c:pt>
                <c:pt idx="222">
                  <c:v>2.1952412516571155E-2</c:v>
                </c:pt>
                <c:pt idx="223">
                  <c:v>2.1815437829965173E-2</c:v>
                </c:pt>
                <c:pt idx="224">
                  <c:v>2.1679906139520675E-2</c:v>
                </c:pt>
                <c:pt idx="225">
                  <c:v>2.1545796134059676E-2</c:v>
                </c:pt>
                <c:pt idx="226">
                  <c:v>2.1413086906165845E-2</c:v>
                </c:pt>
                <c:pt idx="227">
                  <c:v>2.1281757942869874E-2</c:v>
                </c:pt>
                <c:pt idx="228">
                  <c:v>2.1151789116587594E-2</c:v>
                </c:pt>
                <c:pt idx="229">
                  <c:v>2.1023160676303162E-2</c:v>
                </c:pt>
                <c:pt idx="230">
                  <c:v>2.0895853238989397E-2</c:v>
                </c:pt>
                <c:pt idx="231">
                  <c:v>2.0769847781258292E-2</c:v>
                </c:pt>
                <c:pt idx="232">
                  <c:v>2.0645125631234353E-2</c:v>
                </c:pt>
                <c:pt idx="233">
                  <c:v>2.052166846064404E-2</c:v>
                </c:pt>
                <c:pt idx="234">
                  <c:v>2.0399458277114705E-2</c:v>
                </c:pt>
                <c:pt idx="235">
                  <c:v>2.0278477416676623E-2</c:v>
                </c:pt>
                <c:pt idx="236">
                  <c:v>2.0158708536462025E-2</c:v>
                </c:pt>
                <c:pt idx="237">
                  <c:v>2.0040134607595145E-2</c:v>
                </c:pt>
                <c:pt idx="238">
                  <c:v>1.9922738908267488E-2</c:v>
                </c:pt>
                <c:pt idx="239">
                  <c:v>1.9806505016992916E-2</c:v>
                </c:pt>
                <c:pt idx="240">
                  <c:v>1.9691416806037094E-2</c:v>
                </c:pt>
              </c:numCache>
            </c:numRef>
          </c:yVal>
          <c:smooth val="0"/>
          <c:extLst>
            <c:ext xmlns:c16="http://schemas.microsoft.com/office/drawing/2014/chart" uri="{C3380CC4-5D6E-409C-BE32-E72D297353CC}">
              <c16:uniqueId val="{00000000-E6A1-4334-BA2F-F062089EB0E5}"/>
            </c:ext>
          </c:extLst>
        </c:ser>
        <c:ser>
          <c:idx val="3"/>
          <c:order val="1"/>
          <c:tx>
            <c:strRef>
              <c:f>'Survival Curve Summary'!$E$11</c:f>
              <c:strCache>
                <c:ptCount val="1"/>
                <c:pt idx="0">
                  <c:v>Chemo PFS (Markov)</c:v>
                </c:pt>
              </c:strCache>
            </c:strRef>
          </c:tx>
          <c:spPr>
            <a:ln w="19050" cap="rnd">
              <a:solidFill>
                <a:schemeClr val="bg1">
                  <a:lumMod val="50000"/>
                </a:schemeClr>
              </a:solidFill>
              <a:round/>
            </a:ln>
            <a:effectLst/>
          </c:spPr>
          <c:marker>
            <c:symbol val="none"/>
          </c:marker>
          <c:xVal>
            <c:numRef>
              <c:f>'Survival Curve Summary'!$B$12:$B$252</c:f>
              <c:numCache>
                <c:formatCode>0</c:formatCode>
                <c:ptCount val="2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numCache>
            </c:numRef>
          </c:xVal>
          <c:yVal>
            <c:numRef>
              <c:f>'Survival Curve Summary'!$E$12:$E$252</c:f>
              <c:numCache>
                <c:formatCode>0.0%</c:formatCode>
                <c:ptCount val="241"/>
                <c:pt idx="0">
                  <c:v>1</c:v>
                </c:pt>
                <c:pt idx="1">
                  <c:v>0.95127357025488579</c:v>
                </c:pt>
                <c:pt idx="2">
                  <c:v>0.87917732569886242</c:v>
                </c:pt>
                <c:pt idx="3">
                  <c:v>0.80334809728819201</c:v>
                </c:pt>
                <c:pt idx="4">
                  <c:v>0.73061502499239983</c:v>
                </c:pt>
                <c:pt idx="5">
                  <c:v>0.66374511027877503</c:v>
                </c:pt>
                <c:pt idx="6">
                  <c:v>0.61468210884292807</c:v>
                </c:pt>
                <c:pt idx="7">
                  <c:v>0.57042061546038525</c:v>
                </c:pt>
                <c:pt idx="8">
                  <c:v>0.53070155236710748</c:v>
                </c:pt>
                <c:pt idx="9">
                  <c:v>0.49512495127089007</c:v>
                </c:pt>
                <c:pt idx="10">
                  <c:v>0.46325166699474724</c:v>
                </c:pt>
                <c:pt idx="11">
                  <c:v>0.43465353626711972</c:v>
                </c:pt>
                <c:pt idx="12">
                  <c:v>0.4089360052645577</c:v>
                </c:pt>
                <c:pt idx="13">
                  <c:v>0.38574632689207422</c:v>
                </c:pt>
                <c:pt idx="14">
                  <c:v>0.3647744497411054</c:v>
                </c:pt>
                <c:pt idx="15">
                  <c:v>0.34575043852739151</c:v>
                </c:pt>
                <c:pt idx="16">
                  <c:v>0.3284404652462658</c:v>
                </c:pt>
                <c:pt idx="17">
                  <c:v>0.31264242538139231</c:v>
                </c:pt>
                <c:pt idx="18">
                  <c:v>0.29818169808912359</c:v>
                </c:pt>
                <c:pt idx="19">
                  <c:v>0.28490728160500112</c:v>
                </c:pt>
                <c:pt idx="20">
                  <c:v>0.2726883837952242</c:v>
                </c:pt>
                <c:pt idx="21">
                  <c:v>0.26141147117913777</c:v>
                </c:pt>
                <c:pt idx="22">
                  <c:v>0.25097774373541842</c:v>
                </c:pt>
                <c:pt idx="23">
                  <c:v>0.24130098845957226</c:v>
                </c:pt>
                <c:pt idx="24">
                  <c:v>0.23230576151436039</c:v>
                </c:pt>
                <c:pt idx="25">
                  <c:v>0.22392585117628272</c:v>
                </c:pt>
                <c:pt idx="26">
                  <c:v>0.21610297852973701</c:v>
                </c:pt>
                <c:pt idx="27">
                  <c:v>0.20878569836008409</c:v>
                </c:pt>
                <c:pt idx="28">
                  <c:v>0.20192846812256182</c:v>
                </c:pt>
                <c:pt idx="29">
                  <c:v>0.19549085783454012</c:v>
                </c:pt>
                <c:pt idx="30">
                  <c:v>0.18943687811063159</c:v>
                </c:pt>
                <c:pt idx="31">
                  <c:v>0.18373440731326951</c:v>
                </c:pt>
                <c:pt idx="32">
                  <c:v>0.17835470196456554</c:v>
                </c:pt>
                <c:pt idx="33">
                  <c:v>0.17327197722243959</c:v>
                </c:pt>
                <c:pt idx="34">
                  <c:v>0.1684630464357067</c:v>
                </c:pt>
                <c:pt idx="35">
                  <c:v>0.16390701062706126</c:v>
                </c:pt>
                <c:pt idx="36">
                  <c:v>0.15958499027121015</c:v>
                </c:pt>
                <c:pt idx="37">
                  <c:v>0.15547989299128079</c:v>
                </c:pt>
                <c:pt idx="38">
                  <c:v>0.15157621183557912</c:v>
                </c:pt>
                <c:pt idx="39">
                  <c:v>0.14785984965693932</c:v>
                </c:pt>
                <c:pt idx="40">
                  <c:v>0.14431796582993694</c:v>
                </c:pt>
                <c:pt idx="41">
                  <c:v>0.14093884213324476</c:v>
                </c:pt>
                <c:pt idx="42">
                  <c:v>0.1377117651168418</c:v>
                </c:pt>
                <c:pt idx="43">
                  <c:v>0.13462692268422372</c:v>
                </c:pt>
                <c:pt idx="44">
                  <c:v>0.13167531296259327</c:v>
                </c:pt>
                <c:pt idx="45">
                  <c:v>0.12884866382102678</c:v>
                </c:pt>
                <c:pt idx="46">
                  <c:v>0.12613936163744502</c:v>
                </c:pt>
                <c:pt idx="47">
                  <c:v>0.1235403881177871</c:v>
                </c:pt>
                <c:pt idx="48">
                  <c:v>0.1210452641415648</c:v>
                </c:pt>
                <c:pt idx="49">
                  <c:v>0.11864799975230389</c:v>
                </c:pt>
                <c:pt idx="50">
                  <c:v>0.11634304953363456</c:v>
                </c:pt>
                <c:pt idx="51">
                  <c:v>0.1141252727156048</c:v>
                </c:pt>
                <c:pt idx="52">
                  <c:v>0.11198989744413632</c:v>
                </c:pt>
                <c:pt idx="53">
                  <c:v>0.10993248872190668</c:v>
                </c:pt>
                <c:pt idx="54">
                  <c:v>0.1079489195933744</c:v>
                </c:pt>
                <c:pt idx="55">
                  <c:v>0.10603534520187304</c:v>
                </c:pt>
                <c:pt idx="56">
                  <c:v>0.10418817939411246</c:v>
                </c:pt>
                <c:pt idx="57">
                  <c:v>0.10240407358822748</c:v>
                </c:pt>
                <c:pt idx="58">
                  <c:v>0.10067989765670214</c:v>
                </c:pt>
                <c:pt idx="59">
                  <c:v>9.9012722605907891E-2</c:v>
                </c:pt>
                <c:pt idx="60">
                  <c:v>9.7399804860325984E-2</c:v>
                </c:pt>
                <c:pt idx="61">
                  <c:v>9.5838571982373985E-2</c:v>
                </c:pt>
                <c:pt idx="62">
                  <c:v>9.4326609678618972E-2</c:v>
                </c:pt>
                <c:pt idx="63">
                  <c:v>9.286164996045973E-2</c:v>
                </c:pt>
                <c:pt idx="64">
                  <c:v>9.1441560342460176E-2</c:v>
                </c:pt>
                <c:pt idx="65">
                  <c:v>9.0064333974711058E-2</c:v>
                </c:pt>
                <c:pt idx="66">
                  <c:v>8.872808061715827E-2</c:v>
                </c:pt>
                <c:pt idx="67">
                  <c:v>8.7431018373973851E-2</c:v>
                </c:pt>
                <c:pt idx="68">
                  <c:v>8.6171466114958489E-2</c:v>
                </c:pt>
                <c:pt idx="69">
                  <c:v>8.4947836518806885E-2</c:v>
                </c:pt>
                <c:pt idx="70">
                  <c:v>8.3758629679982752E-2</c:v>
                </c:pt>
                <c:pt idx="71">
                  <c:v>8.260242722705817E-2</c:v>
                </c:pt>
                <c:pt idx="72">
                  <c:v>8.1477886905772748E-2</c:v>
                </c:pt>
                <c:pt idx="73">
                  <c:v>8.0383737584851525E-2</c:v>
                </c:pt>
                <c:pt idx="74">
                  <c:v>7.9318774646866624E-2</c:v>
                </c:pt>
                <c:pt idx="75">
                  <c:v>7.828185573019622E-2</c:v>
                </c:pt>
                <c:pt idx="76">
                  <c:v>7.7271896791491046E-2</c:v>
                </c:pt>
                <c:pt idx="77">
                  <c:v>7.6287868461045086E-2</c:v>
                </c:pt>
                <c:pt idx="78">
                  <c:v>7.5328792666134597E-2</c:v>
                </c:pt>
                <c:pt idx="79">
                  <c:v>7.4393739499771128E-2</c:v>
                </c:pt>
                <c:pt idx="80">
                  <c:v>7.348182431444425E-2</c:v>
                </c:pt>
                <c:pt idx="81">
                  <c:v>7.2592205022337264E-2</c:v>
                </c:pt>
                <c:pt idx="82">
                  <c:v>7.172407958521082E-2</c:v>
                </c:pt>
                <c:pt idx="83">
                  <c:v>7.087668367868552E-2</c:v>
                </c:pt>
                <c:pt idx="84">
                  <c:v>7.0049288517033834E-2</c:v>
                </c:pt>
                <c:pt idx="85">
                  <c:v>6.9241198825837028E-2</c:v>
                </c:pt>
                <c:pt idx="86">
                  <c:v>6.8451750950979495E-2</c:v>
                </c:pt>
                <c:pt idx="87">
                  <c:v>6.7680311093465048E-2</c:v>
                </c:pt>
                <c:pt idx="88">
                  <c:v>6.6926273660450702E-2</c:v>
                </c:pt>
                <c:pt idx="89">
                  <c:v>6.6189059723717261E-2</c:v>
                </c:pt>
                <c:pt idx="90">
                  <c:v>6.5468115577544339E-2</c:v>
                </c:pt>
                <c:pt idx="91">
                  <c:v>6.4762911388629954E-2</c:v>
                </c:pt>
                <c:pt idx="92">
                  <c:v>6.4072939931310594E-2</c:v>
                </c:pt>
                <c:pt idx="93">
                  <c:v>6.339771540189254E-2</c:v>
                </c:pt>
                <c:pt idx="94">
                  <c:v>6.2736772306410477E-2</c:v>
                </c:pt>
                <c:pt idx="95">
                  <c:v>6.2089664416589863E-2</c:v>
                </c:pt>
                <c:pt idx="96">
                  <c:v>6.1455963789207806E-2</c:v>
                </c:pt>
                <c:pt idx="97">
                  <c:v>6.083525984442751E-2</c:v>
                </c:pt>
                <c:pt idx="98">
                  <c:v>6.0227158499030861E-2</c:v>
                </c:pt>
                <c:pt idx="99">
                  <c:v>5.9631281350789558E-2</c:v>
                </c:pt>
                <c:pt idx="100">
                  <c:v>5.9047264910505916E-2</c:v>
                </c:pt>
                <c:pt idx="101">
                  <c:v>5.847475987851946E-2</c:v>
                </c:pt>
                <c:pt idx="102">
                  <c:v>5.7913430462718497E-2</c:v>
                </c:pt>
                <c:pt idx="103">
                  <c:v>5.7362953735317385E-2</c:v>
                </c:pt>
                <c:pt idx="104">
                  <c:v>5.6823019025864584E-2</c:v>
                </c:pt>
                <c:pt idx="105">
                  <c:v>5.6293327348133471E-2</c:v>
                </c:pt>
                <c:pt idx="106">
                  <c:v>5.5773590858718872E-2</c:v>
                </c:pt>
                <c:pt idx="107">
                  <c:v>5.5263532345321137E-2</c:v>
                </c:pt>
                <c:pt idx="108">
                  <c:v>5.4762884742843181E-2</c:v>
                </c:pt>
                <c:pt idx="109">
                  <c:v>5.4271390675560756E-2</c:v>
                </c:pt>
                <c:pt idx="110">
                  <c:v>5.3788802023747723E-2</c:v>
                </c:pt>
                <c:pt idx="111">
                  <c:v>5.3314879513252617E-2</c:v>
                </c:pt>
                <c:pt idx="112">
                  <c:v>5.28493923266262E-2</c:v>
                </c:pt>
                <c:pt idx="113">
                  <c:v>5.2392117734496729E-2</c:v>
                </c:pt>
                <c:pt idx="114">
                  <c:v>5.1942840745978484E-2</c:v>
                </c:pt>
                <c:pt idx="115">
                  <c:v>5.1501353776980972E-2</c:v>
                </c:pt>
                <c:pt idx="116">
                  <c:v>5.1067456335362915E-2</c:v>
                </c:pt>
                <c:pt idx="117">
                  <c:v>5.0640954721945186E-2</c:v>
                </c:pt>
                <c:pt idx="118">
                  <c:v>5.0221661746461754E-2</c:v>
                </c:pt>
                <c:pt idx="119">
                  <c:v>4.9809396457588619E-2</c:v>
                </c:pt>
                <c:pt idx="120">
                  <c:v>4.9403983886246158E-2</c:v>
                </c:pt>
                <c:pt idx="121">
                  <c:v>4.9005254801422773E-2</c:v>
                </c:pt>
                <c:pt idx="122">
                  <c:v>4.8613045477815184E-2</c:v>
                </c:pt>
                <c:pt idx="123">
                  <c:v>4.8227197474626324E-2</c:v>
                </c:pt>
                <c:pt idx="124">
                  <c:v>4.784755742490264E-2</c:v>
                </c:pt>
                <c:pt idx="125">
                  <c:v>4.7473976834831684E-2</c:v>
                </c:pt>
                <c:pt idx="126">
                  <c:v>4.7106311892456981E-2</c:v>
                </c:pt>
                <c:pt idx="127">
                  <c:v>4.6744423285299749E-2</c:v>
                </c:pt>
                <c:pt idx="128">
                  <c:v>4.6388176026410016E-2</c:v>
                </c:pt>
                <c:pt idx="129">
                  <c:v>4.6037439288396528E-2</c:v>
                </c:pt>
                <c:pt idx="130">
                  <c:v>4.5692086245013842E-2</c:v>
                </c:pt>
                <c:pt idx="131">
                  <c:v>4.5351993919909024E-2</c:v>
                </c:pt>
                <c:pt idx="132">
                  <c:v>4.501704304215489E-2</c:v>
                </c:pt>
                <c:pt idx="133">
                  <c:v>4.4687117908217978E-2</c:v>
                </c:pt>
                <c:pt idx="134">
                  <c:v>4.4362106250030453E-2</c:v>
                </c:pt>
                <c:pt idx="135">
                  <c:v>4.4041899108854442E-2</c:v>
                </c:pt>
                <c:pt idx="136">
                  <c:v>4.3726390714645028E-2</c:v>
                </c:pt>
                <c:pt idx="137">
                  <c:v>4.3415478370635259E-2</c:v>
                </c:pt>
                <c:pt idx="138">
                  <c:v>4.3109062342881928E-2</c:v>
                </c:pt>
                <c:pt idx="139">
                  <c:v>4.2807045754526103E-2</c:v>
                </c:pt>
                <c:pt idx="140">
                  <c:v>4.2509334484535866E-2</c:v>
                </c:pt>
                <c:pt idx="141">
                  <c:v>4.2215837070711595E-2</c:v>
                </c:pt>
                <c:pt idx="142">
                  <c:v>4.1926464616747081E-2</c:v>
                </c:pt>
                <c:pt idx="143">
                  <c:v>4.1641130703149842E-2</c:v>
                </c:pt>
                <c:pt idx="144">
                  <c:v>4.135975130183607E-2</c:v>
                </c:pt>
                <c:pt idx="145">
                  <c:v>4.1082244694224626E-2</c:v>
                </c:pt>
                <c:pt idx="146">
                  <c:v>4.0808531392664986E-2</c:v>
                </c:pt>
                <c:pt idx="147">
                  <c:v>4.0538534065041515E-2</c:v>
                </c:pt>
                <c:pt idx="148">
                  <c:v>4.0272177462406522E-2</c:v>
                </c:pt>
                <c:pt idx="149">
                  <c:v>4.0009388349500907E-2</c:v>
                </c:pt>
                <c:pt idx="150">
                  <c:v>3.9750095438029431E-2</c:v>
                </c:pt>
                <c:pt idx="151">
                  <c:v>3.9494229322564307E-2</c:v>
                </c:pt>
                <c:pt idx="152">
                  <c:v>3.9241722418957549E-2</c:v>
                </c:pt>
                <c:pt idx="153">
                  <c:v>3.8992508905148403E-2</c:v>
                </c:pt>
                <c:pt idx="154">
                  <c:v>3.874652466425816E-2</c:v>
                </c:pt>
                <c:pt idx="155">
                  <c:v>3.8503707229870468E-2</c:v>
                </c:pt>
                <c:pt idx="156">
                  <c:v>3.8263995733399545E-2</c:v>
                </c:pt>
                <c:pt idx="157">
                  <c:v>3.8027330853454777E-2</c:v>
                </c:pt>
                <c:pt idx="158">
                  <c:v>3.7793654767113508E-2</c:v>
                </c:pt>
                <c:pt idx="159">
                  <c:v>3.7562911103019542E-2</c:v>
                </c:pt>
                <c:pt idx="160">
                  <c:v>3.7335044896227423E-2</c:v>
                </c:pt>
                <c:pt idx="161">
                  <c:v>3.7110002544718225E-2</c:v>
                </c:pt>
                <c:pt idx="162">
                  <c:v>3.6887731767514448E-2</c:v>
                </c:pt>
                <c:pt idx="163">
                  <c:v>3.6668181564326621E-2</c:v>
                </c:pt>
                <c:pt idx="164">
                  <c:v>3.6451302176666485E-2</c:v>
                </c:pt>
                <c:pt idx="165">
                  <c:v>3.6237045050365145E-2</c:v>
                </c:pt>
                <c:pt idx="166">
                  <c:v>3.602536279943748E-2</c:v>
                </c:pt>
                <c:pt idx="167">
                  <c:v>3.5816209171236929E-2</c:v>
                </c:pt>
                <c:pt idx="168">
                  <c:v>3.5609539012847261E-2</c:v>
                </c:pt>
                <c:pt idx="169">
                  <c:v>3.5405308238660352E-2</c:v>
                </c:pt>
                <c:pt idx="170">
                  <c:v>3.5203473799092E-2</c:v>
                </c:pt>
                <c:pt idx="171">
                  <c:v>3.5003993650389011E-2</c:v>
                </c:pt>
                <c:pt idx="172">
                  <c:v>3.4806826725483797E-2</c:v>
                </c:pt>
                <c:pt idx="173">
                  <c:v>3.4611932905854396E-2</c:v>
                </c:pt>
                <c:pt idx="174">
                  <c:v>3.4419272994349791E-2</c:v>
                </c:pt>
                <c:pt idx="175">
                  <c:v>3.4228808688941938E-2</c:v>
                </c:pt>
                <c:pt idx="176">
                  <c:v>3.404050255736836E-2</c:v>
                </c:pt>
                <c:pt idx="177">
                  <c:v>3.3854318012629829E-2</c:v>
                </c:pt>
                <c:pt idx="178">
                  <c:v>3.3670219289310369E-2</c:v>
                </c:pt>
                <c:pt idx="179">
                  <c:v>3.3488171420686746E-2</c:v>
                </c:pt>
                <c:pt idx="180">
                  <c:v>3.3308140216598101E-2</c:v>
                </c:pt>
                <c:pt idx="181">
                  <c:v>3.3130092242045335E-2</c:v>
                </c:pt>
                <c:pt idx="182">
                  <c:v>3.2953994796493226E-2</c:v>
                </c:pt>
                <c:pt idx="183">
                  <c:v>3.2779815893848319E-2</c:v>
                </c:pt>
                <c:pt idx="184">
                  <c:v>3.2607524243086619E-2</c:v>
                </c:pt>
                <c:pt idx="185">
                  <c:v>3.2437089229507526E-2</c:v>
                </c:pt>
                <c:pt idx="186">
                  <c:v>3.2268480896589555E-2</c:v>
                </c:pt>
                <c:pt idx="187">
                  <c:v>3.2101669928426342E-2</c:v>
                </c:pt>
                <c:pt idx="188">
                  <c:v>3.1936627632720919E-2</c:v>
                </c:pt>
                <c:pt idx="189">
                  <c:v>3.177332592431785E-2</c:v>
                </c:pt>
                <c:pt idx="190">
                  <c:v>3.1611737309253526E-2</c:v>
                </c:pt>
                <c:pt idx="191">
                  <c:v>3.1451834869305771E-2</c:v>
                </c:pt>
                <c:pt idx="192">
                  <c:v>3.1293592247024549E-2</c:v>
                </c:pt>
                <c:pt idx="193">
                  <c:v>3.1136983631226592E-2</c:v>
                </c:pt>
                <c:pt idx="194">
                  <c:v>3.098198374293698E-2</c:v>
                </c:pt>
                <c:pt idx="195">
                  <c:v>3.0828567821762146E-2</c:v>
                </c:pt>
                <c:pt idx="196">
                  <c:v>3.0676711612678497E-2</c:v>
                </c:pt>
                <c:pt idx="197">
                  <c:v>3.052639135322241E-2</c:v>
                </c:pt>
                <c:pt idx="198">
                  <c:v>3.0377583761067101E-2</c:v>
                </c:pt>
                <c:pt idx="199">
                  <c:v>3.0230266021972999E-2</c:v>
                </c:pt>
                <c:pt idx="200">
                  <c:v>3.0084415778098804E-2</c:v>
                </c:pt>
                <c:pt idx="201">
                  <c:v>2.9940011116660149E-2</c:v>
                </c:pt>
                <c:pt idx="202">
                  <c:v>2.9797030558924568E-2</c:v>
                </c:pt>
                <c:pt idx="203">
                  <c:v>2.9655453049530725E-2</c:v>
                </c:pt>
                <c:pt idx="204">
                  <c:v>2.9515257946121025E-2</c:v>
                </c:pt>
                <c:pt idx="205">
                  <c:v>2.9376425009276966E-2</c:v>
                </c:pt>
                <c:pt idx="206">
                  <c:v>2.923893439274685E-2</c:v>
                </c:pt>
                <c:pt idx="207">
                  <c:v>2.9102766633956181E-2</c:v>
                </c:pt>
                <c:pt idx="208">
                  <c:v>2.896790264479112E-2</c:v>
                </c:pt>
                <c:pt idx="209">
                  <c:v>2.8834323702646047E-2</c:v>
                </c:pt>
                <c:pt idx="210">
                  <c:v>2.8702011441726183E-2</c:v>
                </c:pt>
                <c:pt idx="211">
                  <c:v>2.857094784459726E-2</c:v>
                </c:pt>
                <c:pt idx="212">
                  <c:v>2.8441115233973649E-2</c:v>
                </c:pt>
                <c:pt idx="213">
                  <c:v>2.8312496264737575E-2</c:v>
                </c:pt>
                <c:pt idx="214">
                  <c:v>2.8185073916181427E-2</c:v>
                </c:pt>
                <c:pt idx="215">
                  <c:v>2.8058831484466442E-2</c:v>
                </c:pt>
                <c:pt idx="216">
                  <c:v>2.7933752575290263E-2</c:v>
                </c:pt>
                <c:pt idx="217">
                  <c:v>2.7809821096757024E-2</c:v>
                </c:pt>
                <c:pt idx="218">
                  <c:v>2.7687021252443295E-2</c:v>
                </c:pt>
                <c:pt idx="219">
                  <c:v>2.7565337534653785E-2</c:v>
                </c:pt>
                <c:pt idx="220">
                  <c:v>2.7444754717860509E-2</c:v>
                </c:pt>
                <c:pt idx="221">
                  <c:v>2.732525785232005E-2</c:v>
                </c:pt>
                <c:pt idx="222">
                  <c:v>2.7206832257862877E-2</c:v>
                </c:pt>
                <c:pt idx="223">
                  <c:v>2.7089463517849674E-2</c:v>
                </c:pt>
                <c:pt idx="224">
                  <c:v>2.6973137473289253E-2</c:v>
                </c:pt>
                <c:pt idx="225">
                  <c:v>2.6857840217113144E-2</c:v>
                </c:pt>
                <c:pt idx="226">
                  <c:v>2.6743558088602008E-2</c:v>
                </c:pt>
                <c:pt idx="227">
                  <c:v>2.6630277667959223E-2</c:v>
                </c:pt>
                <c:pt idx="228">
                  <c:v>2.651798577102701E-2</c:v>
                </c:pt>
                <c:pt idx="229">
                  <c:v>2.6406669444140975E-2</c:v>
                </c:pt>
                <c:pt idx="230">
                  <c:v>2.6296315959118653E-2</c:v>
                </c:pt>
                <c:pt idx="231">
                  <c:v>2.6186912808378048E-2</c:v>
                </c:pt>
                <c:pt idx="232">
                  <c:v>2.607844770018249E-2</c:v>
                </c:pt>
                <c:pt idx="233">
                  <c:v>2.5970908554007587E-2</c:v>
                </c:pt>
                <c:pt idx="234">
                  <c:v>2.5864283496027003E-2</c:v>
                </c:pt>
                <c:pt idx="235">
                  <c:v>2.5758560854713442E-2</c:v>
                </c:pt>
                <c:pt idx="236">
                  <c:v>2.5653729156551192E-2</c:v>
                </c:pt>
                <c:pt idx="237">
                  <c:v>2.5549777121857346E-2</c:v>
                </c:pt>
                <c:pt idx="238">
                  <c:v>2.5446693660708182E-2</c:v>
                </c:pt>
                <c:pt idx="239">
                  <c:v>2.5344467868967723E-2</c:v>
                </c:pt>
                <c:pt idx="240">
                  <c:v>2.5243089024415577E-2</c:v>
                </c:pt>
              </c:numCache>
            </c:numRef>
          </c:yVal>
          <c:smooth val="0"/>
          <c:extLst>
            <c:ext xmlns:c16="http://schemas.microsoft.com/office/drawing/2014/chart" uri="{C3380CC4-5D6E-409C-BE32-E72D297353CC}">
              <c16:uniqueId val="{00000001-E6A1-4334-BA2F-F062089EB0E5}"/>
            </c:ext>
          </c:extLst>
        </c:ser>
        <c:ser>
          <c:idx val="6"/>
          <c:order val="2"/>
          <c:tx>
            <c:strRef>
              <c:f>'Survival Curve Summary'!$I$11</c:f>
              <c:strCache>
                <c:ptCount val="1"/>
                <c:pt idx="0">
                  <c:v>Criz PFS (KM)</c:v>
                </c:pt>
              </c:strCache>
            </c:strRef>
          </c:tx>
          <c:spPr>
            <a:ln w="15875" cap="rnd">
              <a:solidFill>
                <a:schemeClr val="tx1"/>
              </a:solidFill>
              <a:prstDash val="dash"/>
              <a:round/>
            </a:ln>
            <a:effectLst/>
          </c:spPr>
          <c:marker>
            <c:symbol val="none"/>
          </c:marker>
          <c:xVal>
            <c:numRef>
              <c:f>'Survival Curve Summary'!$H$12:$H$81</c:f>
              <c:numCache>
                <c:formatCode>0.000</c:formatCode>
                <c:ptCount val="70"/>
                <c:pt idx="0">
                  <c:v>0.21102000000000001</c:v>
                </c:pt>
                <c:pt idx="1">
                  <c:v>0.50644800000000001</c:v>
                </c:pt>
                <c:pt idx="2">
                  <c:v>0.84408000000000005</c:v>
                </c:pt>
                <c:pt idx="3">
                  <c:v>0.84575080000000002</c:v>
                </c:pt>
                <c:pt idx="4">
                  <c:v>0.91341229999999995</c:v>
                </c:pt>
                <c:pt idx="5">
                  <c:v>0.97156399999999998</c:v>
                </c:pt>
                <c:pt idx="6">
                  <c:v>0.98107149999999999</c:v>
                </c:pt>
                <c:pt idx="7">
                  <c:v>1.18171</c:v>
                </c:pt>
                <c:pt idx="8">
                  <c:v>1.4218</c:v>
                </c:pt>
                <c:pt idx="9">
                  <c:v>1.60375</c:v>
                </c:pt>
                <c:pt idx="10">
                  <c:v>1.6881600000000001</c:v>
                </c:pt>
                <c:pt idx="11">
                  <c:v>1.77257</c:v>
                </c:pt>
                <c:pt idx="12">
                  <c:v>1.8009500000000001</c:v>
                </c:pt>
                <c:pt idx="13">
                  <c:v>1.8569800000000001</c:v>
                </c:pt>
                <c:pt idx="14">
                  <c:v>1.9413800000000001</c:v>
                </c:pt>
                <c:pt idx="15">
                  <c:v>1.98359</c:v>
                </c:pt>
                <c:pt idx="16">
                  <c:v>2.109</c:v>
                </c:pt>
                <c:pt idx="17">
                  <c:v>2.3342768999999999</c:v>
                </c:pt>
                <c:pt idx="18">
                  <c:v>2.8435999999999999</c:v>
                </c:pt>
                <c:pt idx="19">
                  <c:v>3.3153462</c:v>
                </c:pt>
                <c:pt idx="20">
                  <c:v>3.5029300000000001</c:v>
                </c:pt>
                <c:pt idx="21">
                  <c:v>3.5545</c:v>
                </c:pt>
                <c:pt idx="22">
                  <c:v>3.6717499999999998</c:v>
                </c:pt>
                <c:pt idx="23">
                  <c:v>3.7139500000000001</c:v>
                </c:pt>
                <c:pt idx="24">
                  <c:v>3.8827699999999998</c:v>
                </c:pt>
                <c:pt idx="25">
                  <c:v>3.9919384999999998</c:v>
                </c:pt>
                <c:pt idx="26">
                  <c:v>4.4549799999999999</c:v>
                </c:pt>
                <c:pt idx="27">
                  <c:v>4.5734599999999999</c:v>
                </c:pt>
                <c:pt idx="28">
                  <c:v>5.0947899999999997</c:v>
                </c:pt>
                <c:pt idx="29">
                  <c:v>5.4739300000000002</c:v>
                </c:pt>
                <c:pt idx="30">
                  <c:v>5.5287199999999999</c:v>
                </c:pt>
                <c:pt idx="31">
                  <c:v>5.5687199999999999</c:v>
                </c:pt>
                <c:pt idx="32">
                  <c:v>5.7819500000000001</c:v>
                </c:pt>
                <c:pt idx="33">
                  <c:v>5.7819900000000004</c:v>
                </c:pt>
                <c:pt idx="34">
                  <c:v>6.7321846000000001</c:v>
                </c:pt>
                <c:pt idx="35">
                  <c:v>7.1381307999999999</c:v>
                </c:pt>
                <c:pt idx="36">
                  <c:v>7.3749462000000001</c:v>
                </c:pt>
                <c:pt idx="37">
                  <c:v>7.3856999999999999</c:v>
                </c:pt>
                <c:pt idx="38">
                  <c:v>7.3933600000000004</c:v>
                </c:pt>
                <c:pt idx="39">
                  <c:v>7.47011</c:v>
                </c:pt>
                <c:pt idx="40">
                  <c:v>7.5545099999999996</c:v>
                </c:pt>
                <c:pt idx="41">
                  <c:v>7.5967200000000004</c:v>
                </c:pt>
                <c:pt idx="42">
                  <c:v>7.7233299999999998</c:v>
                </c:pt>
                <c:pt idx="43">
                  <c:v>8.6966800000000006</c:v>
                </c:pt>
                <c:pt idx="44">
                  <c:v>8.9649692000000005</c:v>
                </c:pt>
                <c:pt idx="45">
                  <c:v>9.0995299999999997</c:v>
                </c:pt>
                <c:pt idx="46">
                  <c:v>10.0868</c:v>
                </c:pt>
                <c:pt idx="47">
                  <c:v>10.255599999999999</c:v>
                </c:pt>
                <c:pt idx="48">
                  <c:v>10.4244</c:v>
                </c:pt>
                <c:pt idx="49">
                  <c:v>11.9194</c:v>
                </c:pt>
                <c:pt idx="50">
                  <c:v>12.914400000000001</c:v>
                </c:pt>
                <c:pt idx="51">
                  <c:v>13.041</c:v>
                </c:pt>
                <c:pt idx="52">
                  <c:v>13.125400000000001</c:v>
                </c:pt>
                <c:pt idx="53">
                  <c:v>13.2098</c:v>
                </c:pt>
                <c:pt idx="54">
                  <c:v>13.589700000000001</c:v>
                </c:pt>
                <c:pt idx="55">
                  <c:v>14.455</c:v>
                </c:pt>
                <c:pt idx="56">
                  <c:v>14.668200000000001</c:v>
                </c:pt>
                <c:pt idx="57">
                  <c:v>15.8294</c:v>
                </c:pt>
                <c:pt idx="58">
                  <c:v>16.079699999999999</c:v>
                </c:pt>
                <c:pt idx="59">
                  <c:v>16.232199999999999</c:v>
                </c:pt>
                <c:pt idx="60">
                  <c:v>18.611999999999998</c:v>
                </c:pt>
                <c:pt idx="61">
                  <c:v>18.780799999999999</c:v>
                </c:pt>
                <c:pt idx="62">
                  <c:v>19.033999999999999</c:v>
                </c:pt>
                <c:pt idx="63">
                  <c:v>19.123200000000001</c:v>
                </c:pt>
                <c:pt idx="64">
                  <c:v>19.1706</c:v>
                </c:pt>
                <c:pt idx="65">
                  <c:v>19.218</c:v>
                </c:pt>
                <c:pt idx="66">
                  <c:v>19.312799999999999</c:v>
                </c:pt>
                <c:pt idx="67">
                  <c:v>21.6084</c:v>
                </c:pt>
                <c:pt idx="68">
                  <c:v>24.014099999999999</c:v>
                </c:pt>
                <c:pt idx="69">
                  <c:v>27.052800000000001</c:v>
                </c:pt>
              </c:numCache>
            </c:numRef>
          </c:xVal>
          <c:yVal>
            <c:numRef>
              <c:f>'Survival Curve Summary'!$I$12:$I$81</c:f>
              <c:numCache>
                <c:formatCode>0.000</c:formatCode>
                <c:ptCount val="70"/>
                <c:pt idx="0">
                  <c:v>0.99504950000000003</c:v>
                </c:pt>
                <c:pt idx="1">
                  <c:v>0.99009901</c:v>
                </c:pt>
                <c:pt idx="2">
                  <c:v>0.98512363999999997</c:v>
                </c:pt>
                <c:pt idx="3">
                  <c:v>0.98014827000000004</c:v>
                </c:pt>
                <c:pt idx="4">
                  <c:v>0.97517288999999996</c:v>
                </c:pt>
                <c:pt idx="5">
                  <c:v>0.97019752000000004</c:v>
                </c:pt>
                <c:pt idx="6">
                  <c:v>0.96522215</c:v>
                </c:pt>
                <c:pt idx="7">
                  <c:v>0.96024677999999997</c:v>
                </c:pt>
                <c:pt idx="8">
                  <c:v>0.95521931000000004</c:v>
                </c:pt>
                <c:pt idx="9">
                  <c:v>0.95019184000000001</c:v>
                </c:pt>
                <c:pt idx="10">
                  <c:v>0.94516436999999998</c:v>
                </c:pt>
                <c:pt idx="11">
                  <c:v>0.94013690000000005</c:v>
                </c:pt>
                <c:pt idx="12">
                  <c:v>0.93510943000000002</c:v>
                </c:pt>
                <c:pt idx="13">
                  <c:v>0.93005477999999997</c:v>
                </c:pt>
                <c:pt idx="14">
                  <c:v>0.92500013999999997</c:v>
                </c:pt>
                <c:pt idx="15">
                  <c:v>0.90478155000000005</c:v>
                </c:pt>
                <c:pt idx="16">
                  <c:v>0.89972691000000005</c:v>
                </c:pt>
                <c:pt idx="17">
                  <c:v>0.89464370999999998</c:v>
                </c:pt>
                <c:pt idx="18">
                  <c:v>0.88947235999999996</c:v>
                </c:pt>
                <c:pt idx="19">
                  <c:v>0.88427076000000004</c:v>
                </c:pt>
                <c:pt idx="20">
                  <c:v>0.87386757999999998</c:v>
                </c:pt>
                <c:pt idx="21">
                  <c:v>0.86866597999999995</c:v>
                </c:pt>
                <c:pt idx="22">
                  <c:v>0.86346438999999997</c:v>
                </c:pt>
                <c:pt idx="23">
                  <c:v>0.85826279999999999</c:v>
                </c:pt>
                <c:pt idx="24">
                  <c:v>0.82667029999999997</c:v>
                </c:pt>
                <c:pt idx="25">
                  <c:v>0.82140489000000005</c:v>
                </c:pt>
                <c:pt idx="26">
                  <c:v>0.81607109</c:v>
                </c:pt>
                <c:pt idx="27">
                  <c:v>0.81070220000000004</c:v>
                </c:pt>
                <c:pt idx="28">
                  <c:v>0.80529751999999999</c:v>
                </c:pt>
                <c:pt idx="29">
                  <c:v>0.79985631999999995</c:v>
                </c:pt>
                <c:pt idx="30">
                  <c:v>0.78897392</c:v>
                </c:pt>
                <c:pt idx="31">
                  <c:v>0.78353271999999996</c:v>
                </c:pt>
                <c:pt idx="32">
                  <c:v>0.76176792000000004</c:v>
                </c:pt>
                <c:pt idx="33">
                  <c:v>0.75632672000000001</c:v>
                </c:pt>
                <c:pt idx="34">
                  <c:v>0.75080608999999998</c:v>
                </c:pt>
                <c:pt idx="35">
                  <c:v>0.74516093000000005</c:v>
                </c:pt>
                <c:pt idx="36">
                  <c:v>0.73951577000000002</c:v>
                </c:pt>
                <c:pt idx="37">
                  <c:v>0.73387062000000003</c:v>
                </c:pt>
                <c:pt idx="38">
                  <c:v>0.72822545999999999</c:v>
                </c:pt>
                <c:pt idx="39">
                  <c:v>0.71693514000000003</c:v>
                </c:pt>
                <c:pt idx="40">
                  <c:v>0.70564481999999995</c:v>
                </c:pt>
                <c:pt idx="41">
                  <c:v>0.69435451000000004</c:v>
                </c:pt>
                <c:pt idx="42">
                  <c:v>0.68306418999999996</c:v>
                </c:pt>
                <c:pt idx="43">
                  <c:v>0.67722603000000003</c:v>
                </c:pt>
                <c:pt idx="44">
                  <c:v>0.67133710999999996</c:v>
                </c:pt>
                <c:pt idx="45">
                  <c:v>0.66544818999999999</c:v>
                </c:pt>
                <c:pt idx="46">
                  <c:v>0.65334912999999994</c:v>
                </c:pt>
                <c:pt idx="47">
                  <c:v>0.64729959999999997</c:v>
                </c:pt>
                <c:pt idx="48">
                  <c:v>0.60455340000000002</c:v>
                </c:pt>
                <c:pt idx="49">
                  <c:v>0.59818967999999995</c:v>
                </c:pt>
                <c:pt idx="50">
                  <c:v>0.58518555999999999</c:v>
                </c:pt>
                <c:pt idx="51">
                  <c:v>0.57218142999999999</c:v>
                </c:pt>
                <c:pt idx="52">
                  <c:v>0.55917731000000004</c:v>
                </c:pt>
                <c:pt idx="53">
                  <c:v>0.54617318999999998</c:v>
                </c:pt>
                <c:pt idx="54">
                  <c:v>0.53951254000000004</c:v>
                </c:pt>
                <c:pt idx="55">
                  <c:v>0.53276862999999997</c:v>
                </c:pt>
                <c:pt idx="56">
                  <c:v>0.52602473000000005</c:v>
                </c:pt>
                <c:pt idx="57">
                  <c:v>0.51901105999999997</c:v>
                </c:pt>
                <c:pt idx="58">
                  <c:v>0.50479158000000002</c:v>
                </c:pt>
                <c:pt idx="59">
                  <c:v>0.49768183999999999</c:v>
                </c:pt>
                <c:pt idx="60">
                  <c:v>0.48081127000000001</c:v>
                </c:pt>
                <c:pt idx="61">
                  <c:v>0.46332721999999998</c:v>
                </c:pt>
                <c:pt idx="62">
                  <c:v>0.44550695000000001</c:v>
                </c:pt>
                <c:pt idx="63">
                  <c:v>0.43659681</c:v>
                </c:pt>
                <c:pt idx="64">
                  <c:v>0.42768666999999999</c:v>
                </c:pt>
                <c:pt idx="65">
                  <c:v>0.41877652999999998</c:v>
                </c:pt>
                <c:pt idx="66">
                  <c:v>0.40947038000000002</c:v>
                </c:pt>
                <c:pt idx="67">
                  <c:v>0.39742714000000001</c:v>
                </c:pt>
                <c:pt idx="68">
                  <c:v>0.38014769999999998</c:v>
                </c:pt>
                <c:pt idx="69">
                  <c:v>0.32584088</c:v>
                </c:pt>
              </c:numCache>
            </c:numRef>
          </c:yVal>
          <c:smooth val="0"/>
          <c:extLst>
            <c:ext xmlns:c16="http://schemas.microsoft.com/office/drawing/2014/chart" uri="{C3380CC4-5D6E-409C-BE32-E72D297353CC}">
              <c16:uniqueId val="{00000002-E6A1-4334-BA2F-F062089EB0E5}"/>
            </c:ext>
          </c:extLst>
        </c:ser>
        <c:ser>
          <c:idx val="8"/>
          <c:order val="3"/>
          <c:tx>
            <c:strRef>
              <c:f>'Survival Curve Summary'!$M$11</c:f>
              <c:strCache>
                <c:ptCount val="1"/>
                <c:pt idx="0">
                  <c:v>Chemo PFS (KM)</c:v>
                </c:pt>
              </c:strCache>
            </c:strRef>
          </c:tx>
          <c:spPr>
            <a:ln w="19050" cap="rnd">
              <a:solidFill>
                <a:schemeClr val="bg1">
                  <a:lumMod val="50000"/>
                </a:schemeClr>
              </a:solidFill>
              <a:prstDash val="dash"/>
              <a:round/>
            </a:ln>
            <a:effectLst/>
          </c:spPr>
          <c:marker>
            <c:symbol val="none"/>
          </c:marker>
          <c:xVal>
            <c:numRef>
              <c:f>'Survival Curve Summary'!$L$12:$L$69</c:f>
              <c:numCache>
                <c:formatCode>0.000</c:formatCode>
                <c:ptCount val="58"/>
                <c:pt idx="0">
                  <c:v>0.96617419999999998</c:v>
                </c:pt>
                <c:pt idx="1">
                  <c:v>1.0389600000000001</c:v>
                </c:pt>
                <c:pt idx="2">
                  <c:v>1.0531915000000001</c:v>
                </c:pt>
                <c:pt idx="3">
                  <c:v>1.1472899999999999</c:v>
                </c:pt>
                <c:pt idx="4">
                  <c:v>1.2446815</c:v>
                </c:pt>
                <c:pt idx="5">
                  <c:v>1.5319153999999999</c:v>
                </c:pt>
                <c:pt idx="6">
                  <c:v>2.0106392</c:v>
                </c:pt>
                <c:pt idx="7">
                  <c:v>2.1470498999999998</c:v>
                </c:pt>
                <c:pt idx="8">
                  <c:v>2.2978730999999999</c:v>
                </c:pt>
                <c:pt idx="9">
                  <c:v>3.2251099999999999</c:v>
                </c:pt>
                <c:pt idx="10">
                  <c:v>3.8110027</c:v>
                </c:pt>
                <c:pt idx="11">
                  <c:v>4.2127615</c:v>
                </c:pt>
                <c:pt idx="12">
                  <c:v>4.2404384000000004</c:v>
                </c:pt>
                <c:pt idx="13">
                  <c:v>4.4155800000000003</c:v>
                </c:pt>
                <c:pt idx="14">
                  <c:v>4.5088109999999997</c:v>
                </c:pt>
                <c:pt idx="15">
                  <c:v>4.5957461999999998</c:v>
                </c:pt>
                <c:pt idx="16">
                  <c:v>4.9787308000000001</c:v>
                </c:pt>
                <c:pt idx="17">
                  <c:v>5</c:v>
                </c:pt>
                <c:pt idx="18">
                  <c:v>5.0992438</c:v>
                </c:pt>
                <c:pt idx="19">
                  <c:v>5.2602739999999999</c:v>
                </c:pt>
                <c:pt idx="20">
                  <c:v>5.28139</c:v>
                </c:pt>
                <c:pt idx="21">
                  <c:v>5.3616922999999996</c:v>
                </c:pt>
                <c:pt idx="22">
                  <c:v>5.6896766999999997</c:v>
                </c:pt>
                <c:pt idx="23">
                  <c:v>6.0319153999999999</c:v>
                </c:pt>
                <c:pt idx="24">
                  <c:v>6.3191537999999996</c:v>
                </c:pt>
                <c:pt idx="25">
                  <c:v>6.6558574999999998</c:v>
                </c:pt>
                <c:pt idx="26">
                  <c:v>6.7632000000000003</c:v>
                </c:pt>
                <c:pt idx="27">
                  <c:v>6.7965400000000002</c:v>
                </c:pt>
                <c:pt idx="28">
                  <c:v>6.9779178000000002</c:v>
                </c:pt>
                <c:pt idx="29">
                  <c:v>7.3723384999999997</c:v>
                </c:pt>
                <c:pt idx="30">
                  <c:v>7.4891800000000002</c:v>
                </c:pt>
                <c:pt idx="31">
                  <c:v>7.6595769000000002</c:v>
                </c:pt>
                <c:pt idx="32">
                  <c:v>7.7056300000000002</c:v>
                </c:pt>
                <c:pt idx="33">
                  <c:v>7.7922099999999999</c:v>
                </c:pt>
                <c:pt idx="34">
                  <c:v>7.8510692000000004</c:v>
                </c:pt>
                <c:pt idx="35">
                  <c:v>7.9440986000000002</c:v>
                </c:pt>
                <c:pt idx="36">
                  <c:v>8.1051287999999992</c:v>
                </c:pt>
                <c:pt idx="37">
                  <c:v>8.1383077000000004</c:v>
                </c:pt>
                <c:pt idx="38">
                  <c:v>9.1786521000000008</c:v>
                </c:pt>
                <c:pt idx="39">
                  <c:v>9.3829846000000003</c:v>
                </c:pt>
                <c:pt idx="40">
                  <c:v>9.5070399999999999</c:v>
                </c:pt>
                <c:pt idx="41">
                  <c:v>9.7659462000000001</c:v>
                </c:pt>
                <c:pt idx="42">
                  <c:v>9.9567099999999993</c:v>
                </c:pt>
                <c:pt idx="43">
                  <c:v>10.0374575</c:v>
                </c:pt>
                <c:pt idx="44">
                  <c:v>10.1489308</c:v>
                </c:pt>
                <c:pt idx="45">
                  <c:v>10.6276615</c:v>
                </c:pt>
                <c:pt idx="46">
                  <c:v>11.164668499999999</c:v>
                </c:pt>
                <c:pt idx="47">
                  <c:v>11.7014137</c:v>
                </c:pt>
                <c:pt idx="48">
                  <c:v>12.829776900000001</c:v>
                </c:pt>
                <c:pt idx="49">
                  <c:v>13.723800000000001</c:v>
                </c:pt>
                <c:pt idx="50">
                  <c:v>16.372338500000001</c:v>
                </c:pt>
                <c:pt idx="51">
                  <c:v>18.287238500000001</c:v>
                </c:pt>
                <c:pt idx="52">
                  <c:v>20.010646099999999</c:v>
                </c:pt>
                <c:pt idx="53">
                  <c:v>21.437899999999999</c:v>
                </c:pt>
                <c:pt idx="54">
                  <c:v>22.753799999999998</c:v>
                </c:pt>
                <c:pt idx="55">
                  <c:v>23.265923099999998</c:v>
                </c:pt>
                <c:pt idx="56">
                  <c:v>30.925615400000002</c:v>
                </c:pt>
                <c:pt idx="57">
                  <c:v>51.702230800000002</c:v>
                </c:pt>
              </c:numCache>
            </c:numRef>
          </c:xVal>
          <c:yVal>
            <c:numRef>
              <c:f>'Survival Curve Summary'!$M$12:$M$69</c:f>
              <c:numCache>
                <c:formatCode>0.000</c:formatCode>
                <c:ptCount val="58"/>
                <c:pt idx="0">
                  <c:v>0.98734177000000001</c:v>
                </c:pt>
                <c:pt idx="1">
                  <c:v>0.97468354000000001</c:v>
                </c:pt>
                <c:pt idx="2">
                  <c:v>0.96202531999999996</c:v>
                </c:pt>
                <c:pt idx="3">
                  <c:v>0.94936708999999997</c:v>
                </c:pt>
                <c:pt idx="4">
                  <c:v>0.93670885999999998</c:v>
                </c:pt>
                <c:pt idx="5">
                  <c:v>0.92405062999999998</c:v>
                </c:pt>
                <c:pt idx="6">
                  <c:v>0.91139241000000004</c:v>
                </c:pt>
                <c:pt idx="7">
                  <c:v>0.87341771999999995</c:v>
                </c:pt>
                <c:pt idx="8">
                  <c:v>0.86075948999999996</c:v>
                </c:pt>
                <c:pt idx="9">
                  <c:v>0.84810127000000002</c:v>
                </c:pt>
                <c:pt idx="10">
                  <c:v>0.83525125</c:v>
                </c:pt>
                <c:pt idx="11">
                  <c:v>0.82240122999999998</c:v>
                </c:pt>
                <c:pt idx="12">
                  <c:v>0.80955120999999997</c:v>
                </c:pt>
                <c:pt idx="13">
                  <c:v>0.79670118999999995</c:v>
                </c:pt>
                <c:pt idx="14">
                  <c:v>0.78385117000000004</c:v>
                </c:pt>
                <c:pt idx="15">
                  <c:v>0.77100115000000002</c:v>
                </c:pt>
                <c:pt idx="16">
                  <c:v>0.75815113000000001</c:v>
                </c:pt>
                <c:pt idx="17">
                  <c:v>0.74530110999999999</c:v>
                </c:pt>
                <c:pt idx="18">
                  <c:v>0.73245108999999997</c:v>
                </c:pt>
                <c:pt idx="19">
                  <c:v>0.71960106999999995</c:v>
                </c:pt>
                <c:pt idx="20">
                  <c:v>0.70675105000000005</c:v>
                </c:pt>
                <c:pt idx="21">
                  <c:v>0.69390103999999997</c:v>
                </c:pt>
                <c:pt idx="22">
                  <c:v>0.68105101999999995</c:v>
                </c:pt>
                <c:pt idx="23">
                  <c:v>0.66795388</c:v>
                </c:pt>
                <c:pt idx="24">
                  <c:v>0.65485674999999999</c:v>
                </c:pt>
                <c:pt idx="25">
                  <c:v>0.62866248000000002</c:v>
                </c:pt>
                <c:pt idx="26">
                  <c:v>0.60246820999999995</c:v>
                </c:pt>
                <c:pt idx="27">
                  <c:v>0.58937107</c:v>
                </c:pt>
                <c:pt idx="28">
                  <c:v>0.56317680000000003</c:v>
                </c:pt>
                <c:pt idx="29">
                  <c:v>0.54976782999999996</c:v>
                </c:pt>
                <c:pt idx="30">
                  <c:v>0.53635885999999999</c:v>
                </c:pt>
                <c:pt idx="31">
                  <c:v>0.52294989000000003</c:v>
                </c:pt>
                <c:pt idx="32">
                  <c:v>0.50954091999999995</c:v>
                </c:pt>
                <c:pt idx="33">
                  <c:v>0.48272296999999997</c:v>
                </c:pt>
                <c:pt idx="34">
                  <c:v>0.46893088999999999</c:v>
                </c:pt>
                <c:pt idx="35">
                  <c:v>0.45513880000000001</c:v>
                </c:pt>
                <c:pt idx="36">
                  <c:v>0.44134672000000003</c:v>
                </c:pt>
                <c:pt idx="37">
                  <c:v>0.42755462999999999</c:v>
                </c:pt>
                <c:pt idx="38">
                  <c:v>0.39997046000000003</c:v>
                </c:pt>
                <c:pt idx="39">
                  <c:v>0.38617837999999999</c:v>
                </c:pt>
                <c:pt idx="40">
                  <c:v>0.37238629000000001</c:v>
                </c:pt>
                <c:pt idx="41">
                  <c:v>0.35806374000000002</c:v>
                </c:pt>
                <c:pt idx="42">
                  <c:v>0.34374118999999997</c:v>
                </c:pt>
                <c:pt idx="43">
                  <c:v>0.32879592000000002</c:v>
                </c:pt>
                <c:pt idx="44">
                  <c:v>0.31385066</c:v>
                </c:pt>
                <c:pt idx="45">
                  <c:v>0.29890538999999999</c:v>
                </c:pt>
                <c:pt idx="46">
                  <c:v>0.26744166000000003</c:v>
                </c:pt>
                <c:pt idx="47">
                  <c:v>0.23597794</c:v>
                </c:pt>
                <c:pt idx="48">
                  <c:v>0.22024606999999999</c:v>
                </c:pt>
                <c:pt idx="49">
                  <c:v>0.20451421</c:v>
                </c:pt>
                <c:pt idx="50">
                  <c:v>0.18878234999999999</c:v>
                </c:pt>
                <c:pt idx="51">
                  <c:v>0.17305049</c:v>
                </c:pt>
                <c:pt idx="52">
                  <c:v>0.15731861999999999</c:v>
                </c:pt>
                <c:pt idx="53">
                  <c:v>0.14158676000000001</c:v>
                </c:pt>
                <c:pt idx="54">
                  <c:v>0.12388842</c:v>
                </c:pt>
                <c:pt idx="55">
                  <c:v>0.10324034999999999</c:v>
                </c:pt>
                <c:pt idx="56">
                  <c:v>8.2592280000000004E-2</c:v>
                </c:pt>
                <c:pt idx="57">
                  <c:v>4.1296140000000002E-2</c:v>
                </c:pt>
              </c:numCache>
            </c:numRef>
          </c:yVal>
          <c:smooth val="0"/>
          <c:extLst>
            <c:ext xmlns:c16="http://schemas.microsoft.com/office/drawing/2014/chart" uri="{C3380CC4-5D6E-409C-BE32-E72D297353CC}">
              <c16:uniqueId val="{00000003-E6A1-4334-BA2F-F062089EB0E5}"/>
            </c:ext>
          </c:extLst>
        </c:ser>
        <c:dLbls>
          <c:showLegendKey val="0"/>
          <c:showVal val="0"/>
          <c:showCatName val="0"/>
          <c:showSerName val="0"/>
          <c:showPercent val="0"/>
          <c:showBubbleSize val="0"/>
        </c:dLbls>
        <c:axId val="499781224"/>
        <c:axId val="499786712"/>
      </c:scatterChart>
      <c:valAx>
        <c:axId val="499781224"/>
        <c:scaling>
          <c:orientation val="minMax"/>
          <c:max val="240"/>
          <c:min val="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Months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786712"/>
        <c:crosses val="autoZero"/>
        <c:crossBetween val="midCat"/>
      </c:valAx>
      <c:valAx>
        <c:axId val="499786712"/>
        <c:scaling>
          <c:orientation val="minMax"/>
          <c:max val="1"/>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Progression-Free Survival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7812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0817330153254661E-2"/>
          <c:y val="2.9372496662216287E-2"/>
          <c:w val="0.39544636879904183"/>
          <c:h val="0.89086866478138826"/>
        </c:manualLayout>
      </c:layout>
      <c:barChart>
        <c:barDir val="bar"/>
        <c:grouping val="clustered"/>
        <c:varyColors val="0"/>
        <c:ser>
          <c:idx val="0"/>
          <c:order val="0"/>
          <c:tx>
            <c:v>Low</c:v>
          </c:tx>
          <c:spPr>
            <a:solidFill>
              <a:schemeClr val="tx1">
                <a:lumMod val="65000"/>
                <a:lumOff val="35000"/>
              </a:schemeClr>
            </a:solidFill>
            <a:ln>
              <a:noFill/>
            </a:ln>
            <a:effectLst/>
          </c:spPr>
          <c:invertIfNegative val="0"/>
          <c:cat>
            <c:strRef>
              <c:f>'Tornado Diagram'!$C$14:$C$33</c:f>
              <c:strCache>
                <c:ptCount val="20"/>
                <c:pt idx="0">
                  <c:v>Percentage of patients receiving 1st line pemetrexed maintenance (Chemo arm)</c:v>
                </c:pt>
                <c:pt idx="1">
                  <c:v>Hazard ratio used to estimate pemetrexed maintentance (Chemo arm)</c:v>
                </c:pt>
                <c:pt idx="2">
                  <c:v>Percentage transitioning to 2nd line treatment (Criz arm)</c:v>
                </c:pt>
                <c:pt idx="3">
                  <c:v>Median PFS 2nd line (Criz arm)</c:v>
                </c:pt>
                <c:pt idx="4">
                  <c:v>Percentage of patients receiving 3rd line docetaxel versus checkpoint inhibitor (Criz arm)</c:v>
                </c:pt>
                <c:pt idx="5">
                  <c:v>Time Horizon (months)</c:v>
                </c:pt>
                <c:pt idx="6">
                  <c:v>Utility - PFS on treatment health state (Crizotinib)</c:v>
                </c:pt>
                <c:pt idx="7">
                  <c:v>ROS1+ Prevalence</c:v>
                </c:pt>
                <c:pt idx="8">
                  <c:v>Percentage of patients receiving 2nd line docetaxel versus checkpoint inhibitor (Chemo arm)</c:v>
                </c:pt>
                <c:pt idx="9">
                  <c:v>Adverse Event Rate - Anemia (First line Pemetrexed/Platinum)</c:v>
                </c:pt>
                <c:pt idx="10">
                  <c:v>Median OS during palliation (Criz arm)</c:v>
                </c:pt>
                <c:pt idx="11">
                  <c:v>Transition probablity 2nd line checkpoint inhibitor or docetaxel (Chemo arm)</c:v>
                </c:pt>
                <c:pt idx="12">
                  <c:v>Percentage transitioning to 2nd line treatment (Chemo arm)</c:v>
                </c:pt>
                <c:pt idx="13">
                  <c:v>Utility - Palliation</c:v>
                </c:pt>
                <c:pt idx="14">
                  <c:v>Median OS during palliation (Chemo arm)</c:v>
                </c:pt>
                <c:pt idx="15">
                  <c:v>Percentage of patients receiving best supportive care costs (Chemo arm)</c:v>
                </c:pt>
                <c:pt idx="16">
                  <c:v>Percentage transitioning to 3rd line treatment (Criz arm)</c:v>
                </c:pt>
                <c:pt idx="17">
                  <c:v>Percentage of patients receiving best supportive care costs (Criz arm)</c:v>
                </c:pt>
                <c:pt idx="18">
                  <c:v>Utility - PFS on treatment health state (Pemetrexed maintenance)</c:v>
                </c:pt>
                <c:pt idx="19">
                  <c:v>Utility - PFS on treatment health state (Pemetrexed/platinum induction)</c:v>
                </c:pt>
              </c:strCache>
            </c:strRef>
          </c:cat>
          <c:val>
            <c:numRef>
              <c:f>'Tornado Diagram'!$D$14:$D$33</c:f>
              <c:numCache>
                <c:formatCode>"$"#,##0</c:formatCode>
                <c:ptCount val="20"/>
                <c:pt idx="0">
                  <c:v>214325.93346870906</c:v>
                </c:pt>
                <c:pt idx="1">
                  <c:v>336178.80111789482</c:v>
                </c:pt>
                <c:pt idx="2">
                  <c:v>299441.17060491891</c:v>
                </c:pt>
                <c:pt idx="3">
                  <c:v>290051.92166913307</c:v>
                </c:pt>
                <c:pt idx="4">
                  <c:v>286152.19756564323</c:v>
                </c:pt>
                <c:pt idx="5">
                  <c:v>270647.84460073372</c:v>
                </c:pt>
                <c:pt idx="6">
                  <c:v>284601.21575732547</c:v>
                </c:pt>
                <c:pt idx="7">
                  <c:v>291571.36382262816</c:v>
                </c:pt>
                <c:pt idx="8">
                  <c:v>265190.37074709014</c:v>
                </c:pt>
                <c:pt idx="9">
                  <c:v>288684.99080700887</c:v>
                </c:pt>
                <c:pt idx="10">
                  <c:v>280281.09181629907</c:v>
                </c:pt>
                <c:pt idx="11">
                  <c:v>284321.69671496464</c:v>
                </c:pt>
                <c:pt idx="12">
                  <c:v>262252.46429358033</c:v>
                </c:pt>
                <c:pt idx="13">
                  <c:v>262922.82892353088</c:v>
                </c:pt>
                <c:pt idx="14">
                  <c:v>265918.08376340981</c:v>
                </c:pt>
                <c:pt idx="15">
                  <c:v>284443.33770335797</c:v>
                </c:pt>
                <c:pt idx="16">
                  <c:v>277793.98676735914</c:v>
                </c:pt>
                <c:pt idx="17">
                  <c:v>258814.06517397912</c:v>
                </c:pt>
                <c:pt idx="18">
                  <c:v>265467.10461726994</c:v>
                </c:pt>
                <c:pt idx="19">
                  <c:v>265538.96100080863</c:v>
                </c:pt>
              </c:numCache>
            </c:numRef>
          </c:val>
          <c:extLst>
            <c:ext xmlns:c16="http://schemas.microsoft.com/office/drawing/2014/chart" uri="{C3380CC4-5D6E-409C-BE32-E72D297353CC}">
              <c16:uniqueId val="{00000000-1C81-4E62-AC91-091CD6808DF5}"/>
            </c:ext>
          </c:extLst>
        </c:ser>
        <c:ser>
          <c:idx val="1"/>
          <c:order val="1"/>
          <c:tx>
            <c:v>High</c:v>
          </c:tx>
          <c:spPr>
            <a:solidFill>
              <a:schemeClr val="bg1">
                <a:lumMod val="65000"/>
              </a:schemeClr>
            </a:solidFill>
            <a:ln>
              <a:noFill/>
            </a:ln>
            <a:effectLst/>
          </c:spPr>
          <c:invertIfNegative val="0"/>
          <c:cat>
            <c:strRef>
              <c:f>'Tornado Diagram'!$C$14:$C$33</c:f>
              <c:strCache>
                <c:ptCount val="20"/>
                <c:pt idx="0">
                  <c:v>Percentage of patients receiving 1st line pemetrexed maintenance (Chemo arm)</c:v>
                </c:pt>
                <c:pt idx="1">
                  <c:v>Hazard ratio used to estimate pemetrexed maintentance (Chemo arm)</c:v>
                </c:pt>
                <c:pt idx="2">
                  <c:v>Percentage transitioning to 2nd line treatment (Criz arm)</c:v>
                </c:pt>
                <c:pt idx="3">
                  <c:v>Median PFS 2nd line (Criz arm)</c:v>
                </c:pt>
                <c:pt idx="4">
                  <c:v>Percentage of patients receiving 3rd line docetaxel versus checkpoint inhibitor (Criz arm)</c:v>
                </c:pt>
                <c:pt idx="5">
                  <c:v>Time Horizon (months)</c:v>
                </c:pt>
                <c:pt idx="6">
                  <c:v>Utility - PFS on treatment health state (Crizotinib)</c:v>
                </c:pt>
                <c:pt idx="7">
                  <c:v>ROS1+ Prevalence</c:v>
                </c:pt>
                <c:pt idx="8">
                  <c:v>Percentage of patients receiving 2nd line docetaxel versus checkpoint inhibitor (Chemo arm)</c:v>
                </c:pt>
                <c:pt idx="9">
                  <c:v>Adverse Event Rate - Anemia (First line Pemetrexed/Platinum)</c:v>
                </c:pt>
                <c:pt idx="10">
                  <c:v>Median OS during palliation (Criz arm)</c:v>
                </c:pt>
                <c:pt idx="11">
                  <c:v>Transition probablity 2nd line checkpoint inhibitor or docetaxel (Chemo arm)</c:v>
                </c:pt>
                <c:pt idx="12">
                  <c:v>Percentage transitioning to 2nd line treatment (Chemo arm)</c:v>
                </c:pt>
                <c:pt idx="13">
                  <c:v>Utility - Palliation</c:v>
                </c:pt>
                <c:pt idx="14">
                  <c:v>Median OS during palliation (Chemo arm)</c:v>
                </c:pt>
                <c:pt idx="15">
                  <c:v>Percentage of patients receiving best supportive care costs (Chemo arm)</c:v>
                </c:pt>
                <c:pt idx="16">
                  <c:v>Percentage transitioning to 3rd line treatment (Criz arm)</c:v>
                </c:pt>
                <c:pt idx="17">
                  <c:v>Percentage of patients receiving best supportive care costs (Criz arm)</c:v>
                </c:pt>
                <c:pt idx="18">
                  <c:v>Utility - PFS on treatment health state (Pemetrexed maintenance)</c:v>
                </c:pt>
                <c:pt idx="19">
                  <c:v>Utility - PFS on treatment health state (Pemetrexed/platinum induction)</c:v>
                </c:pt>
              </c:strCache>
            </c:strRef>
          </c:cat>
          <c:val>
            <c:numRef>
              <c:f>'Tornado Diagram'!$E$14:$E$33</c:f>
              <c:numCache>
                <c:formatCode>"$"#,##0</c:formatCode>
                <c:ptCount val="20"/>
                <c:pt idx="0">
                  <c:v>391113.5083345921</c:v>
                </c:pt>
                <c:pt idx="1">
                  <c:v>231274.34621838297</c:v>
                </c:pt>
                <c:pt idx="2">
                  <c:v>249008.42491011368</c:v>
                </c:pt>
                <c:pt idx="3">
                  <c:v>244868.67352466166</c:v>
                </c:pt>
                <c:pt idx="4">
                  <c:v>254225.37218630197</c:v>
                </c:pt>
                <c:pt idx="5">
                  <c:v>298208.41262570454</c:v>
                </c:pt>
                <c:pt idx="6">
                  <c:v>260846.07400950557</c:v>
                </c:pt>
                <c:pt idx="7">
                  <c:v>269835.86205641628</c:v>
                </c:pt>
                <c:pt idx="8">
                  <c:v>286793.67409412551</c:v>
                </c:pt>
                <c:pt idx="9">
                  <c:v>267417.10788062535</c:v>
                </c:pt>
                <c:pt idx="10">
                  <c:v>259044.25508668786</c:v>
                </c:pt>
                <c:pt idx="11">
                  <c:v>264576.36331494147</c:v>
                </c:pt>
                <c:pt idx="12">
                  <c:v>281807.44690467441</c:v>
                </c:pt>
                <c:pt idx="13">
                  <c:v>279878.20420359925</c:v>
                </c:pt>
                <c:pt idx="14">
                  <c:v>280596.06137673819</c:v>
                </c:pt>
                <c:pt idx="15">
                  <c:v>271418.30871951289</c:v>
                </c:pt>
                <c:pt idx="16">
                  <c:v>265169.31972217298</c:v>
                </c:pt>
                <c:pt idx="17">
                  <c:v>271418.30871951289</c:v>
                </c:pt>
                <c:pt idx="18">
                  <c:v>277642.45818037476</c:v>
                </c:pt>
                <c:pt idx="19">
                  <c:v>277563.90292268654</c:v>
                </c:pt>
              </c:numCache>
            </c:numRef>
          </c:val>
          <c:extLst>
            <c:ext xmlns:c16="http://schemas.microsoft.com/office/drawing/2014/chart" uri="{C3380CC4-5D6E-409C-BE32-E72D297353CC}">
              <c16:uniqueId val="{00000001-1C81-4E62-AC91-091CD6808DF5}"/>
            </c:ext>
          </c:extLst>
        </c:ser>
        <c:dLbls>
          <c:showLegendKey val="0"/>
          <c:showVal val="0"/>
          <c:showCatName val="0"/>
          <c:showSerName val="0"/>
          <c:showPercent val="0"/>
          <c:showBubbleSize val="0"/>
        </c:dLbls>
        <c:gapWidth val="40"/>
        <c:overlap val="100"/>
        <c:axId val="499782792"/>
        <c:axId val="499783576"/>
        <c:extLst/>
      </c:barChart>
      <c:catAx>
        <c:axId val="499782792"/>
        <c:scaling>
          <c:orientation val="maxMin"/>
        </c:scaling>
        <c:delete val="0"/>
        <c:axPos val="l"/>
        <c:numFmt formatCode="General" sourceLinked="0"/>
        <c:majorTickMark val="out"/>
        <c:minorTickMark val="none"/>
        <c:tickLblPos val="high"/>
        <c:spPr>
          <a:noFill/>
          <a:ln w="6350" cap="flat" cmpd="sng" algn="ctr">
            <a:solidFill>
              <a:schemeClr val="tx1">
                <a:tint val="75000"/>
              </a:schemeClr>
            </a:solidFill>
            <a:prstDash val="solid"/>
            <a:round/>
          </a:ln>
          <a:effectLst/>
        </c:spPr>
        <c:txPr>
          <a:bodyPr rot="0" spcFirstLastPara="1" vertOverflow="ellipsis" wrap="square" anchor="ctr" anchorCtr="1"/>
          <a:lstStyle/>
          <a:p>
            <a:pPr>
              <a:defRPr sz="750" b="0" i="0" u="none" strike="noStrike" kern="1200" baseline="0">
                <a:solidFill>
                  <a:schemeClr val="tx1"/>
                </a:solidFill>
                <a:latin typeface="+mn-lt"/>
                <a:ea typeface="+mn-ea"/>
                <a:cs typeface="+mn-cs"/>
              </a:defRPr>
            </a:pPr>
            <a:endParaRPr lang="en-US"/>
          </a:p>
        </c:txPr>
        <c:crossAx val="499783576"/>
        <c:crossesAt val="271418.30871951301"/>
        <c:auto val="1"/>
        <c:lblAlgn val="ctr"/>
        <c:lblOffset val="100"/>
        <c:noMultiLvlLbl val="0"/>
      </c:catAx>
      <c:valAx>
        <c:axId val="499783576"/>
        <c:scaling>
          <c:orientation val="minMax"/>
          <c:max val="400000"/>
        </c:scaling>
        <c:delete val="0"/>
        <c:axPos val="t"/>
        <c:majorGridlines>
          <c:spPr>
            <a:ln w="6350" cap="flat" cmpd="sng" algn="ctr">
              <a:solidFill>
                <a:schemeClr val="bg1">
                  <a:lumMod val="75000"/>
                </a:schemeClr>
              </a:solidFill>
              <a:prstDash val="dash"/>
              <a:round/>
            </a:ln>
            <a:effectLst/>
          </c:spPr>
        </c:majorGridlines>
        <c:title>
          <c:tx>
            <c:rich>
              <a:bodyPr rot="0" spcFirstLastPara="1" vertOverflow="ellipsis" vert="horz" wrap="square" anchor="ctr" anchorCtr="1"/>
              <a:lstStyle/>
              <a:p>
                <a:pPr>
                  <a:defRPr sz="750" b="1" i="0" u="none" strike="noStrike" kern="1200" baseline="0">
                    <a:solidFill>
                      <a:schemeClr val="tx1"/>
                    </a:solidFill>
                    <a:latin typeface="+mn-lt"/>
                    <a:ea typeface="+mn-ea"/>
                    <a:cs typeface="+mn-cs"/>
                  </a:defRPr>
                </a:pPr>
                <a:r>
                  <a:rPr lang="en-US"/>
                  <a:t>ICER</a:t>
                </a:r>
              </a:p>
            </c:rich>
          </c:tx>
          <c:layout>
            <c:manualLayout>
              <c:xMode val="edge"/>
              <c:yMode val="edge"/>
              <c:x val="0.21564103048270042"/>
              <c:y val="0.95034700324930776"/>
            </c:manualLayout>
          </c:layout>
          <c:overlay val="0"/>
          <c:spPr>
            <a:noFill/>
            <a:ln>
              <a:noFill/>
            </a:ln>
            <a:effectLst/>
          </c:spPr>
          <c:txPr>
            <a:bodyPr rot="0" spcFirstLastPara="1" vertOverflow="ellipsis" vert="horz" wrap="square" anchor="ctr" anchorCtr="1"/>
            <a:lstStyle/>
            <a:p>
              <a:pPr>
                <a:defRPr sz="750" b="1" i="0" u="none" strike="noStrike" kern="1200" baseline="0">
                  <a:solidFill>
                    <a:schemeClr val="tx1"/>
                  </a:solidFill>
                  <a:latin typeface="+mn-lt"/>
                  <a:ea typeface="+mn-ea"/>
                  <a:cs typeface="+mn-cs"/>
                </a:defRPr>
              </a:pPr>
              <a:endParaRPr lang="en-US"/>
            </a:p>
          </c:txPr>
        </c:title>
        <c:numFmt formatCode="&quot;$&quot;#,##0" sourceLinked="0"/>
        <c:majorTickMark val="none"/>
        <c:minorTickMark val="none"/>
        <c:tickLblPos val="high"/>
        <c:spPr>
          <a:noFill/>
          <a:ln w="6350" cap="flat" cmpd="sng" algn="ctr">
            <a:solidFill>
              <a:schemeClr val="bg1">
                <a:lumMod val="85000"/>
              </a:schemeClr>
            </a:solidFill>
            <a:prstDash val="solid"/>
            <a:round/>
          </a:ln>
          <a:effectLst/>
        </c:spPr>
        <c:txPr>
          <a:bodyPr rot="-6000000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crossAx val="499782792"/>
        <c:crosses val="autoZero"/>
        <c:crossBetween val="between"/>
        <c:majorUnit val="100000"/>
        <c:minorUnit val="25000"/>
      </c:valAx>
      <c:spPr>
        <a:noFill/>
        <a:ln w="12700">
          <a:solidFill>
            <a:schemeClr val="bg1">
              <a:lumMod val="85000"/>
            </a:schemeClr>
          </a:solidFill>
        </a:ln>
        <a:effectLst/>
      </c:spPr>
    </c:plotArea>
    <c:legend>
      <c:legendPos val="r"/>
      <c:layout>
        <c:manualLayout>
          <c:xMode val="edge"/>
          <c:yMode val="edge"/>
          <c:x val="0.78256931729139412"/>
          <c:y val="0.93387283299927903"/>
          <c:w val="0.12539051969529416"/>
          <c:h val="3.7608673086511349E-2"/>
        </c:manualLayout>
      </c:layout>
      <c:overlay val="0"/>
      <c:spPr>
        <a:noFill/>
        <a:ln>
          <a:noFill/>
        </a:ln>
        <a:effectLst/>
      </c:spPr>
      <c:txPr>
        <a:bodyPr rot="0" spcFirstLastPara="1" vertOverflow="ellipsis" vert="horz" wrap="square" anchor="ctr" anchorCtr="1"/>
        <a:lstStyle/>
        <a:p>
          <a:pPr>
            <a:defRPr sz="75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6350" cap="flat" cmpd="sng" algn="ctr">
      <a:noFill/>
      <a:prstDash val="solid"/>
      <a:round/>
    </a:ln>
    <a:effectLst/>
  </c:spPr>
  <c:txPr>
    <a:bodyPr/>
    <a:lstStyle/>
    <a:p>
      <a:pPr>
        <a:defRPr sz="75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2EE9E-B0F9-4835-85AF-CEFD17F1C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16428</Words>
  <Characters>93642</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2021-07-14T19:59:00Z</dcterms:created>
  <dcterms:modified xsi:type="dcterms:W3CDTF">2021-09-09T15:41:00Z</dcterms:modified>
</cp:coreProperties>
</file>