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96A8A" w14:textId="46B67644" w:rsidR="005613B4" w:rsidRPr="000D3ADB" w:rsidRDefault="008D5F7C">
      <w:pPr>
        <w:rPr>
          <w:rFonts w:ascii="Times New Roman" w:eastAsia="Times New Roman" w:hAnsi="Times New Roman" w:cs="Times New Roman"/>
          <w:lang w:val="en-US"/>
        </w:rPr>
      </w:pPr>
      <w:r w:rsidRPr="000D3ADB">
        <w:rPr>
          <w:rFonts w:ascii="Times New Roman" w:eastAsia="Times New Roman" w:hAnsi="Times New Roman" w:cs="Times New Roman"/>
          <w:lang w:val="en-US"/>
        </w:rPr>
        <w:t>Suppl</w:t>
      </w:r>
      <w:r w:rsidR="005E2FF4" w:rsidRPr="000D3ADB">
        <w:rPr>
          <w:rFonts w:ascii="Times New Roman" w:eastAsia="Times New Roman" w:hAnsi="Times New Roman" w:cs="Times New Roman"/>
          <w:lang w:val="en-US"/>
        </w:rPr>
        <w:t>e</w:t>
      </w:r>
      <w:r w:rsidRPr="000D3ADB">
        <w:rPr>
          <w:rFonts w:ascii="Times New Roman" w:eastAsia="Times New Roman" w:hAnsi="Times New Roman" w:cs="Times New Roman"/>
          <w:lang w:val="en-US"/>
        </w:rPr>
        <w:t>mentary Table</w:t>
      </w:r>
      <w:r w:rsidR="000D3ADB">
        <w:rPr>
          <w:rFonts w:ascii="Times New Roman" w:eastAsia="Times New Roman" w:hAnsi="Times New Roman" w:cs="Times New Roman"/>
          <w:lang w:val="en-US"/>
        </w:rPr>
        <w:t xml:space="preserve"> 4</w:t>
      </w:r>
      <w:r w:rsidR="004E41EE" w:rsidRPr="000D3ADB">
        <w:rPr>
          <w:rFonts w:ascii="Times New Roman" w:eastAsia="Times New Roman" w:hAnsi="Times New Roman" w:cs="Times New Roman"/>
          <w:lang w:val="en-US"/>
        </w:rPr>
        <w:t xml:space="preserve">  </w:t>
      </w:r>
      <w:r w:rsidR="00767DA9" w:rsidRPr="000D3ADB">
        <w:rPr>
          <w:rFonts w:ascii="Times New Roman" w:eastAsia="Times New Roman" w:hAnsi="Times New Roman" w:cs="Times New Roman"/>
          <w:lang w:val="en-US"/>
        </w:rPr>
        <w:t>In</w:t>
      </w:r>
      <w:r w:rsidR="004E41EE" w:rsidRPr="000D3ADB">
        <w:rPr>
          <w:rFonts w:ascii="Times New Roman" w:eastAsia="Times New Roman" w:hAnsi="Times New Roman" w:cs="Times New Roman"/>
          <w:lang w:val="en-US"/>
        </w:rPr>
        <w:t>formation</w:t>
      </w:r>
      <w:r w:rsidR="00767DA9" w:rsidRPr="000D3ADB">
        <w:rPr>
          <w:rFonts w:ascii="Times New Roman" w:eastAsia="Times New Roman" w:hAnsi="Times New Roman" w:cs="Times New Roman"/>
          <w:lang w:val="en-US"/>
        </w:rPr>
        <w:t xml:space="preserve"> of </w:t>
      </w:r>
      <w:r w:rsidR="003A63D2" w:rsidRPr="000D3ADB">
        <w:rPr>
          <w:rFonts w:ascii="Times New Roman" w:eastAsia="Times New Roman" w:hAnsi="Times New Roman" w:cs="Times New Roman"/>
          <w:lang w:val="en-US"/>
        </w:rPr>
        <w:t>the genes in the prognostic model.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1435"/>
        <w:gridCol w:w="1460"/>
        <w:gridCol w:w="1954"/>
        <w:gridCol w:w="6569"/>
      </w:tblGrid>
      <w:tr w:rsidR="00BB4D06" w:rsidRPr="000D3ADB" w14:paraId="1E79795F" w14:textId="77777777" w:rsidTr="000D3ADB">
        <w:trPr>
          <w:trHeight w:val="320"/>
        </w:trPr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E41F01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gene name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863D5C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 xml:space="preserve">padj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ECBDA7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HR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34713C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coefficient</w:t>
            </w:r>
          </w:p>
        </w:tc>
        <w:tc>
          <w:tcPr>
            <w:tcW w:w="6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E8BBCC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discription</w:t>
            </w:r>
          </w:p>
        </w:tc>
      </w:tr>
      <w:tr w:rsidR="00BB4D06" w:rsidRPr="000D3ADB" w14:paraId="1F205BAB" w14:textId="77777777" w:rsidTr="000D3ADB">
        <w:trPr>
          <w:trHeight w:val="320"/>
        </w:trPr>
        <w:tc>
          <w:tcPr>
            <w:tcW w:w="1542" w:type="dxa"/>
            <w:tcBorders>
              <w:top w:val="single" w:sz="4" w:space="0" w:color="auto"/>
            </w:tcBorders>
            <w:noWrap/>
            <w:hideMark/>
          </w:tcPr>
          <w:p w14:paraId="3531F985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WNT7A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noWrap/>
            <w:hideMark/>
          </w:tcPr>
          <w:p w14:paraId="593E2C25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0.00224391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noWrap/>
            <w:hideMark/>
          </w:tcPr>
          <w:p w14:paraId="4130768F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1.41207214</w:t>
            </w:r>
          </w:p>
        </w:tc>
        <w:tc>
          <w:tcPr>
            <w:tcW w:w="1954" w:type="dxa"/>
            <w:tcBorders>
              <w:top w:val="single" w:sz="4" w:space="0" w:color="auto"/>
            </w:tcBorders>
            <w:noWrap/>
            <w:hideMark/>
          </w:tcPr>
          <w:p w14:paraId="7B413419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0.27508625</w:t>
            </w:r>
          </w:p>
        </w:tc>
        <w:tc>
          <w:tcPr>
            <w:tcW w:w="6569" w:type="dxa"/>
            <w:tcBorders>
              <w:top w:val="single" w:sz="4" w:space="0" w:color="auto"/>
            </w:tcBorders>
            <w:noWrap/>
            <w:hideMark/>
          </w:tcPr>
          <w:p w14:paraId="0F788F5B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 This gene is a member of the WNT gene family, promotes cancer invasion through the WNT/β-catenin pathway and correlated with worse prognosis.</w:t>
            </w:r>
          </w:p>
        </w:tc>
      </w:tr>
      <w:tr w:rsidR="00BB4D06" w:rsidRPr="000D3ADB" w14:paraId="2B842C01" w14:textId="77777777" w:rsidTr="000D3ADB">
        <w:trPr>
          <w:trHeight w:val="320"/>
        </w:trPr>
        <w:tc>
          <w:tcPr>
            <w:tcW w:w="1542" w:type="dxa"/>
            <w:noWrap/>
            <w:hideMark/>
          </w:tcPr>
          <w:p w14:paraId="37697F25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TMSB4Y</w:t>
            </w:r>
          </w:p>
        </w:tc>
        <w:tc>
          <w:tcPr>
            <w:tcW w:w="1435" w:type="dxa"/>
            <w:noWrap/>
            <w:hideMark/>
          </w:tcPr>
          <w:p w14:paraId="653F87FB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0.00781573</w:t>
            </w:r>
          </w:p>
        </w:tc>
        <w:tc>
          <w:tcPr>
            <w:tcW w:w="1460" w:type="dxa"/>
            <w:noWrap/>
            <w:hideMark/>
          </w:tcPr>
          <w:p w14:paraId="51508458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0.55674067</w:t>
            </w:r>
          </w:p>
        </w:tc>
        <w:tc>
          <w:tcPr>
            <w:tcW w:w="1954" w:type="dxa"/>
            <w:noWrap/>
            <w:hideMark/>
          </w:tcPr>
          <w:p w14:paraId="18F20DD8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-0.5406673</w:t>
            </w:r>
          </w:p>
        </w:tc>
        <w:tc>
          <w:tcPr>
            <w:tcW w:w="6569" w:type="dxa"/>
            <w:noWrap/>
            <w:hideMark/>
          </w:tcPr>
          <w:p w14:paraId="1909E433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This gene is a candidate tumor suppressor.</w:t>
            </w:r>
          </w:p>
        </w:tc>
      </w:tr>
      <w:tr w:rsidR="00BB4D06" w:rsidRPr="000D3ADB" w14:paraId="7801247D" w14:textId="77777777" w:rsidTr="000D3ADB">
        <w:trPr>
          <w:trHeight w:val="320"/>
        </w:trPr>
        <w:tc>
          <w:tcPr>
            <w:tcW w:w="1542" w:type="dxa"/>
            <w:noWrap/>
            <w:hideMark/>
          </w:tcPr>
          <w:p w14:paraId="0898F40A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SPINK6</w:t>
            </w:r>
          </w:p>
        </w:tc>
        <w:tc>
          <w:tcPr>
            <w:tcW w:w="1435" w:type="dxa"/>
            <w:noWrap/>
            <w:hideMark/>
          </w:tcPr>
          <w:p w14:paraId="6ED6D6A8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0.00781573</w:t>
            </w:r>
          </w:p>
        </w:tc>
        <w:tc>
          <w:tcPr>
            <w:tcW w:w="1460" w:type="dxa"/>
            <w:noWrap/>
            <w:hideMark/>
          </w:tcPr>
          <w:p w14:paraId="42F5DF9F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0.87101293</w:t>
            </w:r>
          </w:p>
        </w:tc>
        <w:tc>
          <w:tcPr>
            <w:tcW w:w="1954" w:type="dxa"/>
            <w:noWrap/>
            <w:hideMark/>
          </w:tcPr>
          <w:p w14:paraId="6D90A283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-0.1956309</w:t>
            </w:r>
          </w:p>
        </w:tc>
        <w:tc>
          <w:tcPr>
            <w:tcW w:w="6569" w:type="dxa"/>
            <w:noWrap/>
            <w:hideMark/>
          </w:tcPr>
          <w:p w14:paraId="60B76DEE" w14:textId="2B107986" w:rsidR="00BB4D06" w:rsidRPr="00AD62E4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This role of this gene in cancer is ambivalent in various cancers and papers.</w:t>
            </w:r>
            <w:r w:rsidR="00456393">
              <w:rPr>
                <w:rFonts w:ascii="Times New Roman" w:eastAsia="宋体" w:hAnsi="Times New Roman" w:cs="Times New Roman"/>
                <w:lang w:val="en-US"/>
              </w:rPr>
              <w:t xml:space="preserve"> </w:t>
            </w:r>
            <w:r w:rsidR="00AD62E4" w:rsidRPr="00D75EF3">
              <w:rPr>
                <w:rFonts w:ascii="Times New Roman" w:eastAsia="宋体" w:hAnsi="Times New Roman" w:cs="Times New Roman"/>
                <w:color w:val="00B050"/>
                <w:lang w:val="en-US"/>
              </w:rPr>
              <w:t xml:space="preserve">According to reports, it inhibits tumorigenesis in HCC </w:t>
            </w:r>
            <w:r w:rsidR="00AD62E4" w:rsidRPr="00D75EF3">
              <w:rPr>
                <w:rFonts w:ascii="Times New Roman" w:eastAsia="宋体" w:hAnsi="Times New Roman" w:cs="Times New Roman"/>
                <w:color w:val="00B050"/>
                <w:vertAlign w:val="superscript"/>
                <w:lang w:val="en-US"/>
              </w:rPr>
              <w:t>[1],</w:t>
            </w:r>
            <w:r w:rsidR="00AD62E4" w:rsidRPr="00D75EF3">
              <w:rPr>
                <w:rFonts w:ascii="Times New Roman" w:eastAsia="宋体" w:hAnsi="Times New Roman" w:cs="Times New Roman"/>
                <w:color w:val="00B050"/>
                <w:lang w:val="en-US"/>
              </w:rPr>
              <w:t xml:space="preserve"> and promotes metastasis by activating EGFR in nasopharyngeal carcinoma </w:t>
            </w:r>
            <w:r w:rsidR="00AD62E4" w:rsidRPr="00D75EF3">
              <w:rPr>
                <w:rFonts w:ascii="Times New Roman" w:eastAsia="宋体" w:hAnsi="Times New Roman" w:cs="Times New Roman"/>
                <w:color w:val="00B050"/>
                <w:vertAlign w:val="superscript"/>
                <w:lang w:val="en-US"/>
              </w:rPr>
              <w:t>[2]</w:t>
            </w:r>
            <w:r w:rsidR="00AD62E4" w:rsidRPr="00D75EF3">
              <w:rPr>
                <w:rFonts w:ascii="Times New Roman" w:eastAsia="宋体" w:hAnsi="Times New Roman" w:cs="Times New Roman"/>
                <w:color w:val="00B050"/>
                <w:lang w:val="en-US"/>
              </w:rPr>
              <w:t>.</w:t>
            </w:r>
          </w:p>
        </w:tc>
      </w:tr>
      <w:tr w:rsidR="00BB4D06" w:rsidRPr="000D3ADB" w14:paraId="15C83255" w14:textId="77777777" w:rsidTr="000D3ADB">
        <w:trPr>
          <w:trHeight w:val="320"/>
        </w:trPr>
        <w:tc>
          <w:tcPr>
            <w:tcW w:w="1542" w:type="dxa"/>
            <w:noWrap/>
            <w:hideMark/>
          </w:tcPr>
          <w:p w14:paraId="5EE1D83A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ZNF831</w:t>
            </w:r>
          </w:p>
        </w:tc>
        <w:tc>
          <w:tcPr>
            <w:tcW w:w="1435" w:type="dxa"/>
            <w:noWrap/>
            <w:hideMark/>
          </w:tcPr>
          <w:p w14:paraId="19311CFD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0.004618</w:t>
            </w:r>
          </w:p>
        </w:tc>
        <w:tc>
          <w:tcPr>
            <w:tcW w:w="1460" w:type="dxa"/>
            <w:noWrap/>
            <w:hideMark/>
          </w:tcPr>
          <w:p w14:paraId="0C31C951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0.19660723</w:t>
            </w:r>
          </w:p>
        </w:tc>
        <w:tc>
          <w:tcPr>
            <w:tcW w:w="1954" w:type="dxa"/>
            <w:noWrap/>
            <w:hideMark/>
          </w:tcPr>
          <w:p w14:paraId="6D04CCC3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-3.1999347</w:t>
            </w:r>
          </w:p>
        </w:tc>
        <w:tc>
          <w:tcPr>
            <w:tcW w:w="6569" w:type="dxa"/>
            <w:noWrap/>
            <w:hideMark/>
          </w:tcPr>
          <w:p w14:paraId="6C3058B6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Previous understanding of this gene focuses on cardiovascular disease and infections, especially HIV. The part it taken in cancer is unclear yet.</w:t>
            </w:r>
          </w:p>
        </w:tc>
      </w:tr>
      <w:tr w:rsidR="00BB4D06" w:rsidRPr="000D3ADB" w14:paraId="01525257" w14:textId="77777777" w:rsidTr="000D3ADB">
        <w:trPr>
          <w:trHeight w:val="320"/>
        </w:trPr>
        <w:tc>
          <w:tcPr>
            <w:tcW w:w="1542" w:type="dxa"/>
            <w:noWrap/>
            <w:hideMark/>
          </w:tcPr>
          <w:p w14:paraId="3C3FB63B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GZMM</w:t>
            </w:r>
          </w:p>
        </w:tc>
        <w:tc>
          <w:tcPr>
            <w:tcW w:w="1435" w:type="dxa"/>
            <w:noWrap/>
            <w:hideMark/>
          </w:tcPr>
          <w:p w14:paraId="733EB69E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0.00250753</w:t>
            </w:r>
          </w:p>
        </w:tc>
        <w:tc>
          <w:tcPr>
            <w:tcW w:w="1460" w:type="dxa"/>
            <w:noWrap/>
            <w:hideMark/>
          </w:tcPr>
          <w:p w14:paraId="47F0CCA6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0.64309833</w:t>
            </w:r>
          </w:p>
        </w:tc>
        <w:tc>
          <w:tcPr>
            <w:tcW w:w="1954" w:type="dxa"/>
            <w:noWrap/>
            <w:hideMark/>
          </w:tcPr>
          <w:p w14:paraId="7BE7E2E1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-0.4169944</w:t>
            </w:r>
          </w:p>
        </w:tc>
        <w:tc>
          <w:tcPr>
            <w:tcW w:w="6569" w:type="dxa"/>
            <w:noWrap/>
            <w:hideMark/>
          </w:tcPr>
          <w:p w14:paraId="09F7C522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This gene codes a protein products belong to granzymes, a distinct subset of neutral serine proteases. It is a immune effector molecules in large cytoplasmic granules stored in human NKs and  activated lymphocytes.</w:t>
            </w:r>
          </w:p>
        </w:tc>
      </w:tr>
      <w:tr w:rsidR="00BB4D06" w:rsidRPr="000D3ADB" w14:paraId="0BB1325A" w14:textId="77777777" w:rsidTr="000D3ADB">
        <w:trPr>
          <w:trHeight w:val="340"/>
        </w:trPr>
        <w:tc>
          <w:tcPr>
            <w:tcW w:w="1542" w:type="dxa"/>
            <w:noWrap/>
            <w:hideMark/>
          </w:tcPr>
          <w:p w14:paraId="4E2D94CB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FDCSP</w:t>
            </w:r>
          </w:p>
        </w:tc>
        <w:tc>
          <w:tcPr>
            <w:tcW w:w="1435" w:type="dxa"/>
            <w:noWrap/>
            <w:hideMark/>
          </w:tcPr>
          <w:p w14:paraId="45B20AA3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0.00618424</w:t>
            </w:r>
          </w:p>
        </w:tc>
        <w:tc>
          <w:tcPr>
            <w:tcW w:w="1460" w:type="dxa"/>
            <w:noWrap/>
            <w:hideMark/>
          </w:tcPr>
          <w:p w14:paraId="5A4EDAD1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0.89686563</w:t>
            </w:r>
          </w:p>
        </w:tc>
        <w:tc>
          <w:tcPr>
            <w:tcW w:w="1954" w:type="dxa"/>
            <w:noWrap/>
            <w:hideMark/>
          </w:tcPr>
          <w:p w14:paraId="1E2D6855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-0.0579227</w:t>
            </w:r>
          </w:p>
        </w:tc>
        <w:tc>
          <w:tcPr>
            <w:tcW w:w="6569" w:type="dxa"/>
            <w:noWrap/>
            <w:hideMark/>
          </w:tcPr>
          <w:p w14:paraId="4F0847A4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This gene encodes a small secreted protein that is expressed in follicular dendritic cells. This protein specifically binds to activated B cells, and functions as a regulator of antibody responses. It is also thought to contribute to tumor metastases by promoting cancer cell migration and invasion.</w:t>
            </w:r>
          </w:p>
        </w:tc>
      </w:tr>
      <w:tr w:rsidR="00BB4D06" w:rsidRPr="000D3ADB" w14:paraId="70046DEC" w14:textId="77777777" w:rsidTr="000D3ADB">
        <w:trPr>
          <w:trHeight w:val="340"/>
        </w:trPr>
        <w:tc>
          <w:tcPr>
            <w:tcW w:w="1542" w:type="dxa"/>
            <w:noWrap/>
            <w:hideMark/>
          </w:tcPr>
          <w:p w14:paraId="27E55D05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SH2D1A</w:t>
            </w:r>
          </w:p>
        </w:tc>
        <w:tc>
          <w:tcPr>
            <w:tcW w:w="1435" w:type="dxa"/>
            <w:noWrap/>
            <w:hideMark/>
          </w:tcPr>
          <w:p w14:paraId="252E56BE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0.00781573</w:t>
            </w:r>
          </w:p>
        </w:tc>
        <w:tc>
          <w:tcPr>
            <w:tcW w:w="1460" w:type="dxa"/>
            <w:noWrap/>
            <w:hideMark/>
          </w:tcPr>
          <w:p w14:paraId="7DC28D43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0.64611077</w:t>
            </w:r>
          </w:p>
        </w:tc>
        <w:tc>
          <w:tcPr>
            <w:tcW w:w="1954" w:type="dxa"/>
            <w:noWrap/>
            <w:hideMark/>
          </w:tcPr>
          <w:p w14:paraId="2BB2462B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0.58426326</w:t>
            </w:r>
          </w:p>
        </w:tc>
        <w:tc>
          <w:tcPr>
            <w:tcW w:w="6569" w:type="dxa"/>
            <w:noWrap/>
            <w:hideMark/>
          </w:tcPr>
          <w:p w14:paraId="713A98CA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 xml:space="preserve">This gene encodes a protein that plays a major role in the bidirectional stimulation of T and B cells. This protein contains an SH2 domain and a short tail. This protein can also bind to other related surface molecules that are expressed on activated T, B and NK cells, thereby modifying signal transduction pathways in these cells. </w:t>
            </w:r>
          </w:p>
        </w:tc>
      </w:tr>
      <w:tr w:rsidR="00BB4D06" w:rsidRPr="000D3ADB" w14:paraId="2803F913" w14:textId="77777777" w:rsidTr="000D3ADB">
        <w:trPr>
          <w:trHeight w:val="340"/>
        </w:trPr>
        <w:tc>
          <w:tcPr>
            <w:tcW w:w="1542" w:type="dxa"/>
            <w:noWrap/>
            <w:hideMark/>
          </w:tcPr>
          <w:p w14:paraId="74F9F057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DKK1</w:t>
            </w:r>
          </w:p>
        </w:tc>
        <w:tc>
          <w:tcPr>
            <w:tcW w:w="1435" w:type="dxa"/>
            <w:noWrap/>
            <w:hideMark/>
          </w:tcPr>
          <w:p w14:paraId="33863251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0.00099684</w:t>
            </w:r>
          </w:p>
        </w:tc>
        <w:tc>
          <w:tcPr>
            <w:tcW w:w="1460" w:type="dxa"/>
            <w:noWrap/>
            <w:hideMark/>
          </w:tcPr>
          <w:p w14:paraId="3E4518E1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1.25625716</w:t>
            </w:r>
          </w:p>
        </w:tc>
        <w:tc>
          <w:tcPr>
            <w:tcW w:w="1954" w:type="dxa"/>
            <w:noWrap/>
            <w:hideMark/>
          </w:tcPr>
          <w:p w14:paraId="7BD84634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0.10207575</w:t>
            </w:r>
          </w:p>
        </w:tc>
        <w:tc>
          <w:tcPr>
            <w:tcW w:w="6569" w:type="dxa"/>
            <w:noWrap/>
            <w:hideMark/>
          </w:tcPr>
          <w:p w14:paraId="330A2A42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A member of the dickkopf family of proteins. The encoded protein binds to the LRP6 co-receptor and inhibits beta-catenin-dependent Wnt signaling. Elevated expression of this gene has been observed in numerous human cancers and this protein may promote proliferation, invasion and growth in cancer cell lines.</w:t>
            </w:r>
          </w:p>
        </w:tc>
      </w:tr>
      <w:tr w:rsidR="00BB4D06" w:rsidRPr="000D3ADB" w14:paraId="025A45C2" w14:textId="77777777" w:rsidTr="000D3ADB">
        <w:trPr>
          <w:trHeight w:val="340"/>
        </w:trPr>
        <w:tc>
          <w:tcPr>
            <w:tcW w:w="1542" w:type="dxa"/>
            <w:noWrap/>
            <w:hideMark/>
          </w:tcPr>
          <w:p w14:paraId="3B77123D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lastRenderedPageBreak/>
              <w:t>CHGB</w:t>
            </w:r>
          </w:p>
        </w:tc>
        <w:tc>
          <w:tcPr>
            <w:tcW w:w="1435" w:type="dxa"/>
            <w:noWrap/>
            <w:hideMark/>
          </w:tcPr>
          <w:p w14:paraId="62037ACF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0.0028415</w:t>
            </w:r>
          </w:p>
        </w:tc>
        <w:tc>
          <w:tcPr>
            <w:tcW w:w="1460" w:type="dxa"/>
            <w:noWrap/>
            <w:hideMark/>
          </w:tcPr>
          <w:p w14:paraId="3A8B506F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1.19124312</w:t>
            </w:r>
          </w:p>
        </w:tc>
        <w:tc>
          <w:tcPr>
            <w:tcW w:w="1954" w:type="dxa"/>
            <w:noWrap/>
            <w:hideMark/>
          </w:tcPr>
          <w:p w14:paraId="0D99881F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0.13111763</w:t>
            </w:r>
          </w:p>
        </w:tc>
        <w:tc>
          <w:tcPr>
            <w:tcW w:w="6569" w:type="dxa"/>
            <w:noWrap/>
            <w:hideMark/>
          </w:tcPr>
          <w:p w14:paraId="5607BFEA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This gene encodes a tyrosine-sulfated secretory protein abundant in peptidergic endocrine cells and neurons. Its evaluated expression in  serum and tissues of breast cancer patients was reported.</w:t>
            </w:r>
          </w:p>
        </w:tc>
      </w:tr>
      <w:tr w:rsidR="00BB4D06" w:rsidRPr="000D3ADB" w14:paraId="2B651002" w14:textId="77777777" w:rsidTr="000D3ADB">
        <w:trPr>
          <w:trHeight w:val="340"/>
        </w:trPr>
        <w:tc>
          <w:tcPr>
            <w:tcW w:w="1542" w:type="dxa"/>
            <w:noWrap/>
            <w:hideMark/>
          </w:tcPr>
          <w:p w14:paraId="5C32DD78" w14:textId="77777777" w:rsidR="00BB4D06" w:rsidRPr="000D3ADB" w:rsidRDefault="00BB4D06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0D3ADB">
              <w:rPr>
                <w:rFonts w:ascii="Times New Roman" w:eastAsia="宋体" w:hAnsi="Times New Roman" w:cs="Times New Roman"/>
                <w:i/>
                <w:iCs/>
              </w:rPr>
              <w:t>IKZF3</w:t>
            </w:r>
          </w:p>
        </w:tc>
        <w:tc>
          <w:tcPr>
            <w:tcW w:w="1435" w:type="dxa"/>
            <w:noWrap/>
            <w:hideMark/>
          </w:tcPr>
          <w:p w14:paraId="26673511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0.00618424</w:t>
            </w:r>
          </w:p>
        </w:tc>
        <w:tc>
          <w:tcPr>
            <w:tcW w:w="1460" w:type="dxa"/>
            <w:noWrap/>
            <w:hideMark/>
          </w:tcPr>
          <w:p w14:paraId="606B89F1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0.69586505</w:t>
            </w:r>
          </w:p>
        </w:tc>
        <w:tc>
          <w:tcPr>
            <w:tcW w:w="1954" w:type="dxa"/>
            <w:noWrap/>
            <w:hideMark/>
          </w:tcPr>
          <w:p w14:paraId="1897C84E" w14:textId="77777777" w:rsidR="00BB4D06" w:rsidRPr="000D3ADB" w:rsidRDefault="00BB4D06" w:rsidP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0.62912215</w:t>
            </w:r>
          </w:p>
        </w:tc>
        <w:tc>
          <w:tcPr>
            <w:tcW w:w="6569" w:type="dxa"/>
            <w:noWrap/>
            <w:hideMark/>
          </w:tcPr>
          <w:p w14:paraId="11EC2571" w14:textId="77777777" w:rsidR="00BB4D06" w:rsidRPr="000D3ADB" w:rsidRDefault="00BB4D06">
            <w:pPr>
              <w:rPr>
                <w:rFonts w:ascii="Times New Roman" w:eastAsia="宋体" w:hAnsi="Times New Roman" w:cs="Times New Roman"/>
              </w:rPr>
            </w:pPr>
            <w:r w:rsidRPr="000D3ADB">
              <w:rPr>
                <w:rFonts w:ascii="Times New Roman" w:eastAsia="宋体" w:hAnsi="Times New Roman" w:cs="Times New Roman"/>
              </w:rPr>
              <w:t>This gene encodes a member of the Ikaros family of zinc-finger proteins. Three members of this protein family (Ikaros, Aiolos and Helios) are hematopoietic-specific transcription factors involved in the regulation of lymphocyte development. This gene product is a transcription factor that is important in the regulation of B lymphocyte proliferation and differentiation.</w:t>
            </w:r>
          </w:p>
        </w:tc>
      </w:tr>
    </w:tbl>
    <w:p w14:paraId="0034EC23" w14:textId="77777777" w:rsidR="00D75EF3" w:rsidRDefault="00456393" w:rsidP="00AD62E4">
      <w:pPr>
        <w:rPr>
          <w:rFonts w:ascii="Times New Roman" w:eastAsia="宋体" w:hAnsi="Times New Roman" w:cs="Times New Roman"/>
          <w:lang w:val="en-US"/>
        </w:rPr>
      </w:pPr>
      <w:r>
        <w:rPr>
          <w:rFonts w:ascii="Times New Roman" w:eastAsia="宋体" w:hAnsi="Times New Roman" w:cs="Times New Roman" w:hint="eastAsia"/>
        </w:rPr>
        <w:t>N</w:t>
      </w:r>
      <w:proofErr w:type="spellStart"/>
      <w:r>
        <w:rPr>
          <w:rFonts w:ascii="Times New Roman" w:eastAsia="宋体" w:hAnsi="Times New Roman" w:cs="Times New Roman"/>
          <w:lang w:val="en-US"/>
        </w:rPr>
        <w:t>ote</w:t>
      </w:r>
      <w:proofErr w:type="spellEnd"/>
      <w:r>
        <w:rPr>
          <w:rFonts w:ascii="Times New Roman" w:eastAsia="宋体" w:hAnsi="Times New Roman" w:cs="Times New Roman"/>
          <w:lang w:val="en-US"/>
        </w:rPr>
        <w:t xml:space="preserve">: </w:t>
      </w:r>
    </w:p>
    <w:p w14:paraId="29B3C3A8" w14:textId="65476D31" w:rsidR="00AD62E4" w:rsidRPr="00AD62E4" w:rsidRDefault="00456393" w:rsidP="00AD62E4">
      <w:pPr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/>
          <w:lang w:val="en-US"/>
        </w:rPr>
        <w:t>[1]</w:t>
      </w:r>
      <w:r w:rsidR="00AD62E4">
        <w:rPr>
          <w:rFonts w:ascii="Times New Roman" w:eastAsia="宋体" w:hAnsi="Times New Roman" w:cs="Times New Roman"/>
          <w:lang w:val="en-US"/>
        </w:rPr>
        <w:t xml:space="preserve"> </w:t>
      </w:r>
      <w:r w:rsidR="00AD62E4" w:rsidRPr="00AD62E4">
        <w:rPr>
          <w:rFonts w:ascii="Segoe UI" w:eastAsia="Times New Roman" w:hAnsi="Segoe UI" w:cs="Segoe UI"/>
          <w:color w:val="000000"/>
          <w:sz w:val="21"/>
          <w:szCs w:val="21"/>
          <w:shd w:val="clear" w:color="auto" w:fill="FFFFFF"/>
        </w:rPr>
        <w:t xml:space="preserve">Ge, </w:t>
      </w:r>
      <w:proofErr w:type="gramStart"/>
      <w:r w:rsidR="00AD62E4" w:rsidRPr="00AD62E4">
        <w:rPr>
          <w:rFonts w:ascii="Segoe UI" w:eastAsia="Times New Roman" w:hAnsi="Segoe UI" w:cs="Segoe UI"/>
          <w:color w:val="000000"/>
          <w:sz w:val="21"/>
          <w:szCs w:val="21"/>
          <w:shd w:val="clear" w:color="auto" w:fill="FFFFFF"/>
        </w:rPr>
        <w:t>K. ,</w:t>
      </w:r>
      <w:proofErr w:type="gramEnd"/>
      <w:r w:rsidR="00AD62E4" w:rsidRPr="00AD62E4">
        <w:rPr>
          <w:rFonts w:ascii="Segoe UI" w:eastAsia="Times New Roman" w:hAnsi="Segoe UI" w:cs="Segoe UI"/>
          <w:color w:val="000000"/>
          <w:sz w:val="21"/>
          <w:szCs w:val="21"/>
          <w:shd w:val="clear" w:color="auto" w:fill="FFFFFF"/>
        </w:rPr>
        <w:t xml:space="preserve"> Huang, J. , Wang, W. , Gu, M. , Dai, X. , Xu, Y. , Wu, H. , Li, G. , Lu, H. , Zhong, J. , &amp; Huang, Q. . (2017). Serine protease inhibitor kazal-type 6 inhibits tumorigenesis of human hepatocellular carcinoma cells via its extracellular action.. 8(4), 5965-5975.</w:t>
      </w:r>
    </w:p>
    <w:p w14:paraId="1778A6DB" w14:textId="77777777" w:rsidR="00AD62E4" w:rsidRPr="00AD62E4" w:rsidRDefault="00AD62E4" w:rsidP="00AD62E4">
      <w:pPr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/>
          <w:lang w:val="en-US"/>
        </w:rPr>
        <w:t xml:space="preserve">[2] </w:t>
      </w:r>
      <w:r w:rsidRPr="00AD62E4">
        <w:rPr>
          <w:rFonts w:ascii="Segoe UI" w:eastAsia="Times New Roman" w:hAnsi="Segoe UI" w:cs="Segoe UI"/>
          <w:color w:val="000000"/>
          <w:sz w:val="21"/>
          <w:szCs w:val="21"/>
          <w:shd w:val="clear" w:color="auto" w:fill="FFFFFF"/>
        </w:rPr>
        <w:t xml:space="preserve">Zheng, </w:t>
      </w:r>
      <w:proofErr w:type="gramStart"/>
      <w:r w:rsidRPr="00AD62E4">
        <w:rPr>
          <w:rFonts w:ascii="Segoe UI" w:eastAsia="Times New Roman" w:hAnsi="Segoe UI" w:cs="Segoe UI"/>
          <w:color w:val="000000"/>
          <w:sz w:val="21"/>
          <w:szCs w:val="21"/>
          <w:shd w:val="clear" w:color="auto" w:fill="FFFFFF"/>
        </w:rPr>
        <w:t>L. ,</w:t>
      </w:r>
      <w:proofErr w:type="gramEnd"/>
      <w:r w:rsidRPr="00AD62E4">
        <w:rPr>
          <w:rFonts w:ascii="Segoe UI" w:eastAsia="Times New Roman" w:hAnsi="Segoe UI" w:cs="Segoe UI"/>
          <w:color w:val="000000"/>
          <w:sz w:val="21"/>
          <w:szCs w:val="21"/>
          <w:shd w:val="clear" w:color="auto" w:fill="FFFFFF"/>
        </w:rPr>
        <w:t xml:space="preserve"> Yang, J. , Cao, Y. , Peng, L. , Sun, R. , Xie, P. , Wang, M. , Meng, D. , Luo, D. , Zou, X. , Chen, M. , Mai, H. , Guo, L. , Guo, X. , Shao, J. , Huang, B. , Zhang, W. , &amp; Qian, C. . (2017). SPINK6 Promotes Metastasis of Nasopharyngeal Carcinoma via Binding and Activation of Epithelial Growth Factor Receptor.. 77(2), 579-589.</w:t>
      </w:r>
    </w:p>
    <w:p w14:paraId="019614E5" w14:textId="0AA5DF7A" w:rsidR="004E41EE" w:rsidRPr="00456393" w:rsidRDefault="004E41EE">
      <w:pPr>
        <w:rPr>
          <w:rFonts w:ascii="Times New Roman" w:eastAsia="宋体" w:hAnsi="Times New Roman" w:cs="Times New Roman"/>
          <w:lang w:val="en-US"/>
        </w:rPr>
      </w:pPr>
    </w:p>
    <w:sectPr w:rsidR="004E41EE" w:rsidRPr="00456393" w:rsidSect="00BB4D0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62"/>
    <w:rsid w:val="000473EF"/>
    <w:rsid w:val="000B3EBB"/>
    <w:rsid w:val="000B41D2"/>
    <w:rsid w:val="000D3ADB"/>
    <w:rsid w:val="000D6E8C"/>
    <w:rsid w:val="00195BEF"/>
    <w:rsid w:val="00207C62"/>
    <w:rsid w:val="00263528"/>
    <w:rsid w:val="00304C1B"/>
    <w:rsid w:val="0032350E"/>
    <w:rsid w:val="003A63D2"/>
    <w:rsid w:val="003D5D2B"/>
    <w:rsid w:val="003E718C"/>
    <w:rsid w:val="003F3A37"/>
    <w:rsid w:val="003F6CD1"/>
    <w:rsid w:val="00456393"/>
    <w:rsid w:val="004818BD"/>
    <w:rsid w:val="004B6FBF"/>
    <w:rsid w:val="004C6444"/>
    <w:rsid w:val="004E0642"/>
    <w:rsid w:val="004E41EE"/>
    <w:rsid w:val="00555A49"/>
    <w:rsid w:val="005613B4"/>
    <w:rsid w:val="00566A56"/>
    <w:rsid w:val="005E2FF4"/>
    <w:rsid w:val="00647807"/>
    <w:rsid w:val="006C6F3B"/>
    <w:rsid w:val="00735995"/>
    <w:rsid w:val="00757218"/>
    <w:rsid w:val="0076714F"/>
    <w:rsid w:val="00767DA9"/>
    <w:rsid w:val="00785D3B"/>
    <w:rsid w:val="007B0250"/>
    <w:rsid w:val="007B2B64"/>
    <w:rsid w:val="007C717D"/>
    <w:rsid w:val="0081164F"/>
    <w:rsid w:val="008B19C1"/>
    <w:rsid w:val="008D5F7C"/>
    <w:rsid w:val="0090628E"/>
    <w:rsid w:val="009E3985"/>
    <w:rsid w:val="00AD62E4"/>
    <w:rsid w:val="00AF5486"/>
    <w:rsid w:val="00B60B06"/>
    <w:rsid w:val="00BB4D06"/>
    <w:rsid w:val="00BC075A"/>
    <w:rsid w:val="00BC14CF"/>
    <w:rsid w:val="00C103EF"/>
    <w:rsid w:val="00C6771B"/>
    <w:rsid w:val="00C772DA"/>
    <w:rsid w:val="00CE39F7"/>
    <w:rsid w:val="00D6553E"/>
    <w:rsid w:val="00D75EF3"/>
    <w:rsid w:val="00DD47FB"/>
    <w:rsid w:val="00F3667C"/>
    <w:rsid w:val="00F5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0C7ED"/>
  <w15:chartTrackingRefBased/>
  <w15:docId w15:val="{23DC2014-A1CC-5544-91EE-7A661F7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63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207C6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207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d-plain">
    <w:name w:val="md-plain"/>
    <w:basedOn w:val="a0"/>
    <w:rsid w:val="00207C62"/>
  </w:style>
  <w:style w:type="paragraph" w:customStyle="1" w:styleId="md-end-block">
    <w:name w:val="md-end-block"/>
    <w:basedOn w:val="a"/>
    <w:rsid w:val="00207C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561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4563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 Smith</dc:creator>
  <cp:keywords/>
  <dc:description/>
  <cp:lastModifiedBy>Pan Gao</cp:lastModifiedBy>
  <cp:revision>52</cp:revision>
  <dcterms:created xsi:type="dcterms:W3CDTF">2021-06-25T04:33:00Z</dcterms:created>
  <dcterms:modified xsi:type="dcterms:W3CDTF">2021-08-21T06:42:00Z</dcterms:modified>
</cp:coreProperties>
</file>