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/>
          <w:b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sz w:val="28"/>
          <w:szCs w:val="28"/>
        </w:rPr>
        <w:t>Table S1. Demographic and clinicopathological characteristics of patients with bladder cancer(n=410)</w:t>
      </w: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.</w:t>
      </w:r>
    </w:p>
    <w:tbl>
      <w:tblPr>
        <w:tblStyle w:val="5"/>
        <w:tblW w:w="829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276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6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Age(years)</w:t>
            </w:r>
          </w:p>
        </w:tc>
        <w:tc>
          <w:tcPr>
            <w:tcW w:w="276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≤65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39.27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&gt;65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249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60.73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Male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302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73.66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Grade 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Low grade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4.88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High grade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387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94.39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Unknown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0.73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Stage 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Stage I-II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32.30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Stage III-IV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276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67.32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Unknown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0.49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 stage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T0-T2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30.00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T3-T4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254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61.95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Unknown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8.05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 stage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N0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238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58.05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N1-3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31.71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Unknown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10.24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stage 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M0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47.56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M1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2.68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Unknown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27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49.76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EF"/>
    <w:rsid w:val="00021FDA"/>
    <w:rsid w:val="00046A26"/>
    <w:rsid w:val="0015293E"/>
    <w:rsid w:val="005446EF"/>
    <w:rsid w:val="00642EEE"/>
    <w:rsid w:val="0078100D"/>
    <w:rsid w:val="00D57A6D"/>
    <w:rsid w:val="00E25DDD"/>
    <w:rsid w:val="1269034F"/>
    <w:rsid w:val="22992E07"/>
    <w:rsid w:val="496774C8"/>
    <w:rsid w:val="512D6ED8"/>
    <w:rsid w:val="59216806"/>
    <w:rsid w:val="71A6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79</Words>
  <Characters>453</Characters>
  <Lines>3</Lines>
  <Paragraphs>1</Paragraphs>
  <TotalTime>11</TotalTime>
  <ScaleCrop>false</ScaleCrop>
  <LinksUpToDate>false</LinksUpToDate>
  <CharactersWithSpaces>531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2021-03-02T13:02:00Z</dcterms:created>
  <dc:creator>微软用户</dc:creator>
  <cp:lastModifiedBy>qwerty</cp:lastModifiedBy>
  <dcterms:modified xsi:type="dcterms:W3CDTF">2021-03-26T00:28:44Z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