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等线"/>
          <w:b/>
          <w:bCs/>
          <w:sz w:val="28"/>
          <w:szCs w:val="28"/>
        </w:rPr>
      </w:pPr>
      <w:r>
        <w:rPr>
          <w:rFonts w:ascii="Times New Roman" w:hAnsi="Times New Roman" w:eastAsia="等线"/>
          <w:b/>
          <w:bCs/>
          <w:sz w:val="28"/>
          <w:szCs w:val="28"/>
        </w:rPr>
        <w:t>Table S</w:t>
      </w:r>
      <w:r>
        <w:rPr>
          <w:rFonts w:hint="eastAsia" w:ascii="Times New Roman" w:hAnsi="Times New Roman" w:eastAsia="宋体"/>
          <w:b/>
          <w:bCs/>
          <w:sz w:val="28"/>
          <w:szCs w:val="28"/>
          <w:lang w:val="en-US" w:eastAsia="zh-CN"/>
        </w:rPr>
        <w:t>3</w:t>
      </w:r>
      <w:r>
        <w:rPr>
          <w:rFonts w:ascii="Times New Roman" w:hAnsi="Times New Roman" w:eastAsia="等线"/>
          <w:b/>
          <w:bCs/>
          <w:sz w:val="28"/>
          <w:szCs w:val="28"/>
        </w:rPr>
        <w:t>. Clinicopathological characteristics of BLCA patients in the training and validation cohorts.</w:t>
      </w:r>
    </w:p>
    <w:tbl>
      <w:tblPr>
        <w:tblStyle w:val="3"/>
        <w:tblW w:w="499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2799"/>
        <w:gridCol w:w="2983"/>
        <w:gridCol w:w="104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Features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2" w:type="pct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Training cohort(n=203)</w:t>
            </w:r>
          </w:p>
        </w:tc>
        <w:tc>
          <w:tcPr>
            <w:tcW w:w="1750" w:type="pct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Validation cohort(n=200)</w:t>
            </w:r>
          </w:p>
        </w:tc>
        <w:tc>
          <w:tcPr>
            <w:tcW w:w="615" w:type="pct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op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Age(years)</w:t>
            </w:r>
          </w:p>
        </w:tc>
        <w:tc>
          <w:tcPr>
            <w:tcW w:w="1642" w:type="pct"/>
            <w:tcBorders>
              <w:top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0" w:type="pct"/>
            <w:tcBorders>
              <w:top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color="auto" w:sz="4" w:space="0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0.426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≤65</w:t>
            </w:r>
          </w:p>
        </w:tc>
        <w:tc>
          <w:tcPr>
            <w:tcW w:w="164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(41.38%)</w:t>
            </w:r>
          </w:p>
        </w:tc>
        <w:tc>
          <w:tcPr>
            <w:tcW w:w="175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(37.50%)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&gt;65</w:t>
            </w:r>
          </w:p>
        </w:tc>
        <w:tc>
          <w:tcPr>
            <w:tcW w:w="164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(58.62%)</w:t>
            </w:r>
          </w:p>
        </w:tc>
        <w:tc>
          <w:tcPr>
            <w:tcW w:w="175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125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(62.50)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164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0.480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Female</w:t>
            </w:r>
          </w:p>
        </w:tc>
        <w:tc>
          <w:tcPr>
            <w:tcW w:w="164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(27.59%)</w:t>
            </w:r>
          </w:p>
        </w:tc>
        <w:tc>
          <w:tcPr>
            <w:tcW w:w="175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49(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24.50%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Male</w:t>
            </w:r>
          </w:p>
        </w:tc>
        <w:tc>
          <w:tcPr>
            <w:tcW w:w="164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(72.41%)</w:t>
            </w:r>
          </w:p>
        </w:tc>
        <w:tc>
          <w:tcPr>
            <w:tcW w:w="175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151(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75.50%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164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0.864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Low grade</w:t>
            </w:r>
          </w:p>
        </w:tc>
        <w:tc>
          <w:tcPr>
            <w:tcW w:w="164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(5.42%)</w:t>
            </w:r>
          </w:p>
        </w:tc>
        <w:tc>
          <w:tcPr>
            <w:tcW w:w="175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(4.50%)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High grade</w:t>
            </w:r>
          </w:p>
        </w:tc>
        <w:tc>
          <w:tcPr>
            <w:tcW w:w="164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190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(93.60%)</w:t>
            </w:r>
          </w:p>
        </w:tc>
        <w:tc>
          <w:tcPr>
            <w:tcW w:w="175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190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(95.00%)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Unknown</w:t>
            </w:r>
          </w:p>
        </w:tc>
        <w:tc>
          <w:tcPr>
            <w:tcW w:w="164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(0.99%)</w:t>
            </w:r>
          </w:p>
        </w:tc>
        <w:tc>
          <w:tcPr>
            <w:tcW w:w="175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(0.50%)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Stage</w:t>
            </w:r>
          </w:p>
        </w:tc>
        <w:tc>
          <w:tcPr>
            <w:tcW w:w="164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0.144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Stage I-II</w:t>
            </w:r>
          </w:p>
        </w:tc>
        <w:tc>
          <w:tcPr>
            <w:tcW w:w="164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(29.06%)</w:t>
            </w:r>
          </w:p>
        </w:tc>
        <w:tc>
          <w:tcPr>
            <w:tcW w:w="175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(35.50%)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Stage III-IV</w:t>
            </w:r>
          </w:p>
        </w:tc>
        <w:tc>
          <w:tcPr>
            <w:tcW w:w="164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142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(69.95%)</w:t>
            </w:r>
          </w:p>
        </w:tc>
        <w:tc>
          <w:tcPr>
            <w:tcW w:w="175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129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(64.50%)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Unknown</w:t>
            </w:r>
          </w:p>
        </w:tc>
        <w:tc>
          <w:tcPr>
            <w:tcW w:w="164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(0.99%)</w:t>
            </w:r>
          </w:p>
        </w:tc>
        <w:tc>
          <w:tcPr>
            <w:tcW w:w="175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(0%)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 stage</w:t>
            </w:r>
          </w:p>
        </w:tc>
        <w:tc>
          <w:tcPr>
            <w:tcW w:w="164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0.743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T0-T2</w:t>
            </w:r>
          </w:p>
        </w:tc>
        <w:tc>
          <w:tcPr>
            <w:tcW w:w="164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(28.57%)</w:t>
            </w:r>
          </w:p>
        </w:tc>
        <w:tc>
          <w:tcPr>
            <w:tcW w:w="175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(32.00%)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T3-T4</w:t>
            </w:r>
          </w:p>
        </w:tc>
        <w:tc>
          <w:tcPr>
            <w:tcW w:w="164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128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(63.05%)</w:t>
            </w:r>
          </w:p>
        </w:tc>
        <w:tc>
          <w:tcPr>
            <w:tcW w:w="175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(60.50%)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Unknown</w:t>
            </w:r>
          </w:p>
        </w:tc>
        <w:tc>
          <w:tcPr>
            <w:tcW w:w="164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(8.37%)</w:t>
            </w:r>
          </w:p>
        </w:tc>
        <w:tc>
          <w:tcPr>
            <w:tcW w:w="175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(7.50%)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stage</w:t>
            </w:r>
          </w:p>
        </w:tc>
        <w:tc>
          <w:tcPr>
            <w:tcW w:w="164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0.107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N0</w:t>
            </w:r>
          </w:p>
        </w:tc>
        <w:tc>
          <w:tcPr>
            <w:tcW w:w="164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108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(53.20%)</w:t>
            </w:r>
          </w:p>
        </w:tc>
        <w:tc>
          <w:tcPr>
            <w:tcW w:w="175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126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(63.00%)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N1-3</w:t>
            </w:r>
          </w:p>
        </w:tc>
        <w:tc>
          <w:tcPr>
            <w:tcW w:w="164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(34.48%)</w:t>
            </w:r>
          </w:p>
        </w:tc>
        <w:tc>
          <w:tcPr>
            <w:tcW w:w="175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(29.00%)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Unknown</w:t>
            </w:r>
          </w:p>
        </w:tc>
        <w:tc>
          <w:tcPr>
            <w:tcW w:w="164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(12.32%)</w:t>
            </w:r>
          </w:p>
        </w:tc>
        <w:tc>
          <w:tcPr>
            <w:tcW w:w="175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(8.00%)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>
      <w:pPr>
        <w:rPr>
          <w:rFonts w:hint="eastAsia" w:ascii="Times New Roman" w:hAnsi="Times New Roman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63F"/>
    <w:rsid w:val="000B72BA"/>
    <w:rsid w:val="0015293E"/>
    <w:rsid w:val="003C5920"/>
    <w:rsid w:val="00444107"/>
    <w:rsid w:val="005E5DAE"/>
    <w:rsid w:val="006977E7"/>
    <w:rsid w:val="008F635D"/>
    <w:rsid w:val="00BB263F"/>
    <w:rsid w:val="00E91CDB"/>
    <w:rsid w:val="3C882AF0"/>
    <w:rsid w:val="4D911836"/>
    <w:rsid w:val="528471E3"/>
    <w:rsid w:val="643E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118</Words>
  <Characters>678</Characters>
  <Lines>5</Lines>
  <Paragraphs>1</Paragraphs>
  <TotalTime>119</TotalTime>
  <ScaleCrop>false</ScaleCrop>
  <LinksUpToDate>false</LinksUpToDate>
  <CharactersWithSpaces>795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2021-03-02T13:36:00Z</dcterms:created>
  <dc:creator>微软用户</dc:creator>
  <cp:lastModifiedBy>qwerty</cp:lastModifiedBy>
  <dcterms:modified xsi:type="dcterms:W3CDTF">2021-03-26T00:25:08Z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