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able S1 The best cutoff values of continuous variables for predicting liver metastasis.</w:t>
      </w:r>
    </w:p>
    <w:tbl>
      <w:tblPr>
        <w:tblStyle w:val="9"/>
        <w:tblW w:w="0" w:type="auto"/>
        <w:tblInd w:w="0" w:type="dxa"/>
        <w:tblBorders>
          <w:top w:val="single" w:color="666666" w:themeColor="text1" w:themeTint="99" w:sz="4" w:space="0"/>
          <w:left w:val="none" w:color="auto" w:sz="0" w:space="0"/>
          <w:bottom w:val="single" w:color="666666" w:themeColor="text1" w:themeTint="99" w:sz="4" w:space="0"/>
          <w:right w:val="none" w:color="auto" w:sz="0" w:space="0"/>
          <w:insideH w:val="single" w:color="666666" w:themeColor="text1" w:themeTint="99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268"/>
        <w:gridCol w:w="1276"/>
        <w:gridCol w:w="1277"/>
        <w:gridCol w:w="1490"/>
      </w:tblGrid>
      <w:tr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ariable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utoff value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ensitivity</w:t>
            </w:r>
          </w:p>
        </w:tc>
        <w:tc>
          <w:tcPr>
            <w:tcW w:w="1277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pecificity</w:t>
            </w:r>
          </w:p>
        </w:tc>
        <w:tc>
          <w:tcPr>
            <w:tcW w:w="1490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Y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ouden index</w:t>
            </w:r>
          </w:p>
        </w:tc>
      </w:tr>
      <w:tr>
        <w:tblPrEx>
          <w:tblBorders>
            <w:top w:val="single" w:color="666666" w:themeColor="text1" w:themeTint="99" w:sz="4" w:space="0"/>
            <w:left w:val="none" w:color="auto" w:sz="0" w:space="0"/>
            <w:bottom w:val="single" w:color="666666" w:themeColor="text1" w:themeTint="99" w:sz="4" w:space="0"/>
            <w:right w:val="none" w:color="auto" w:sz="0" w:space="0"/>
            <w:insideH w:val="single" w:color="666666" w:themeColor="text1" w:themeTint="99" w:sz="4" w:space="0"/>
            <w:insideV w:val="none" w:color="auto" w:sz="0" w:space="0"/>
          </w:tblBorders>
        </w:tblPrEx>
        <w:tc>
          <w:tcPr>
            <w:tcW w:w="1985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ge (years old)</w:t>
            </w:r>
          </w:p>
        </w:tc>
        <w:tc>
          <w:tcPr>
            <w:tcW w:w="2268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≥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67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vs. &lt; </w:t>
            </w:r>
            <w:r>
              <w:rPr>
                <w:rFonts w:ascii="Times New Roman" w:hAnsi="Times New Roman" w:cs="Times New Roman"/>
                <w:szCs w:val="21"/>
              </w:rPr>
              <w:t>67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276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21.2%</w:t>
            </w:r>
          </w:p>
        </w:tc>
        <w:tc>
          <w:tcPr>
            <w:tcW w:w="1277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85.9%</w:t>
            </w:r>
          </w:p>
        </w:tc>
        <w:tc>
          <w:tcPr>
            <w:tcW w:w="1490" w:type="dxa"/>
            <w:tcBorders>
              <w:top w:val="single" w:color="auto" w:sz="4" w:space="0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.071</w:t>
            </w:r>
          </w:p>
        </w:tc>
      </w:tr>
      <w:tr>
        <w:tblPrEx>
          <w:tblBorders>
            <w:top w:val="single" w:color="666666" w:themeColor="text1" w:themeTint="99" w:sz="4" w:space="0"/>
            <w:left w:val="none" w:color="auto" w:sz="0" w:space="0"/>
            <w:bottom w:val="single" w:color="666666" w:themeColor="text1" w:themeTint="99" w:sz="4" w:space="0"/>
            <w:right w:val="none" w:color="auto" w:sz="0" w:space="0"/>
            <w:insideH w:val="single" w:color="666666" w:themeColor="text1" w:themeTint="99" w:sz="4" w:space="0"/>
            <w:insideV w:val="none" w:color="auto" w:sz="0" w:space="0"/>
          </w:tblBorders>
        </w:tblPrEx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poAI (g/L)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.22 (</w:t>
            </w:r>
            <w:bookmarkStart w:id="0" w:name="OLE_LINK1"/>
            <w:r>
              <w:rPr>
                <w:rFonts w:hint="eastAsia" w:ascii="Times New Roman" w:hAnsi="Times New Roman" w:cs="Times New Roman"/>
                <w:szCs w:val="21"/>
              </w:rPr>
              <w:t xml:space="preserve">&lt; </w:t>
            </w:r>
            <w:r>
              <w:rPr>
                <w:rFonts w:ascii="Times New Roman" w:hAnsi="Times New Roman" w:cs="Times New Roman"/>
                <w:szCs w:val="21"/>
              </w:rPr>
              <w:t>1.22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vs. </w:t>
            </w:r>
            <w:r>
              <w:rPr>
                <w:rFonts w:ascii="Times New Roman" w:hAnsi="Times New Roman" w:cs="Times New Roman"/>
                <w:szCs w:val="21"/>
              </w:rPr>
              <w:t>≥ 1.22</w:t>
            </w:r>
            <w:bookmarkEnd w:id="0"/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0.0%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5.6%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.056</w:t>
            </w:r>
          </w:p>
        </w:tc>
      </w:tr>
      <w:tr>
        <w:tblPrEx>
          <w:tblBorders>
            <w:top w:val="single" w:color="666666" w:themeColor="text1" w:themeTint="99" w:sz="4" w:space="0"/>
            <w:left w:val="none" w:color="auto" w:sz="0" w:space="0"/>
            <w:bottom w:val="single" w:color="666666" w:themeColor="text1" w:themeTint="99" w:sz="4" w:space="0"/>
            <w:right w:val="none" w:color="auto" w:sz="0" w:space="0"/>
            <w:insideH w:val="single" w:color="666666" w:themeColor="text1" w:themeTint="99" w:sz="4" w:space="0"/>
            <w:insideV w:val="none" w:color="auto" w:sz="0" w:space="0"/>
          </w:tblBorders>
        </w:tblPrEx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poB (g/L)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1.06 (≥ 1.06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vs.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1.06)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0.8%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7.4%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.082</w:t>
            </w:r>
          </w:p>
        </w:tc>
      </w:tr>
      <w:tr>
        <w:tblPrEx>
          <w:tblBorders>
            <w:top w:val="single" w:color="666666" w:themeColor="text1" w:themeTint="99" w:sz="4" w:space="0"/>
            <w:left w:val="none" w:color="auto" w:sz="0" w:space="0"/>
            <w:bottom w:val="single" w:color="666666" w:themeColor="text1" w:themeTint="99" w:sz="4" w:space="0"/>
            <w:right w:val="none" w:color="auto" w:sz="0" w:space="0"/>
            <w:insideH w:val="single" w:color="666666" w:themeColor="text1" w:themeTint="99" w:sz="4" w:space="0"/>
            <w:insideV w:val="none" w:color="auto" w:sz="0" w:space="0"/>
          </w:tblBorders>
        </w:tblPrEx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A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poB-to-apoAI ratio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0.63 (</w:t>
            </w:r>
            <w:r>
              <w:rPr>
                <w:rFonts w:ascii="Times New Roman" w:hAnsi="Times New Roman" w:cs="Times New Roman"/>
                <w:szCs w:val="21"/>
              </w:rPr>
              <w:t>≥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0.63 vs. &lt; 0.63)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0.8%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1.3%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.121</w:t>
            </w:r>
          </w:p>
        </w:tc>
      </w:tr>
      <w:tr>
        <w:tblPrEx>
          <w:tblBorders>
            <w:top w:val="single" w:color="666666" w:themeColor="text1" w:themeTint="99" w:sz="4" w:space="0"/>
            <w:left w:val="none" w:color="auto" w:sz="0" w:space="0"/>
            <w:bottom w:val="single" w:color="666666" w:themeColor="text1" w:themeTint="99" w:sz="4" w:space="0"/>
            <w:right w:val="none" w:color="auto" w:sz="0" w:space="0"/>
            <w:insideH w:val="single" w:color="666666" w:themeColor="text1" w:themeTint="99" w:sz="4" w:space="0"/>
            <w:insideV w:val="none" w:color="auto" w:sz="0" w:space="0"/>
          </w:tblBorders>
        </w:tblPrEx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C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EA (ng/ml)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.1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≥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6</w:t>
            </w:r>
            <w:r>
              <w:rPr>
                <w:rFonts w:ascii="Times New Roman" w:hAnsi="Times New Roman" w:cs="Times New Roman"/>
                <w:szCs w:val="21"/>
              </w:rPr>
              <w:t>.1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vs. &lt; 6</w:t>
            </w:r>
            <w:r>
              <w:rPr>
                <w:rFonts w:ascii="Times New Roman" w:hAnsi="Times New Roman" w:cs="Times New Roman"/>
                <w:szCs w:val="21"/>
              </w:rPr>
              <w:t>.1</w:t>
            </w:r>
            <w:r>
              <w:rPr>
                <w:rFonts w:hint="eastAsia" w:ascii="Times New Roman" w:hAnsi="Times New Roman" w:cs="Times New Roman"/>
                <w:szCs w:val="21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4.2%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3.4%</w:t>
            </w:r>
          </w:p>
        </w:tc>
        <w:tc>
          <w:tcPr>
            <w:tcW w:w="1490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.076</w:t>
            </w:r>
          </w:p>
        </w:tc>
      </w:tr>
      <w:tr>
        <w:tblPrEx>
          <w:tblBorders>
            <w:top w:val="single" w:color="666666" w:themeColor="text1" w:themeTint="99" w:sz="4" w:space="0"/>
            <w:left w:val="none" w:color="auto" w:sz="0" w:space="0"/>
            <w:bottom w:val="single" w:color="666666" w:themeColor="text1" w:themeTint="99" w:sz="4" w:space="0"/>
            <w:right w:val="none" w:color="auto" w:sz="0" w:space="0"/>
            <w:insideH w:val="single" w:color="666666" w:themeColor="text1" w:themeTint="99" w:sz="4" w:space="0"/>
            <w:insideV w:val="none" w:color="auto" w:sz="0" w:space="0"/>
          </w:tblBorders>
        </w:tblPrEx>
        <w:tc>
          <w:tcPr>
            <w:tcW w:w="1985" w:type="dxa"/>
            <w:tcBorders>
              <w:top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</w:rPr>
              <w:t>C</w:t>
            </w:r>
            <w:r>
              <w:rPr>
                <w:rFonts w:ascii="Times New Roman" w:hAnsi="Times New Roman" w:cs="Times New Roman"/>
                <w:b w:val="0"/>
                <w:bCs/>
                <w:szCs w:val="21"/>
              </w:rPr>
              <w:t>A19-9 (U/ml)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26.3 (</w:t>
            </w:r>
            <w:r>
              <w:rPr>
                <w:rFonts w:ascii="Times New Roman" w:hAnsi="Times New Roman" w:cs="Times New Roman"/>
                <w:szCs w:val="21"/>
              </w:rPr>
              <w:t>≥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26.3 vs. &lt; 26.3)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4.6%</w:t>
            </w:r>
          </w:p>
        </w:tc>
        <w:tc>
          <w:tcPr>
            <w:tcW w:w="1277" w:type="dxa"/>
            <w:tcBorders>
              <w:top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0.0%</w:t>
            </w:r>
          </w:p>
        </w:tc>
        <w:tc>
          <w:tcPr>
            <w:tcW w:w="1490" w:type="dxa"/>
            <w:tcBorders>
              <w:top w:val="nil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.146</w:t>
            </w:r>
          </w:p>
        </w:tc>
      </w:tr>
    </w:tbl>
    <w:p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Abbreviations: </w:t>
      </w:r>
      <w:r>
        <w:rPr>
          <w:rFonts w:ascii="Times New Roman" w:hAnsi="Times New Roman" w:cs="Times New Roman"/>
          <w:szCs w:val="21"/>
        </w:rPr>
        <w:t>CEA, carcinoembryonic antigen; CA19-9, carbohydrate antigen 19-9; apoAI, apolipoprotein A-I; apoB, apolipoprotein B.</w:t>
      </w:r>
    </w:p>
    <w:p>
      <w:pPr>
        <w:spacing w:line="480" w:lineRule="auto"/>
        <w:rPr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S2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Candidate predictors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patients </w:t>
      </w:r>
      <w:r>
        <w:rPr>
          <w:rFonts w:ascii="Times New Roman" w:hAnsi="Times New Roman" w:cs="Times New Roman"/>
          <w:b/>
          <w:sz w:val="24"/>
          <w:szCs w:val="24"/>
        </w:rPr>
        <w:t>with different serum apolipoprotein B to apolipoprotein A-I ratios</w:t>
      </w:r>
      <w:r>
        <w:rPr>
          <w:rFonts w:hint="eastAsia" w:ascii="Times New Roman" w:hAnsi="Times New Roman" w:cs="Times New Roman"/>
          <w:b/>
          <w:sz w:val="24"/>
          <w:szCs w:val="24"/>
        </w:rPr>
        <w:t>.</w:t>
      </w:r>
    </w:p>
    <w:tbl>
      <w:tblPr>
        <w:tblStyle w:val="10"/>
        <w:tblW w:w="9357" w:type="dxa"/>
        <w:tblInd w:w="-426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2126"/>
        <w:gridCol w:w="2127"/>
        <w:gridCol w:w="1276"/>
        <w:gridCol w:w="1134"/>
      </w:tblGrid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tcBorders>
              <w:bottom w:val="single" w:color="000000" w:themeColor="text1" w:sz="4" w:space="0"/>
              <w:insideH w:val="single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6" w:type="dxa"/>
            <w:tcBorders>
              <w:bottom w:val="single" w:color="000000" w:themeColor="text1" w:sz="4" w:space="0"/>
              <w:insideH w:val="single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ApoB-to-apoAI ratio &lt; 0.63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 = 175)</w:t>
            </w:r>
          </w:p>
        </w:tc>
        <w:tc>
          <w:tcPr>
            <w:tcW w:w="2127" w:type="dxa"/>
            <w:tcBorders>
              <w:bottom w:val="single" w:color="000000" w:themeColor="text1" w:sz="4" w:space="0"/>
              <w:insideH w:val="single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ApoB-to-apoAI ratio ≥ 0.63 (N = 424)</w:t>
            </w:r>
          </w:p>
        </w:tc>
        <w:tc>
          <w:tcPr>
            <w:tcW w:w="1276" w:type="dxa"/>
            <w:tcBorders>
              <w:bottom w:val="single" w:color="000000" w:themeColor="text1" w:sz="4" w:space="0"/>
              <w:insideH w:val="single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hi-square</w:t>
            </w:r>
          </w:p>
        </w:tc>
        <w:tc>
          <w:tcPr>
            <w:tcW w:w="1134" w:type="dxa"/>
            <w:tcBorders>
              <w:bottom w:val="single" w:color="000000" w:themeColor="text1" w:sz="4" w:space="0"/>
              <w:insideH w:val="single" w:sz="4" w:space="0"/>
            </w:tcBorders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value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 (years old)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&lt; 67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48 (84.6%)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59 (84.7%)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.976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≥ 67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 (15.4%)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 (15.3%)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ender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Female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 (39.4%)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 (31.6%)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3.385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.066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ind w:firstLine="210" w:firstLineChars="100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ale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06 (60.6%)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90 (68.4%)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ifferentiation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ind w:firstLine="210" w:firstLineChars="100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igh-moderate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56 (89.1%)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80 (89.6%)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.030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.862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Low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 (10.9%)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 (10.4%)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istance to anal verge (cm)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≥ 5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 (62.9%)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291 (68.6%)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.867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.172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&lt; 5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 (37.1%)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33 (31.4%)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linical T stage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cT3-1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 (53.1%)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31 (54.5%)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.089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.765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cT4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 (46.9%)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93 (45.5%)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linical N stage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cN0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31 (17.7%)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75 (17.7%)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.000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.994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cN+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44 (82.3%)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49 (82.3%)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CEA (ng/ml)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&lt; 6.1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08 (61.7%)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62 (61.8%)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.000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.986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≥ 6.1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67 (38.3%)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62 (38.2%)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CA19-9 (U/ml)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&lt; 26.3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 (76.6%)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29 (77.6%)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.074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.786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≥ 26.3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 (23.4%)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 (22.4%)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RG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2-1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89 (50.9%)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85 (43.6%)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.605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.106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5-3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 (49.1%)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39 (56.4%)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athologic T stage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pT3-0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62 (92.6%)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88 (91.5%)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.186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.666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pT4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 (7.4%)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 (8.5%)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athologic N stage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pN0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31 (74.9%)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39 (80.0%)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.903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.168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pN+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 (25.1%)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 (20.0%)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Active viral hepatitis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No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49 (85.1%)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68 (86.8%)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.285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.593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Yes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26 (14.9%)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56 (13.2%)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hemotherapy cycle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≥ 8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 (50.3%)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94 (45.8%)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.021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.312</w:t>
            </w:r>
          </w:p>
        </w:tc>
      </w:tr>
      <w:tr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&lt; 8</w:t>
            </w:r>
          </w:p>
        </w:tc>
        <w:tc>
          <w:tcPr>
            <w:tcW w:w="212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 (49.7%)</w:t>
            </w:r>
          </w:p>
        </w:tc>
        <w:tc>
          <w:tcPr>
            <w:tcW w:w="2127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30 (54.2%)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80" w:lineRule="auto"/>
        <w:rPr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Abbreviations: </w:t>
      </w:r>
      <w:r>
        <w:rPr>
          <w:rFonts w:ascii="Times New Roman" w:hAnsi="Times New Roman" w:cs="Times New Roman"/>
          <w:szCs w:val="21"/>
        </w:rPr>
        <w:t>apoB, apolipoprotein B; apoAI, apolipoprotein A-I; CEA, carcinoembryonic antigen; CA19-9, carbohydrate antigen 19-9; TRG, tumor regression grade.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S1 Overall survival of the patients grouped by different pathoclinical factors. </w:t>
      </w:r>
      <w:r>
        <w:rPr>
          <w:rFonts w:ascii="Times New Roman" w:hAnsi="Times New Roman" w:cs="Times New Roman"/>
          <w:sz w:val="24"/>
          <w:szCs w:val="24"/>
        </w:rPr>
        <w:t>Age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≥ 67 years old, distance to anal verge &lt; 5 cm, cT4 stage, CEA ≥ 6.1 ng/ml, CA19-9 ≥ 26.3 U/ml, TRG 5-3, pT4 and pN+ stage correlated with a decreased 5-year overall survival. Abbreviations: CEA, carcinoembryonic antigen; CA19-9, carbohydrate antigen 19-9; apoAI, apolipoprotein A-I; apoB, apolipoprotein B; TRG, tumor regression grade.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51435</wp:posOffset>
            </wp:positionV>
            <wp:extent cx="5181600" cy="510921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1" t="776" r="7054" b="12468"/>
                    <a:stretch>
                      <a:fillRect/>
                    </a:stretch>
                  </pic:blipFill>
                  <pic:spPr>
                    <a:xfrm>
                      <a:off x="0" y="0"/>
                      <a:ext cx="5181789" cy="510939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S2 O</w:t>
      </w:r>
      <w:r>
        <w:rPr>
          <w:rFonts w:hint="eastAsia" w:ascii="Times New Roman" w:hAnsi="Times New Roman" w:cs="Times New Roman"/>
          <w:b/>
          <w:sz w:val="24"/>
          <w:szCs w:val="24"/>
        </w:rPr>
        <w:t>the</w:t>
      </w:r>
      <w:r>
        <w:rPr>
          <w:rFonts w:ascii="Times New Roman" w:hAnsi="Times New Roman" w:cs="Times New Roman"/>
          <w:b/>
          <w:sz w:val="24"/>
          <w:szCs w:val="24"/>
        </w:rPr>
        <w:t xml:space="preserve">r-metastasis-free survival of the patients grouped by different pathoclinical factors. </w:t>
      </w:r>
      <w:r>
        <w:rPr>
          <w:rFonts w:ascii="Times New Roman" w:hAnsi="Times New Roman" w:cs="Times New Roman"/>
          <w:sz w:val="24"/>
          <w:szCs w:val="24"/>
        </w:rPr>
        <w:t>CEA ≥ 6.1 ng/ml, CA19-9 ≥ 26.3 U/ml, TRG 5-3, pT4 and pN+ stage correlated with a decreased 5-year other-metastasis-free survival. Abbreviations: CEA, carcinoembryonic antigen; CA19-9, carbohydrate antigen 19-9; apoAI, apolipoprotein A-I; apoB, apolipoprotein B; TRG, tumor regression grade.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24765</wp:posOffset>
            </wp:positionV>
            <wp:extent cx="5180330" cy="5104130"/>
            <wp:effectExtent l="0" t="0" r="1270" b="190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" r="7030" b="12991"/>
                    <a:stretch>
                      <a:fillRect/>
                    </a:stretch>
                  </pic:blipFill>
                  <pic:spPr>
                    <a:xfrm>
                      <a:off x="0" y="0"/>
                      <a:ext cx="5180400" cy="510412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S3 Multivariate survival analysis involving possible predictors of overall and other-metastasis-free survivals. A:</w:t>
      </w:r>
      <w:r>
        <w:rPr>
          <w:rFonts w:ascii="Times New Roman" w:hAnsi="Times New Roman" w:cs="Times New Roman"/>
          <w:sz w:val="24"/>
          <w:szCs w:val="24"/>
        </w:rPr>
        <w:t xml:space="preserve"> age ≥ 67 years old, distance to anal verge </w:t>
      </w:r>
      <w:r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5 cm, CA19-9 ≥ 26.3 U/ml, TRG 5-3, pT4 and pN+ stage maintained to independently predict a decreased 5-year overall survival. B: CA19-9 ≥ 26.3 U/ml, TRG 5-3, pT4 and pN+ stage maintained to independently predict a decreased 5-year other-metastasis-free survival. Abbreviations: CEA, carcinoembryonic antigen; CA19-9, carbohydrate antigen 19-9; TRG, tumor regression grade. *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0.05, **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0.01.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114300" distR="114300">
            <wp:extent cx="5273040" cy="4683760"/>
            <wp:effectExtent l="0" t="0" r="10160" b="15240"/>
            <wp:docPr id="1" name="图片 1" descr="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68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AB3"/>
    <w:rsid w:val="00026793"/>
    <w:rsid w:val="000449B2"/>
    <w:rsid w:val="000627F2"/>
    <w:rsid w:val="00074681"/>
    <w:rsid w:val="000A254A"/>
    <w:rsid w:val="0011096F"/>
    <w:rsid w:val="00114E3F"/>
    <w:rsid w:val="0013666A"/>
    <w:rsid w:val="00145573"/>
    <w:rsid w:val="00181079"/>
    <w:rsid w:val="00183AB3"/>
    <w:rsid w:val="001A0A00"/>
    <w:rsid w:val="001C5DEC"/>
    <w:rsid w:val="00214C45"/>
    <w:rsid w:val="00242573"/>
    <w:rsid w:val="002977A4"/>
    <w:rsid w:val="002A0F17"/>
    <w:rsid w:val="002E3803"/>
    <w:rsid w:val="003613A5"/>
    <w:rsid w:val="003832FF"/>
    <w:rsid w:val="003936C7"/>
    <w:rsid w:val="003A0007"/>
    <w:rsid w:val="003A194D"/>
    <w:rsid w:val="003A318A"/>
    <w:rsid w:val="003B605B"/>
    <w:rsid w:val="003D5A97"/>
    <w:rsid w:val="003E4A7D"/>
    <w:rsid w:val="00400B9C"/>
    <w:rsid w:val="004571CD"/>
    <w:rsid w:val="004D2B6E"/>
    <w:rsid w:val="00505DF9"/>
    <w:rsid w:val="0051176D"/>
    <w:rsid w:val="00521CF1"/>
    <w:rsid w:val="00562E68"/>
    <w:rsid w:val="00576CF8"/>
    <w:rsid w:val="005B2D6A"/>
    <w:rsid w:val="005E7BA1"/>
    <w:rsid w:val="00623331"/>
    <w:rsid w:val="00641C7C"/>
    <w:rsid w:val="006B61E5"/>
    <w:rsid w:val="006D72A6"/>
    <w:rsid w:val="006E12D5"/>
    <w:rsid w:val="006F2F8C"/>
    <w:rsid w:val="006F6432"/>
    <w:rsid w:val="00704862"/>
    <w:rsid w:val="00740BE8"/>
    <w:rsid w:val="00761329"/>
    <w:rsid w:val="007836BC"/>
    <w:rsid w:val="007938F5"/>
    <w:rsid w:val="007C2285"/>
    <w:rsid w:val="00812C0E"/>
    <w:rsid w:val="008C1A50"/>
    <w:rsid w:val="008E387B"/>
    <w:rsid w:val="008F5A38"/>
    <w:rsid w:val="009009A9"/>
    <w:rsid w:val="009169F6"/>
    <w:rsid w:val="00982A06"/>
    <w:rsid w:val="009867FF"/>
    <w:rsid w:val="009876AB"/>
    <w:rsid w:val="009B3F14"/>
    <w:rsid w:val="009B6BB7"/>
    <w:rsid w:val="009C3B61"/>
    <w:rsid w:val="00A167F4"/>
    <w:rsid w:val="00A3158C"/>
    <w:rsid w:val="00A86774"/>
    <w:rsid w:val="00AA10AD"/>
    <w:rsid w:val="00AD7A99"/>
    <w:rsid w:val="00AE3336"/>
    <w:rsid w:val="00AF69C0"/>
    <w:rsid w:val="00B2141C"/>
    <w:rsid w:val="00B26763"/>
    <w:rsid w:val="00B3660D"/>
    <w:rsid w:val="00B62606"/>
    <w:rsid w:val="00B718C9"/>
    <w:rsid w:val="00B75C35"/>
    <w:rsid w:val="00B85756"/>
    <w:rsid w:val="00B92E5F"/>
    <w:rsid w:val="00B97F03"/>
    <w:rsid w:val="00BD6146"/>
    <w:rsid w:val="00C11F5B"/>
    <w:rsid w:val="00C25ABB"/>
    <w:rsid w:val="00C26EDA"/>
    <w:rsid w:val="00C43899"/>
    <w:rsid w:val="00C607CA"/>
    <w:rsid w:val="00CB12EC"/>
    <w:rsid w:val="00CB7E84"/>
    <w:rsid w:val="00D235E4"/>
    <w:rsid w:val="00D67029"/>
    <w:rsid w:val="00D72F19"/>
    <w:rsid w:val="00D73BD6"/>
    <w:rsid w:val="00D755DD"/>
    <w:rsid w:val="00D805E5"/>
    <w:rsid w:val="00DD6E5F"/>
    <w:rsid w:val="00DF3F43"/>
    <w:rsid w:val="00DF669C"/>
    <w:rsid w:val="00E04447"/>
    <w:rsid w:val="00E177A2"/>
    <w:rsid w:val="00E527AD"/>
    <w:rsid w:val="00E700DF"/>
    <w:rsid w:val="00E85B8F"/>
    <w:rsid w:val="00EB2342"/>
    <w:rsid w:val="00ED0BE0"/>
    <w:rsid w:val="00ED3C19"/>
    <w:rsid w:val="00EE192B"/>
    <w:rsid w:val="00EE756B"/>
    <w:rsid w:val="00EF6476"/>
    <w:rsid w:val="00F003A5"/>
    <w:rsid w:val="00F073BC"/>
    <w:rsid w:val="00F152A0"/>
    <w:rsid w:val="00F94FCD"/>
    <w:rsid w:val="00FA21A6"/>
    <w:rsid w:val="2F461267"/>
    <w:rsid w:val="DEE7B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浅色底纹1"/>
    <w:basedOn w:val="5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  <w:style w:type="table" w:customStyle="1" w:styleId="9">
    <w:name w:val="List Table 2"/>
    <w:basedOn w:val="5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0">
    <w:name w:val="List Table 6 Colorful"/>
    <w:basedOn w:val="5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551</Words>
  <Characters>3146</Characters>
  <Lines>26</Lines>
  <Paragraphs>7</Paragraphs>
  <TotalTime>0</TotalTime>
  <ScaleCrop>false</ScaleCrop>
  <LinksUpToDate>false</LinksUpToDate>
  <CharactersWithSpaces>3690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2021-06-25T20:25:00Z</dcterms:created>
  <dc:creator>changhui</dc:creator>
  <cp:lastModifiedBy>chh</cp:lastModifiedBy>
  <dcterms:modified xsi:type="dcterms:W3CDTF">2021-12-20T21:51:32Z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