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1E" w:rsidRDefault="00F1011E" w:rsidP="00F1011E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lang w:val="en-GB"/>
        </w:rPr>
        <w:t>Additional file 2.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Univariate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 xml:space="preserve"> analyses of overall response rate</w:t>
      </w:r>
    </w:p>
    <w:tbl>
      <w:tblPr>
        <w:tblW w:w="0" w:type="dxa"/>
        <w:shd w:val="clear" w:color="auto" w:fill="EEECE1" w:themeFill="background2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5"/>
        <w:gridCol w:w="1084"/>
        <w:gridCol w:w="1084"/>
        <w:gridCol w:w="951"/>
        <w:gridCol w:w="1217"/>
        <w:gridCol w:w="1193"/>
        <w:gridCol w:w="976"/>
      </w:tblGrid>
      <w:tr w:rsidR="00F1011E" w:rsidTr="00033847">
        <w:trPr>
          <w:trHeight w:val="408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eastAsia="Meiryo" w:hAnsi="Times New Roman" w:cs="Times New Roman"/>
                <w:kern w:val="24"/>
                <w:lang w:val="en-GB" w:eastAsia="ja-JP"/>
              </w:rPr>
            </w:pPr>
            <w:proofErr w:type="spellStart"/>
            <w:r>
              <w:rPr>
                <w:rFonts w:ascii="Times New Roman" w:eastAsia="Meiryo" w:hAnsi="Times New Roman" w:cs="Times New Roman"/>
                <w:kern w:val="24"/>
                <w:lang w:val="en-GB" w:eastAsia="ja-JP"/>
              </w:rPr>
              <w:t>Eribulin</w:t>
            </w:r>
            <w:proofErr w:type="spellEnd"/>
            <w:r>
              <w:rPr>
                <w:rFonts w:ascii="Times New Roman" w:eastAsia="Meiryo" w:hAnsi="Times New Roman" w:cs="Times New Roman"/>
                <w:kern w:val="24"/>
                <w:lang w:val="en-GB" w:eastAsia="ja-JP"/>
              </w:rPr>
              <w:t xml:space="preserve"> (N=91)</w:t>
            </w: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eastAsia="Meiryo" w:hAnsi="Times New Roman" w:cs="Times New Roman"/>
                <w:kern w:val="24"/>
                <w:lang w:val="en-GB" w:eastAsia="ja-JP"/>
              </w:rPr>
              <w:t>Capecitabine</w:t>
            </w:r>
            <w:proofErr w:type="spellEnd"/>
            <w:r>
              <w:rPr>
                <w:rFonts w:ascii="Times New Roman" w:eastAsia="Meiryo" w:hAnsi="Times New Roman" w:cs="Times New Roman"/>
                <w:kern w:val="24"/>
                <w:lang w:val="en-GB" w:eastAsia="ja-JP"/>
              </w:rPr>
              <w:t xml:space="preserve"> (N=79)</w:t>
            </w:r>
          </w:p>
        </w:tc>
      </w:tr>
      <w:tr w:rsidR="00F1011E" w:rsidTr="00033847">
        <w:trPr>
          <w:trHeight w:val="685"/>
        </w:trPr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vAlign w:val="center"/>
            <w:hideMark/>
          </w:tcPr>
          <w:p w:rsidR="00F1011E" w:rsidRDefault="00F1011E" w:rsidP="00033847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CR/PR</w:t>
            </w:r>
          </w:p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n=14 (%)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SD/PD</w:t>
            </w:r>
          </w:p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n=77 (%)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CR/PR</w:t>
            </w:r>
          </w:p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n=16 (%)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SD/PD</w:t>
            </w:r>
          </w:p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n=63 (%)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</w:p>
        </w:tc>
      </w:tr>
      <w:tr w:rsidR="00F1011E" w:rsidTr="00033847">
        <w:trPr>
          <w:trHeight w:val="273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HR+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 w:eastAsia="ja-JP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(100)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eastAsia="ja-JP"/>
              </w:rPr>
            </w:pPr>
            <w:r>
              <w:rPr>
                <w:rFonts w:ascii="Times New Roman" w:hAnsi="Times New Roman" w:cs="Times New Roman"/>
                <w:b/>
                <w:bCs/>
                <w:lang w:val="en-GB" w:eastAsia="ja-JP"/>
              </w:rPr>
              <w:t>57 (74)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eastAsia="ja-JP"/>
              </w:rPr>
            </w:pPr>
            <w:r>
              <w:rPr>
                <w:rFonts w:ascii="Times New Roman" w:hAnsi="Times New Roman" w:cs="Times New Roman"/>
                <w:b/>
                <w:bCs/>
                <w:lang w:val="en-GB" w:eastAsia="ja-JP"/>
              </w:rPr>
              <w:t>0.034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 (94)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55 (87)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0.68</w:t>
            </w:r>
          </w:p>
        </w:tc>
      </w:tr>
      <w:tr w:rsidR="00F1011E" w:rsidTr="00033847">
        <w:trPr>
          <w:trHeight w:val="399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ER</w:t>
            </w:r>
            <w:r>
              <w:rPr>
                <w:rFonts w:ascii="Times New Roman" w:hAnsi="Times New Roman" w:cs="Times New Roman" w:hint="eastAsia"/>
                <w:lang w:val="en-GB"/>
              </w:rPr>
              <w:t>＋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eastAsia="ja-JP"/>
              </w:rPr>
            </w:pPr>
            <w:r>
              <w:rPr>
                <w:rFonts w:ascii="Times New Roman" w:hAnsi="Times New Roman" w:cs="Times New Roman"/>
                <w:b/>
                <w:bCs/>
                <w:lang w:val="en-GB" w:eastAsia="ja-JP"/>
              </w:rPr>
              <w:t>14 (100)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eastAsia="ja-JP"/>
              </w:rPr>
            </w:pPr>
            <w:r>
              <w:rPr>
                <w:rFonts w:ascii="Times New Roman" w:hAnsi="Times New Roman" w:cs="Times New Roman"/>
                <w:b/>
                <w:bCs/>
                <w:lang w:val="en-GB" w:eastAsia="ja-JP"/>
              </w:rPr>
              <w:t>54 (70)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eastAsia="ja-JP"/>
              </w:rPr>
            </w:pPr>
            <w:r>
              <w:rPr>
                <w:rFonts w:ascii="Times New Roman" w:hAnsi="Times New Roman" w:cs="Times New Roman"/>
                <w:b/>
                <w:bCs/>
                <w:lang w:val="en-GB" w:eastAsia="ja-JP"/>
              </w:rPr>
              <w:t>0.018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 (88)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51 (81)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0.72</w:t>
            </w:r>
          </w:p>
        </w:tc>
      </w:tr>
      <w:tr w:rsidR="00F1011E" w:rsidTr="00033847">
        <w:trPr>
          <w:trHeight w:val="341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PgR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11 (79)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44 (57)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0.15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 (63)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42 (69)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0.77</w:t>
            </w:r>
          </w:p>
        </w:tc>
      </w:tr>
      <w:tr w:rsidR="00F1011E" w:rsidTr="00033847">
        <w:trPr>
          <w:trHeight w:val="334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HER2</w:t>
            </w:r>
            <w:r>
              <w:rPr>
                <w:rFonts w:ascii="Times New Roman" w:hAnsi="Times New Roman" w:cs="Times New Roman" w:hint="eastAsia"/>
                <w:lang w:val="en-GB" w:eastAsia="ja-JP"/>
              </w:rPr>
              <w:t>-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14 (100)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71 (92)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1.0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 (100)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59 (94)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F1011E" w:rsidTr="00033847">
        <w:trPr>
          <w:trHeight w:val="456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eastAsia="Meiryo" w:hAnsi="Times New Roman" w:cs="Times New Roman"/>
                <w:kern w:val="24"/>
                <w:lang w:val="en-GB" w:eastAsia="ja-JP"/>
              </w:rPr>
              <w:t>Triple-negative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 (0)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17 (22)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0.06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 (6)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 (13)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0.68</w:t>
            </w:r>
          </w:p>
        </w:tc>
      </w:tr>
      <w:tr w:rsidR="00F1011E" w:rsidTr="00033847">
        <w:trPr>
          <w:trHeight w:val="408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Surgical history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13 (93)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70 (91)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1.0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 (81)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59 (94)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0.14</w:t>
            </w:r>
          </w:p>
        </w:tc>
      </w:tr>
      <w:tr w:rsidR="00F1011E" w:rsidTr="00033847">
        <w:trPr>
          <w:trHeight w:val="246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 w:eastAsia="ja-JP"/>
              </w:rPr>
              <w:t>Neoadjuvant</w:t>
            </w:r>
            <w:proofErr w:type="spellEnd"/>
            <w:r>
              <w:rPr>
                <w:rFonts w:ascii="Times New Roman" w:hAnsi="Times New Roman" w:cs="Times New Roman"/>
                <w:lang w:val="en-GB" w:eastAsia="ja-JP"/>
              </w:rPr>
              <w:t>/adjuvant chemotherapy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13 (93)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63 (82)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0.45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 (81)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50 (79)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F1011E" w:rsidTr="00033847">
        <w:trPr>
          <w:trHeight w:val="234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Previous hormone therapy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11 (79)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52 (68)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0.54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 (94)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57 (90)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F1011E" w:rsidTr="00033847">
        <w:trPr>
          <w:trHeight w:val="228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 xml:space="preserve">Previous </w:t>
            </w:r>
            <w:proofErr w:type="spellStart"/>
            <w:r>
              <w:rPr>
                <w:rFonts w:ascii="Times New Roman" w:hAnsi="Times New Roman" w:cs="Times New Roman"/>
                <w:lang w:val="en-GB" w:eastAsia="ja-JP"/>
              </w:rPr>
              <w:t>anthracycline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13 (93)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72 (94)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1.0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 (88)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53 (84)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F1011E" w:rsidTr="00033847">
        <w:trPr>
          <w:trHeight w:val="208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 xml:space="preserve">Previous </w:t>
            </w:r>
            <w:proofErr w:type="spellStart"/>
            <w:r>
              <w:rPr>
                <w:rFonts w:ascii="Times New Roman" w:hAnsi="Times New Roman" w:cs="Times New Roman"/>
                <w:lang w:val="en-GB" w:eastAsia="ja-JP"/>
              </w:rPr>
              <w:t>taxane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14 (100)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74 (96)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1.0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 (100)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57 (90)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0.34</w:t>
            </w:r>
          </w:p>
        </w:tc>
      </w:tr>
      <w:tr w:rsidR="00F1011E" w:rsidTr="00033847">
        <w:trPr>
          <w:trHeight w:val="344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lastRenderedPageBreak/>
              <w:t>Albumin</w:t>
            </w:r>
            <w:r>
              <w:rPr>
                <w:rFonts w:ascii="Times New Roman" w:hAnsi="Times New Roman" w:cs="Times New Roman"/>
                <w:lang w:val="en-GB"/>
              </w:rPr>
              <w:t xml:space="preserve"> ≥4.1 g/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dL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8 (57)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47 (61)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0.78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 (56)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42 (67)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0.56</w:t>
            </w:r>
          </w:p>
        </w:tc>
      </w:tr>
      <w:tr w:rsidR="00F1011E" w:rsidTr="00033847">
        <w:trPr>
          <w:trHeight w:val="182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 xml:space="preserve">Age </w:t>
            </w:r>
            <w:r>
              <w:rPr>
                <w:rFonts w:ascii="Times New Roman" w:hAnsi="Times New Roman" w:cs="Times New Roman"/>
                <w:lang w:val="en-GB"/>
              </w:rPr>
              <w:t>≥</w:t>
            </w:r>
            <w:r>
              <w:rPr>
                <w:rFonts w:ascii="Times New Roman" w:hAnsi="Times New Roman" w:cs="Times New Roman"/>
                <w:lang w:val="en-GB" w:eastAsia="ja-JP"/>
              </w:rPr>
              <w:t>60 years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6 (43)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28 (36)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0.77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 (50)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27 (43)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0.78</w:t>
            </w:r>
          </w:p>
        </w:tc>
      </w:tr>
      <w:tr w:rsidR="00F1011E" w:rsidTr="00033847">
        <w:trPr>
          <w:trHeight w:val="332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LDH &lt;222 U/L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7 (50)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31 (40)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0.56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 (63)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38 (60)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</w:t>
            </w:r>
          </w:p>
        </w:tc>
      </w:tr>
      <w:tr w:rsidR="00F1011E" w:rsidTr="00033847">
        <w:trPr>
          <w:trHeight w:val="311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CRP &lt;0.15 mg/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dL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8 (57)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31 (40)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0.26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 (50)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38 (60)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0.57</w:t>
            </w:r>
          </w:p>
        </w:tc>
      </w:tr>
      <w:tr w:rsidR="00F1011E" w:rsidTr="00033847">
        <w:trPr>
          <w:trHeight w:val="305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NLR &lt;3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12 (86)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53 (69)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0.33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15 (94)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41 (65)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0.03</w:t>
            </w:r>
          </w:p>
        </w:tc>
      </w:tr>
      <w:tr w:rsidR="00F1011E" w:rsidTr="00033847">
        <w:trPr>
          <w:trHeight w:val="305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ALC ≥1,500/µL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8 (57)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23 (30)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0.07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 (69)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25 (40)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0.05</w:t>
            </w:r>
          </w:p>
        </w:tc>
      </w:tr>
      <w:tr w:rsidR="00F1011E" w:rsidTr="00033847">
        <w:trPr>
          <w:trHeight w:val="157"/>
        </w:trPr>
        <w:tc>
          <w:tcPr>
            <w:tcW w:w="2835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LMR ≥5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4 (29)</w:t>
            </w:r>
          </w:p>
        </w:tc>
        <w:tc>
          <w:tcPr>
            <w:tcW w:w="1084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32 (42)</w:t>
            </w:r>
          </w:p>
        </w:tc>
        <w:tc>
          <w:tcPr>
            <w:tcW w:w="951" w:type="dxa"/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0.55</w:t>
            </w:r>
          </w:p>
        </w:tc>
        <w:tc>
          <w:tcPr>
            <w:tcW w:w="121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 (75)</w:t>
            </w:r>
          </w:p>
        </w:tc>
        <w:tc>
          <w:tcPr>
            <w:tcW w:w="1193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33 (52)</w:t>
            </w:r>
          </w:p>
        </w:tc>
        <w:tc>
          <w:tcPr>
            <w:tcW w:w="97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0.16</w:t>
            </w:r>
          </w:p>
        </w:tc>
      </w:tr>
      <w:tr w:rsidR="00F1011E" w:rsidTr="00033847">
        <w:trPr>
          <w:trHeight w:val="18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PLR &lt;250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14 (100)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59 (77)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0.06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 (100)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52 (83)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1011E" w:rsidRDefault="00F1011E" w:rsidP="0003384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0.11</w:t>
            </w:r>
          </w:p>
        </w:tc>
      </w:tr>
    </w:tbl>
    <w:p w:rsidR="008A5BFC" w:rsidRDefault="00F1011E">
      <w:r>
        <w:rPr>
          <w:rFonts w:ascii="Times New Roman" w:hAnsi="Times New Roman" w:cs="Times New Roman"/>
          <w:lang w:val="en-GB"/>
        </w:rPr>
        <w:t>ALC, absolute lymphocyte count; CR, complete response; CRP, C-reactive protein; ER, oestrogen receptor; HER2, human epidermal growth factor receptor 2; HR, hormone receptor; LDH, lactate dehydrogenase; LMR, lymphocyte-to-monocyte r</w:t>
      </w:r>
      <w:bookmarkStart w:id="0" w:name="_GoBack"/>
      <w:bookmarkEnd w:id="0"/>
      <w:r>
        <w:rPr>
          <w:rFonts w:ascii="Times New Roman" w:hAnsi="Times New Roman" w:cs="Times New Roman"/>
          <w:lang w:val="en-GB"/>
        </w:rPr>
        <w:t xml:space="preserve">atio; NLR, neutrophil-to-lymphocyte ratio; PD, progressive disease; </w:t>
      </w:r>
      <w:proofErr w:type="spellStart"/>
      <w:r>
        <w:rPr>
          <w:rFonts w:ascii="Times New Roman" w:hAnsi="Times New Roman" w:cs="Times New Roman"/>
          <w:lang w:val="en-GB"/>
        </w:rPr>
        <w:t>PgR</w:t>
      </w:r>
      <w:proofErr w:type="spellEnd"/>
      <w:r>
        <w:rPr>
          <w:rFonts w:ascii="Times New Roman" w:hAnsi="Times New Roman" w:cs="Times New Roman"/>
          <w:lang w:val="en-GB"/>
        </w:rPr>
        <w:t>, progesterone receptor; PLR, platelet-to-lymphocyte ratio; PR, partial response; SD, stable disease.</w:t>
      </w:r>
    </w:p>
    <w:sectPr w:rsidR="008A5B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1E"/>
    <w:rsid w:val="00071D7A"/>
    <w:rsid w:val="000728C4"/>
    <w:rsid w:val="000C62B3"/>
    <w:rsid w:val="0022649C"/>
    <w:rsid w:val="002C09F9"/>
    <w:rsid w:val="002C237D"/>
    <w:rsid w:val="002C76C9"/>
    <w:rsid w:val="00384205"/>
    <w:rsid w:val="00631527"/>
    <w:rsid w:val="00791F11"/>
    <w:rsid w:val="008A5BFC"/>
    <w:rsid w:val="009E0C72"/>
    <w:rsid w:val="00A50EFD"/>
    <w:rsid w:val="00A97AE0"/>
    <w:rsid w:val="00DD0C2F"/>
    <w:rsid w:val="00E040B0"/>
    <w:rsid w:val="00F1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2021-12-28T14:03:00Z</dcterms:created>
  <dcterms:modified xsi:type="dcterms:W3CDTF">2021-12-28T14:04:00Z</dcterms:modified>
</cp:coreProperties>
</file>