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85" w:type="dxa"/>
        </w:tblCellMar>
        <w:tblLook w:val="04A0" w:firstRow="1" w:lastRow="0" w:firstColumn="1" w:lastColumn="0" w:noHBand="0" w:noVBand="1"/>
      </w:tblPr>
      <w:tblGrid>
        <w:gridCol w:w="2977"/>
        <w:gridCol w:w="2268"/>
        <w:gridCol w:w="968"/>
        <w:gridCol w:w="2126"/>
        <w:gridCol w:w="968"/>
      </w:tblGrid>
      <w:tr w:rsidR="00E75D84" w:rsidRPr="00593B9E" w:rsidTr="00152373">
        <w:tc>
          <w:tcPr>
            <w:tcW w:w="2977" w:type="dxa"/>
            <w:vMerge w:val="restart"/>
            <w:tcBorders>
              <w:top w:val="single" w:sz="4" w:space="0" w:color="auto"/>
            </w:tcBorders>
            <w:vAlign w:val="center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Variable</w:t>
            </w:r>
          </w:p>
        </w:tc>
        <w:tc>
          <w:tcPr>
            <w:tcW w:w="32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93B9E">
              <w:rPr>
                <w:rFonts w:ascii="Times New Roman" w:hAnsi="Times New Roman" w:cs="Times New Roman"/>
                <w:sz w:val="22"/>
              </w:rPr>
              <w:t>Univariate</w:t>
            </w:r>
            <w:proofErr w:type="spellEnd"/>
          </w:p>
        </w:tc>
        <w:tc>
          <w:tcPr>
            <w:tcW w:w="30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Multivariate</w:t>
            </w:r>
          </w:p>
        </w:tc>
      </w:tr>
      <w:tr w:rsidR="00E75D84" w:rsidRPr="00593B9E" w:rsidTr="00152373">
        <w:tc>
          <w:tcPr>
            <w:tcW w:w="2977" w:type="dxa"/>
            <w:vMerge/>
            <w:tcBorders>
              <w:bottom w:val="single" w:sz="4" w:space="0" w:color="auto"/>
            </w:tcBorders>
            <w:vAlign w:val="center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HR (95% CI)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593B9E">
              <w:rPr>
                <w:rFonts w:ascii="Times New Roman" w:hAnsi="Times New Roman" w:cs="Times New Roman"/>
                <w:sz w:val="22"/>
              </w:rPr>
              <w:t xml:space="preserve"> value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HR (95% CI)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593B9E">
              <w:rPr>
                <w:rFonts w:ascii="Times New Roman" w:hAnsi="Times New Roman" w:cs="Times New Roman"/>
                <w:sz w:val="22"/>
              </w:rPr>
              <w:t xml:space="preserve"> value</w:t>
            </w:r>
          </w:p>
        </w:tc>
      </w:tr>
      <w:tr w:rsidR="00E75D84" w:rsidRPr="00593B9E" w:rsidTr="00152373">
        <w:tc>
          <w:tcPr>
            <w:tcW w:w="2977" w:type="dxa"/>
            <w:tcBorders>
              <w:top w:val="single" w:sz="4" w:space="0" w:color="auto"/>
            </w:tcBorders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Age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1.03 (0.97–1.09)</w:t>
            </w:r>
          </w:p>
        </w:tc>
        <w:tc>
          <w:tcPr>
            <w:tcW w:w="968" w:type="dxa"/>
            <w:tcBorders>
              <w:top w:val="single" w:sz="4" w:space="0" w:color="auto"/>
            </w:tcBorders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0.376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8" w:type="dxa"/>
            <w:tcBorders>
              <w:top w:val="single" w:sz="4" w:space="0" w:color="auto"/>
            </w:tcBorders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75D84" w:rsidRPr="00593B9E" w:rsidTr="00152373">
        <w:tc>
          <w:tcPr>
            <w:tcW w:w="2977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ECOG PS</w:t>
            </w:r>
          </w:p>
        </w:tc>
        <w:tc>
          <w:tcPr>
            <w:tcW w:w="2268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8" w:type="dxa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0.998</w:t>
            </w:r>
          </w:p>
        </w:tc>
        <w:tc>
          <w:tcPr>
            <w:tcW w:w="2126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8" w:type="dxa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75D84" w:rsidRPr="00593B9E" w:rsidTr="00152373">
        <w:tc>
          <w:tcPr>
            <w:tcW w:w="2977" w:type="dxa"/>
          </w:tcPr>
          <w:p w:rsidR="00E75D84" w:rsidRPr="00593B9E" w:rsidRDefault="00E75D84" w:rsidP="00152373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2268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Reference</w:t>
            </w:r>
          </w:p>
        </w:tc>
        <w:tc>
          <w:tcPr>
            <w:tcW w:w="968" w:type="dxa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8" w:type="dxa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75D84" w:rsidRPr="00593B9E" w:rsidTr="00152373">
        <w:tc>
          <w:tcPr>
            <w:tcW w:w="2977" w:type="dxa"/>
          </w:tcPr>
          <w:p w:rsidR="00E75D84" w:rsidRPr="00593B9E" w:rsidRDefault="00E75D84" w:rsidP="00152373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1–2</w:t>
            </w:r>
          </w:p>
        </w:tc>
        <w:tc>
          <w:tcPr>
            <w:tcW w:w="2268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0.00 (0.00–8.9e+7457)</w:t>
            </w:r>
          </w:p>
        </w:tc>
        <w:tc>
          <w:tcPr>
            <w:tcW w:w="968" w:type="dxa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8" w:type="dxa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75D84" w:rsidRPr="00593B9E" w:rsidTr="00152373">
        <w:tc>
          <w:tcPr>
            <w:tcW w:w="2977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Child-Pugh class</w:t>
            </w:r>
          </w:p>
        </w:tc>
        <w:tc>
          <w:tcPr>
            <w:tcW w:w="2268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8" w:type="dxa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0.842</w:t>
            </w:r>
          </w:p>
        </w:tc>
        <w:tc>
          <w:tcPr>
            <w:tcW w:w="2126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8" w:type="dxa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75D84" w:rsidRPr="00593B9E" w:rsidTr="00152373">
        <w:tc>
          <w:tcPr>
            <w:tcW w:w="2977" w:type="dxa"/>
          </w:tcPr>
          <w:p w:rsidR="00E75D84" w:rsidRPr="00593B9E" w:rsidRDefault="00E75D84" w:rsidP="00152373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A</w:t>
            </w:r>
          </w:p>
        </w:tc>
        <w:tc>
          <w:tcPr>
            <w:tcW w:w="2268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Reference</w:t>
            </w:r>
          </w:p>
        </w:tc>
        <w:tc>
          <w:tcPr>
            <w:tcW w:w="968" w:type="dxa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8" w:type="dxa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75D84" w:rsidRPr="00593B9E" w:rsidTr="00152373">
        <w:tc>
          <w:tcPr>
            <w:tcW w:w="2977" w:type="dxa"/>
          </w:tcPr>
          <w:p w:rsidR="00E75D84" w:rsidRPr="00593B9E" w:rsidRDefault="00E75D84" w:rsidP="00152373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B</w:t>
            </w:r>
          </w:p>
        </w:tc>
        <w:tc>
          <w:tcPr>
            <w:tcW w:w="2268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0.81 (0.10–6.45)</w:t>
            </w:r>
          </w:p>
        </w:tc>
        <w:tc>
          <w:tcPr>
            <w:tcW w:w="968" w:type="dxa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8" w:type="dxa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75D84" w:rsidRPr="00593B9E" w:rsidTr="00152373">
        <w:tc>
          <w:tcPr>
            <w:tcW w:w="2977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 xml:space="preserve">Etiology </w:t>
            </w:r>
          </w:p>
        </w:tc>
        <w:tc>
          <w:tcPr>
            <w:tcW w:w="2268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8" w:type="dxa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0.292</w:t>
            </w:r>
          </w:p>
        </w:tc>
        <w:tc>
          <w:tcPr>
            <w:tcW w:w="2126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8" w:type="dxa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75D84" w:rsidRPr="00593B9E" w:rsidTr="00152373">
        <w:tc>
          <w:tcPr>
            <w:tcW w:w="2977" w:type="dxa"/>
          </w:tcPr>
          <w:p w:rsidR="00E75D84" w:rsidRPr="00593B9E" w:rsidRDefault="00E75D84" w:rsidP="00152373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HBV</w:t>
            </w:r>
          </w:p>
        </w:tc>
        <w:tc>
          <w:tcPr>
            <w:tcW w:w="2268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Reference</w:t>
            </w:r>
          </w:p>
        </w:tc>
        <w:tc>
          <w:tcPr>
            <w:tcW w:w="968" w:type="dxa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8" w:type="dxa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75D84" w:rsidRPr="00593B9E" w:rsidTr="00152373">
        <w:tc>
          <w:tcPr>
            <w:tcW w:w="2977" w:type="dxa"/>
          </w:tcPr>
          <w:p w:rsidR="00E75D84" w:rsidRPr="00593B9E" w:rsidRDefault="00E75D84" w:rsidP="00152373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Others</w:t>
            </w:r>
          </w:p>
        </w:tc>
        <w:tc>
          <w:tcPr>
            <w:tcW w:w="2268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1.83 (0.59–5.66)</w:t>
            </w:r>
          </w:p>
        </w:tc>
        <w:tc>
          <w:tcPr>
            <w:tcW w:w="968" w:type="dxa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8" w:type="dxa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75D84" w:rsidRPr="00593B9E" w:rsidTr="00152373">
        <w:tc>
          <w:tcPr>
            <w:tcW w:w="2977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BCLC stage</w:t>
            </w:r>
          </w:p>
        </w:tc>
        <w:tc>
          <w:tcPr>
            <w:tcW w:w="2268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8" w:type="dxa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0.206</w:t>
            </w:r>
          </w:p>
        </w:tc>
        <w:tc>
          <w:tcPr>
            <w:tcW w:w="2126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8" w:type="dxa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75D84" w:rsidRPr="00593B9E" w:rsidTr="00152373">
        <w:tc>
          <w:tcPr>
            <w:tcW w:w="2977" w:type="dxa"/>
          </w:tcPr>
          <w:p w:rsidR="00E75D84" w:rsidRPr="00593B9E" w:rsidRDefault="00E75D84" w:rsidP="00152373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2268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Reference</w:t>
            </w:r>
          </w:p>
        </w:tc>
        <w:tc>
          <w:tcPr>
            <w:tcW w:w="968" w:type="dxa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8" w:type="dxa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75D84" w:rsidRPr="00593B9E" w:rsidTr="00152373">
        <w:tc>
          <w:tcPr>
            <w:tcW w:w="2977" w:type="dxa"/>
          </w:tcPr>
          <w:p w:rsidR="00E75D84" w:rsidRPr="00593B9E" w:rsidRDefault="00E75D84" w:rsidP="00152373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A</w:t>
            </w:r>
          </w:p>
        </w:tc>
        <w:tc>
          <w:tcPr>
            <w:tcW w:w="2268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2.15 (0.66–7.00)</w:t>
            </w:r>
          </w:p>
        </w:tc>
        <w:tc>
          <w:tcPr>
            <w:tcW w:w="968" w:type="dxa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8" w:type="dxa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75D84" w:rsidRPr="00593B9E" w:rsidTr="00152373">
        <w:tc>
          <w:tcPr>
            <w:tcW w:w="2977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Tumor size</w:t>
            </w:r>
          </w:p>
        </w:tc>
        <w:tc>
          <w:tcPr>
            <w:tcW w:w="2268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1.83 (1.19–2.83)</w:t>
            </w:r>
          </w:p>
        </w:tc>
        <w:tc>
          <w:tcPr>
            <w:tcW w:w="968" w:type="dxa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0.006</w:t>
            </w:r>
          </w:p>
        </w:tc>
        <w:tc>
          <w:tcPr>
            <w:tcW w:w="2126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1.86 (1.18–2.92)</w:t>
            </w:r>
          </w:p>
        </w:tc>
        <w:tc>
          <w:tcPr>
            <w:tcW w:w="968" w:type="dxa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0.007</w:t>
            </w:r>
          </w:p>
        </w:tc>
      </w:tr>
      <w:tr w:rsidR="00E75D84" w:rsidRPr="00593B9E" w:rsidTr="00152373">
        <w:tc>
          <w:tcPr>
            <w:tcW w:w="2977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Alpha-fetoprotein</w:t>
            </w:r>
          </w:p>
        </w:tc>
        <w:tc>
          <w:tcPr>
            <w:tcW w:w="2268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8" w:type="dxa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0.745</w:t>
            </w:r>
          </w:p>
        </w:tc>
        <w:tc>
          <w:tcPr>
            <w:tcW w:w="2126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8" w:type="dxa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75D84" w:rsidRPr="00593B9E" w:rsidTr="00152373">
        <w:tc>
          <w:tcPr>
            <w:tcW w:w="2977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 xml:space="preserve">  </w:t>
            </w:r>
            <w:r w:rsidRPr="00593B9E">
              <w:rPr>
                <w:rFonts w:ascii="Times New Roman" w:eastAsia="Malgun Gothic" w:hAnsi="Times New Roman" w:cs="Times New Roman"/>
                <w:sz w:val="22"/>
              </w:rPr>
              <w:t xml:space="preserve">≤ </w:t>
            </w:r>
            <w:r w:rsidRPr="00593B9E">
              <w:rPr>
                <w:rFonts w:ascii="Times New Roman" w:hAnsi="Times New Roman" w:cs="Times New Roman"/>
                <w:sz w:val="22"/>
              </w:rPr>
              <w:t xml:space="preserve">20 </w:t>
            </w:r>
            <w:proofErr w:type="spellStart"/>
            <w:r w:rsidRPr="00593B9E">
              <w:rPr>
                <w:rFonts w:ascii="Times New Roman" w:hAnsi="Times New Roman" w:cs="Times New Roman"/>
                <w:sz w:val="22"/>
              </w:rPr>
              <w:t>ng</w:t>
            </w:r>
            <w:proofErr w:type="spellEnd"/>
            <w:r w:rsidRPr="00593B9E">
              <w:rPr>
                <w:rFonts w:ascii="Times New Roman" w:hAnsi="Times New Roman" w:cs="Times New Roman"/>
                <w:sz w:val="22"/>
              </w:rPr>
              <w:t>/mL</w:t>
            </w:r>
          </w:p>
        </w:tc>
        <w:tc>
          <w:tcPr>
            <w:tcW w:w="2268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Reference</w:t>
            </w:r>
          </w:p>
        </w:tc>
        <w:tc>
          <w:tcPr>
            <w:tcW w:w="968" w:type="dxa"/>
          </w:tcPr>
          <w:p w:rsidR="00E75D84" w:rsidRPr="00593B9E" w:rsidDel="00161759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8" w:type="dxa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75D84" w:rsidRPr="00593B9E" w:rsidTr="00152373">
        <w:tc>
          <w:tcPr>
            <w:tcW w:w="2977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 xml:space="preserve">  &gt; 20 </w:t>
            </w:r>
            <w:proofErr w:type="spellStart"/>
            <w:r w:rsidRPr="00593B9E">
              <w:rPr>
                <w:rFonts w:ascii="Times New Roman" w:hAnsi="Times New Roman" w:cs="Times New Roman"/>
                <w:sz w:val="22"/>
              </w:rPr>
              <w:t>ng</w:t>
            </w:r>
            <w:proofErr w:type="spellEnd"/>
            <w:r w:rsidRPr="00593B9E">
              <w:rPr>
                <w:rFonts w:ascii="Times New Roman" w:hAnsi="Times New Roman" w:cs="Times New Roman"/>
                <w:sz w:val="22"/>
              </w:rPr>
              <w:t>/mL</w:t>
            </w:r>
          </w:p>
        </w:tc>
        <w:tc>
          <w:tcPr>
            <w:tcW w:w="2268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0.82 (0.25–2.69)</w:t>
            </w:r>
          </w:p>
        </w:tc>
        <w:tc>
          <w:tcPr>
            <w:tcW w:w="968" w:type="dxa"/>
          </w:tcPr>
          <w:p w:rsidR="00E75D84" w:rsidRPr="00593B9E" w:rsidDel="00161759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8" w:type="dxa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75D84" w:rsidRPr="00593B9E" w:rsidTr="00152373">
        <w:tc>
          <w:tcPr>
            <w:tcW w:w="2977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93B9E">
              <w:rPr>
                <w:rFonts w:ascii="Times New Roman" w:hAnsi="Times New Roman" w:cs="Times New Roman"/>
                <w:sz w:val="22"/>
              </w:rPr>
              <w:t>mRECIST</w:t>
            </w:r>
            <w:proofErr w:type="spellEnd"/>
            <w:r w:rsidRPr="00593B9E">
              <w:rPr>
                <w:rFonts w:ascii="Times New Roman" w:hAnsi="Times New Roman" w:cs="Times New Roman"/>
                <w:sz w:val="22"/>
              </w:rPr>
              <w:t xml:space="preserve"> after the last TACE</w:t>
            </w:r>
          </w:p>
        </w:tc>
        <w:tc>
          <w:tcPr>
            <w:tcW w:w="2268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8" w:type="dxa"/>
          </w:tcPr>
          <w:p w:rsidR="00E75D84" w:rsidRPr="00593B9E" w:rsidDel="00161759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0.126</w:t>
            </w:r>
          </w:p>
        </w:tc>
        <w:tc>
          <w:tcPr>
            <w:tcW w:w="2126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8" w:type="dxa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0.119</w:t>
            </w:r>
          </w:p>
        </w:tc>
      </w:tr>
      <w:tr w:rsidR="00E75D84" w:rsidRPr="00593B9E" w:rsidTr="00152373">
        <w:tc>
          <w:tcPr>
            <w:tcW w:w="2977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 xml:space="preserve">  Complete response</w:t>
            </w:r>
            <w:r w:rsidRPr="00593B9E">
              <w:rPr>
                <w:rFonts w:ascii="Times New Roman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2268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Reference</w:t>
            </w:r>
          </w:p>
        </w:tc>
        <w:tc>
          <w:tcPr>
            <w:tcW w:w="968" w:type="dxa"/>
          </w:tcPr>
          <w:p w:rsidR="00E75D84" w:rsidRPr="00593B9E" w:rsidDel="00161759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Reference</w:t>
            </w:r>
          </w:p>
        </w:tc>
        <w:tc>
          <w:tcPr>
            <w:tcW w:w="968" w:type="dxa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75D84" w:rsidRPr="00593B9E" w:rsidTr="00152373">
        <w:tc>
          <w:tcPr>
            <w:tcW w:w="2977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lastRenderedPageBreak/>
              <w:t xml:space="preserve">  Partial response</w:t>
            </w:r>
          </w:p>
        </w:tc>
        <w:tc>
          <w:tcPr>
            <w:tcW w:w="2268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2.43 (0.22–27.40)</w:t>
            </w:r>
          </w:p>
        </w:tc>
        <w:tc>
          <w:tcPr>
            <w:tcW w:w="968" w:type="dxa"/>
          </w:tcPr>
          <w:p w:rsidR="00E75D84" w:rsidRPr="00593B9E" w:rsidDel="00161759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0.474</w:t>
            </w:r>
          </w:p>
        </w:tc>
        <w:tc>
          <w:tcPr>
            <w:tcW w:w="2126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1.93 (0.17–22.34)</w:t>
            </w:r>
          </w:p>
        </w:tc>
        <w:tc>
          <w:tcPr>
            <w:tcW w:w="968" w:type="dxa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0.599</w:t>
            </w:r>
          </w:p>
        </w:tc>
      </w:tr>
      <w:tr w:rsidR="00E75D84" w:rsidRPr="00593B9E" w:rsidTr="00152373">
        <w:tc>
          <w:tcPr>
            <w:tcW w:w="2977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 xml:space="preserve">  Stable disease</w:t>
            </w:r>
          </w:p>
        </w:tc>
        <w:tc>
          <w:tcPr>
            <w:tcW w:w="2268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4.63 (0.58–37.20)</w:t>
            </w:r>
          </w:p>
        </w:tc>
        <w:tc>
          <w:tcPr>
            <w:tcW w:w="968" w:type="dxa"/>
          </w:tcPr>
          <w:p w:rsidR="00E75D84" w:rsidRPr="00593B9E" w:rsidDel="00161759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0.150</w:t>
            </w:r>
          </w:p>
        </w:tc>
        <w:tc>
          <w:tcPr>
            <w:tcW w:w="2126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4.41 (0.54–35.88)</w:t>
            </w:r>
          </w:p>
        </w:tc>
        <w:tc>
          <w:tcPr>
            <w:tcW w:w="968" w:type="dxa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0.166</w:t>
            </w:r>
          </w:p>
        </w:tc>
      </w:tr>
      <w:tr w:rsidR="00E75D84" w:rsidRPr="00593B9E" w:rsidTr="00152373">
        <w:tc>
          <w:tcPr>
            <w:tcW w:w="2977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 xml:space="preserve">  Progressive disease</w:t>
            </w:r>
          </w:p>
        </w:tc>
        <w:tc>
          <w:tcPr>
            <w:tcW w:w="2268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16.44 (1.35–199.97)</w:t>
            </w:r>
          </w:p>
        </w:tc>
        <w:tc>
          <w:tcPr>
            <w:tcW w:w="968" w:type="dxa"/>
          </w:tcPr>
          <w:p w:rsidR="00E75D84" w:rsidRPr="00593B9E" w:rsidDel="00161759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0.028</w:t>
            </w:r>
          </w:p>
        </w:tc>
        <w:tc>
          <w:tcPr>
            <w:tcW w:w="2126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15.63 (1.26–194.59)</w:t>
            </w:r>
          </w:p>
        </w:tc>
        <w:tc>
          <w:tcPr>
            <w:tcW w:w="968" w:type="dxa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0.033</w:t>
            </w:r>
          </w:p>
        </w:tc>
      </w:tr>
      <w:tr w:rsidR="00E75D84" w:rsidRPr="00593B9E" w:rsidTr="00152373">
        <w:tc>
          <w:tcPr>
            <w:tcW w:w="2977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Interval from the last TACE to SBRT</w:t>
            </w:r>
          </w:p>
        </w:tc>
        <w:tc>
          <w:tcPr>
            <w:tcW w:w="2268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0.91 (0.77–1.08)</w:t>
            </w:r>
          </w:p>
        </w:tc>
        <w:tc>
          <w:tcPr>
            <w:tcW w:w="968" w:type="dxa"/>
          </w:tcPr>
          <w:p w:rsidR="00E75D84" w:rsidRPr="00593B9E" w:rsidDel="00161759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0.289</w:t>
            </w:r>
          </w:p>
        </w:tc>
        <w:tc>
          <w:tcPr>
            <w:tcW w:w="2126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8" w:type="dxa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75D84" w:rsidRPr="00593B9E" w:rsidTr="00152373">
        <w:tc>
          <w:tcPr>
            <w:tcW w:w="2977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Number of prior treatment sessions</w:t>
            </w:r>
          </w:p>
        </w:tc>
        <w:tc>
          <w:tcPr>
            <w:tcW w:w="2268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1.08 (0.96–1.22)</w:t>
            </w:r>
          </w:p>
        </w:tc>
        <w:tc>
          <w:tcPr>
            <w:tcW w:w="968" w:type="dxa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0.226</w:t>
            </w:r>
          </w:p>
        </w:tc>
        <w:tc>
          <w:tcPr>
            <w:tcW w:w="2126" w:type="dxa"/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8" w:type="dxa"/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75D84" w:rsidRPr="00593B9E" w:rsidTr="00152373">
        <w:tc>
          <w:tcPr>
            <w:tcW w:w="2977" w:type="dxa"/>
            <w:tcBorders>
              <w:bottom w:val="single" w:sz="4" w:space="0" w:color="auto"/>
            </w:tcBorders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BED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0.97 (0.93–1.01)</w:t>
            </w: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3B9E">
              <w:rPr>
                <w:rFonts w:ascii="Times New Roman" w:hAnsi="Times New Roman" w:cs="Times New Roman"/>
                <w:sz w:val="22"/>
              </w:rPr>
              <w:t>0.177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75D84" w:rsidRPr="00593B9E" w:rsidRDefault="00E75D84" w:rsidP="0015237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:rsidR="00E75D84" w:rsidRPr="00593B9E" w:rsidRDefault="00E75D84" w:rsidP="0015237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A80708" w:rsidRDefault="00A80708">
      <w:bookmarkStart w:id="0" w:name="_GoBack"/>
      <w:bookmarkEnd w:id="0"/>
    </w:p>
    <w:sectPr w:rsidR="00A807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D84"/>
    <w:rsid w:val="00093ACB"/>
    <w:rsid w:val="00A80708"/>
    <w:rsid w:val="00E75D84"/>
    <w:rsid w:val="00F4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5D84"/>
    <w:pPr>
      <w:spacing w:after="0" w:line="240" w:lineRule="auto"/>
      <w:jc w:val="both"/>
    </w:pPr>
    <w:rPr>
      <w:rFonts w:eastAsiaTheme="minorEastAsia"/>
      <w:kern w:val="2"/>
      <w:sz w:val="20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5D84"/>
    <w:pPr>
      <w:spacing w:after="0" w:line="240" w:lineRule="auto"/>
      <w:jc w:val="both"/>
    </w:pPr>
    <w:rPr>
      <w:rFonts w:eastAsiaTheme="minorEastAsia"/>
      <w:kern w:val="2"/>
      <w:sz w:val="20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817</Characters>
  <Application>Microsoft Office Word</Application>
  <DocSecurity>0</DocSecurity>
  <Lines>68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1</cp:revision>
  <dcterms:created xsi:type="dcterms:W3CDTF">2022-02-04T13:42:00Z</dcterms:created>
  <dcterms:modified xsi:type="dcterms:W3CDTF">2022-02-04T13:43:00Z</dcterms:modified>
</cp:coreProperties>
</file>