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7F108" w14:textId="57C64FD6" w:rsidR="00873E33" w:rsidRDefault="00873E33" w:rsidP="00A516AB">
      <w:pPr>
        <w:spacing w:afterLines="50" w:after="156" w:line="360" w:lineRule="auto"/>
        <w:rPr>
          <w:rFonts w:ascii="Times New Roman" w:hAnsi="Times New Roman" w:cs="Times New Roman"/>
          <w:b/>
          <w:bCs/>
          <w:noProof/>
          <w:sz w:val="30"/>
          <w:szCs w:val="30"/>
        </w:rPr>
      </w:pPr>
      <w:r w:rsidRPr="002052EC">
        <w:rPr>
          <w:rFonts w:ascii="Times New Roman" w:hAnsi="Times New Roman" w:cs="Times New Roman"/>
          <w:b/>
          <w:bCs/>
          <w:noProof/>
          <w:sz w:val="30"/>
          <w:szCs w:val="30"/>
        </w:rPr>
        <w:t>Supplementary Figures</w:t>
      </w:r>
    </w:p>
    <w:p w14:paraId="6E025D21" w14:textId="77777777" w:rsidR="00A516AB" w:rsidRDefault="00A516AB" w:rsidP="00A516AB">
      <w:pPr>
        <w:spacing w:afterLines="25" w:after="78" w:line="360" w:lineRule="auto"/>
        <w:jc w:val="center"/>
        <w:rPr>
          <w:rFonts w:ascii="Times New Roman" w:eastAsia="宋体" w:hAnsi="Times New Roman" w:cs="Times New Roman"/>
          <w:bCs/>
          <w:color w:val="C00000"/>
          <w:sz w:val="24"/>
          <w:szCs w:val="24"/>
        </w:rPr>
      </w:pPr>
      <w:r>
        <w:rPr>
          <w:noProof/>
        </w:rPr>
        <w:drawing>
          <wp:inline distT="0" distB="0" distL="0" distR="0" wp14:anchorId="17F8875E" wp14:editId="346DD6E0">
            <wp:extent cx="3536950" cy="3352800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53" t="2007" r="21096" b="1678"/>
                    <a:stretch/>
                  </pic:blipFill>
                  <pic:spPr bwMode="auto">
                    <a:xfrm>
                      <a:off x="0" y="0"/>
                      <a:ext cx="35369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F1AF36" w14:textId="1E318E37" w:rsidR="00A516AB" w:rsidRDefault="00A516AB" w:rsidP="00A516AB">
      <w:pPr>
        <w:spacing w:afterLines="50" w:after="156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16AB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A516AB">
        <w:rPr>
          <w:rFonts w:ascii="Times New Roman" w:hAnsi="Times New Roman" w:cs="Times New Roman"/>
          <w:b/>
          <w:bCs/>
          <w:sz w:val="24"/>
          <w:szCs w:val="24"/>
        </w:rPr>
        <w:t xml:space="preserve"> S1 Sample-normalized boxplots of two HNSCC cohorts from the GEO database.</w:t>
      </w:r>
    </w:p>
    <w:p w14:paraId="6E29A0B4" w14:textId="77777777" w:rsidR="00A516AB" w:rsidRDefault="00A516AB" w:rsidP="00A516AB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3BD667D" w14:textId="77777777" w:rsidR="00C00C21" w:rsidRPr="000B78B2" w:rsidRDefault="00C00C21" w:rsidP="00A516AB">
      <w:pPr>
        <w:spacing w:line="360" w:lineRule="auto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0B78B2">
        <w:rPr>
          <w:noProof/>
        </w:rPr>
        <w:lastRenderedPageBreak/>
        <w:drawing>
          <wp:inline distT="0" distB="0" distL="0" distR="0" wp14:anchorId="68736916" wp14:editId="0C693304">
            <wp:extent cx="4362450" cy="43688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43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16BB1" w14:textId="183BCEE1" w:rsidR="00C00C21" w:rsidRPr="00C00C21" w:rsidRDefault="00D24825" w:rsidP="00A516AB">
      <w:pPr>
        <w:spacing w:line="360" w:lineRule="auto"/>
        <w:rPr>
          <w:rFonts w:ascii="Times New Roman" w:hAnsi="Times New Roman" w:cs="Times New Roman"/>
          <w:color w:val="C00000"/>
          <w:sz w:val="24"/>
          <w:szCs w:val="24"/>
        </w:rPr>
      </w:pPr>
      <w:r w:rsidRPr="00D24825">
        <w:rPr>
          <w:rFonts w:ascii="Times New Roman" w:eastAsia="宋体" w:hAnsi="Times New Roman" w:cs="Times New Roman"/>
          <w:b/>
          <w:sz w:val="24"/>
          <w:szCs w:val="24"/>
        </w:rPr>
        <w:t>Figure S</w:t>
      </w:r>
      <w:r w:rsidR="00A516AB">
        <w:rPr>
          <w:rFonts w:ascii="Times New Roman" w:eastAsia="宋体" w:hAnsi="Times New Roman" w:cs="Times New Roman"/>
          <w:b/>
          <w:sz w:val="24"/>
          <w:szCs w:val="24"/>
        </w:rPr>
        <w:t>2</w:t>
      </w:r>
      <w:r w:rsidRPr="00D24825">
        <w:rPr>
          <w:rFonts w:ascii="Times New Roman" w:eastAsia="宋体" w:hAnsi="Times New Roman" w:cs="Times New Roman"/>
          <w:b/>
          <w:sz w:val="24"/>
          <w:szCs w:val="24"/>
        </w:rPr>
        <w:t xml:space="preserve"> Risk scores based on the nine-gene signature are markers of poor prognosis in HNSCC patients in various subgroups divided by gene mutations of TP53 and TTN.</w:t>
      </w:r>
      <w:r w:rsidRPr="00D24825">
        <w:rPr>
          <w:rFonts w:ascii="Times New Roman" w:eastAsia="宋体" w:hAnsi="Times New Roman" w:cs="Times New Roman"/>
          <w:bCs/>
          <w:sz w:val="24"/>
          <w:szCs w:val="24"/>
        </w:rPr>
        <w:t xml:space="preserve"> (A-D) The nine-gene signature can distinguish high-risk patients in four subgroups (including TP53-Mutation, TP53-Wild, TTN-Mutation and TTN-Wild groups) based on gene mutations of TP53 and TTN.</w:t>
      </w:r>
    </w:p>
    <w:p w14:paraId="447D35D9" w14:textId="77777777" w:rsidR="00C00C21" w:rsidRPr="00C00C21" w:rsidRDefault="00C00C21" w:rsidP="00A516AB">
      <w:pPr>
        <w:spacing w:line="360" w:lineRule="auto"/>
        <w:rPr>
          <w:rFonts w:ascii="Times New Roman" w:hAnsi="Times New Roman" w:cs="Times New Roman"/>
          <w:color w:val="C00000"/>
          <w:sz w:val="24"/>
          <w:szCs w:val="24"/>
        </w:rPr>
      </w:pPr>
      <w:r w:rsidRPr="00C00C21">
        <w:rPr>
          <w:noProof/>
        </w:rPr>
        <w:lastRenderedPageBreak/>
        <w:drawing>
          <wp:inline distT="0" distB="0" distL="0" distR="0" wp14:anchorId="798969B2" wp14:editId="27A8BE29">
            <wp:extent cx="6188710" cy="420052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EB382" w14:textId="4350F970" w:rsidR="00C00C21" w:rsidRDefault="00C00C21" w:rsidP="00A516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00C21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C00C21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A516A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00C21">
        <w:rPr>
          <w:rFonts w:ascii="Times New Roman" w:hAnsi="Times New Roman" w:cs="Times New Roman"/>
          <w:b/>
          <w:bCs/>
          <w:sz w:val="24"/>
          <w:szCs w:val="24"/>
        </w:rPr>
        <w:t xml:space="preserve"> Drug sensitivity analysis of nine hub genes.</w:t>
      </w:r>
      <w:r w:rsidRPr="00C00C21">
        <w:rPr>
          <w:rFonts w:ascii="Times New Roman" w:hAnsi="Times New Roman" w:cs="Times New Roman"/>
          <w:sz w:val="24"/>
          <w:szCs w:val="24"/>
        </w:rPr>
        <w:t xml:space="preserve"> RNF144A expression was </w:t>
      </w:r>
      <w:bookmarkStart w:id="0" w:name="_Hlk96850900"/>
      <w:r w:rsidRPr="00C00C21">
        <w:rPr>
          <w:rFonts w:ascii="Times New Roman" w:hAnsi="Times New Roman" w:cs="Times New Roman"/>
          <w:sz w:val="24"/>
          <w:szCs w:val="24"/>
        </w:rPr>
        <w:t>positively</w:t>
      </w:r>
      <w:bookmarkEnd w:id="0"/>
      <w:r w:rsidRPr="00C00C21">
        <w:rPr>
          <w:rFonts w:ascii="Times New Roman" w:hAnsi="Times New Roman" w:cs="Times New Roman"/>
          <w:sz w:val="24"/>
          <w:szCs w:val="24"/>
        </w:rPr>
        <w:t xml:space="preserve"> correlated with the drug sensitivity of Vemurafenib, Dabrafenib, Encorafenib and ABT-199; </w:t>
      </w:r>
      <w:bookmarkStart w:id="1" w:name="_Hlk96850885"/>
      <w:r w:rsidRPr="00C00C21">
        <w:rPr>
          <w:rFonts w:ascii="Times New Roman" w:hAnsi="Times New Roman" w:cs="Times New Roman"/>
          <w:sz w:val="24"/>
          <w:szCs w:val="24"/>
        </w:rPr>
        <w:t>BASP1 expression was negatively correlated with drug sensitivity of Tamoxifen</w:t>
      </w:r>
      <w:bookmarkEnd w:id="1"/>
      <w:r w:rsidRPr="00C00C21">
        <w:rPr>
          <w:rFonts w:ascii="Times New Roman" w:hAnsi="Times New Roman" w:cs="Times New Roman"/>
          <w:sz w:val="24"/>
          <w:szCs w:val="24"/>
        </w:rPr>
        <w:t>, Vemurafenib, Nilotinib and Selumetinib; BASP1 expression was positively correlated with drug sensitivity of Dasatinib. STC1 expression was positively correlated with the drug sensitivity of Olaparib, Simvastatin and Rapamycin; PLEKHG2 was negatively correlated with drug sensitivity of Palbociclib, P4HA1 was negatively correlated with drug sensitivity of 6-THIOGUANINE. DKK1 was negatively correlated with drug sensitivity of Sunitinib. Cor, correlation coefficient.</w:t>
      </w:r>
    </w:p>
    <w:p w14:paraId="28092D69" w14:textId="77777777" w:rsidR="00B31EC3" w:rsidRPr="00B31EC3" w:rsidRDefault="00B31EC3" w:rsidP="00A516AB">
      <w:pPr>
        <w:spacing w:line="360" w:lineRule="auto"/>
        <w:rPr>
          <w:rFonts w:ascii="Times New Roman" w:hAnsi="Times New Roman" w:cs="Times New Roman"/>
          <w:color w:val="C00000"/>
          <w:sz w:val="24"/>
          <w:szCs w:val="24"/>
        </w:rPr>
      </w:pPr>
      <w:r w:rsidRPr="00B31EC3">
        <w:rPr>
          <w:noProof/>
        </w:rPr>
        <w:lastRenderedPageBreak/>
        <w:drawing>
          <wp:inline distT="0" distB="0" distL="0" distR="0" wp14:anchorId="77D8B0FB" wp14:editId="4F0A74A9">
            <wp:extent cx="6188710" cy="42551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25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C3147" w14:textId="46EE89F8" w:rsidR="00B31EC3" w:rsidRPr="000B4170" w:rsidRDefault="000B4170" w:rsidP="00A516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B4170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0B4170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A516AB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B4170">
        <w:rPr>
          <w:rFonts w:ascii="Times New Roman" w:hAnsi="Times New Roman" w:cs="Times New Roman"/>
          <w:b/>
          <w:bCs/>
          <w:sz w:val="24"/>
          <w:szCs w:val="24"/>
        </w:rPr>
        <w:t xml:space="preserve"> Impact of TP53 and TTN mutations on immune infiltration status. (A) </w:t>
      </w:r>
      <w:r w:rsidRPr="000B4170">
        <w:rPr>
          <w:rFonts w:ascii="Times New Roman" w:hAnsi="Times New Roman" w:cs="Times New Roman"/>
          <w:sz w:val="24"/>
          <w:szCs w:val="24"/>
        </w:rPr>
        <w:t xml:space="preserve">In the TP53 group, the mutant group exhibited a lower degree of immune infiltration compared with the wild group. </w:t>
      </w:r>
      <w:r w:rsidRPr="000B4170">
        <w:rPr>
          <w:rFonts w:ascii="Times New Roman" w:hAnsi="Times New Roman" w:cs="Times New Roman"/>
          <w:b/>
          <w:bCs/>
          <w:sz w:val="24"/>
          <w:szCs w:val="24"/>
        </w:rPr>
        <w:t>(B)</w:t>
      </w:r>
      <w:r w:rsidRPr="000B4170">
        <w:rPr>
          <w:rFonts w:ascii="Times New Roman" w:hAnsi="Times New Roman" w:cs="Times New Roman"/>
          <w:sz w:val="24"/>
          <w:szCs w:val="24"/>
        </w:rPr>
        <w:t xml:space="preserve"> In the TTN group, the immune infiltration status of the mutant group and the wild group was not significantly different.</w:t>
      </w:r>
    </w:p>
    <w:sectPr w:rsidR="00B31EC3" w:rsidRPr="000B4170" w:rsidSect="00023C97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37DD7" w14:textId="77777777" w:rsidR="000B3266" w:rsidRDefault="000B3266" w:rsidP="00023C97">
      <w:r>
        <w:separator/>
      </w:r>
    </w:p>
  </w:endnote>
  <w:endnote w:type="continuationSeparator" w:id="0">
    <w:p w14:paraId="10B300E1" w14:textId="77777777" w:rsidR="000B3266" w:rsidRDefault="000B3266" w:rsidP="00023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33E09" w14:textId="77777777" w:rsidR="000B3266" w:rsidRDefault="000B3266" w:rsidP="00023C97">
      <w:r>
        <w:separator/>
      </w:r>
    </w:p>
  </w:footnote>
  <w:footnote w:type="continuationSeparator" w:id="0">
    <w:p w14:paraId="70198CAC" w14:textId="77777777" w:rsidR="000B3266" w:rsidRDefault="000B3266" w:rsidP="00023C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A2B7A"/>
    <w:rsid w:val="00023C97"/>
    <w:rsid w:val="000B3266"/>
    <w:rsid w:val="000B4170"/>
    <w:rsid w:val="00116E68"/>
    <w:rsid w:val="001D4B2A"/>
    <w:rsid w:val="002052EC"/>
    <w:rsid w:val="002277D7"/>
    <w:rsid w:val="002A2B7A"/>
    <w:rsid w:val="002D5D69"/>
    <w:rsid w:val="003607F8"/>
    <w:rsid w:val="003629CA"/>
    <w:rsid w:val="004432A2"/>
    <w:rsid w:val="004A015F"/>
    <w:rsid w:val="00556864"/>
    <w:rsid w:val="005C7A23"/>
    <w:rsid w:val="00734C9A"/>
    <w:rsid w:val="00757EE6"/>
    <w:rsid w:val="007A051C"/>
    <w:rsid w:val="007E32CD"/>
    <w:rsid w:val="00873E33"/>
    <w:rsid w:val="00874259"/>
    <w:rsid w:val="008759B0"/>
    <w:rsid w:val="008B5CFA"/>
    <w:rsid w:val="00A516AB"/>
    <w:rsid w:val="00A70EFB"/>
    <w:rsid w:val="00AC0284"/>
    <w:rsid w:val="00B31EC3"/>
    <w:rsid w:val="00B76EEE"/>
    <w:rsid w:val="00C00C21"/>
    <w:rsid w:val="00C37075"/>
    <w:rsid w:val="00D24825"/>
    <w:rsid w:val="00E23316"/>
    <w:rsid w:val="00E85210"/>
    <w:rsid w:val="00F4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2163C"/>
  <w15:chartTrackingRefBased/>
  <w15:docId w15:val="{9BD429CF-7C2B-4B43-9C2E-EC88DA8EC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E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rsid w:val="004A015F"/>
    <w:pPr>
      <w:jc w:val="center"/>
    </w:pPr>
    <w:rPr>
      <w:rFonts w:ascii="Times New Roman" w:eastAsia="宋体" w:hAnsi="Times New Roman" w:cs="Times New Roman"/>
      <w:kern w:val="0"/>
      <w:szCs w:val="20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Times New Roman" w:eastAsia="宋体" w:hAnsi="Times New Roman"/>
        <w:sz w:val="21"/>
      </w:rPr>
      <w:tblPr/>
      <w:tcPr>
        <w:tcBorders>
          <w:bottom w:val="single" w:sz="4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23C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23C9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23C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23C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2021-08-25T23:21:00Z</dcterms:created>
  <dcterms:modified xsi:type="dcterms:W3CDTF">2022-02-27T16:11:00Z</dcterms:modified>
</cp:coreProperties>
</file>