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E4EEA" w14:textId="42D4FA55" w:rsidR="00E87E9D" w:rsidRPr="00E87E9D" w:rsidRDefault="00E87E9D" w:rsidP="00E87E9D">
      <w:pPr>
        <w:pStyle w:val="NoSpacing"/>
        <w:rPr>
          <w:sz w:val="24"/>
          <w:szCs w:val="24"/>
        </w:rPr>
      </w:pPr>
      <w:r w:rsidRPr="00E87E9D">
        <w:rPr>
          <w:b/>
          <w:bCs/>
          <w:sz w:val="24"/>
          <w:szCs w:val="24"/>
        </w:rPr>
        <w:t>Supplemental Figure S1</w:t>
      </w:r>
      <w:r w:rsidRPr="00E87E9D">
        <w:rPr>
          <w:sz w:val="24"/>
          <w:szCs w:val="24"/>
        </w:rPr>
        <w:t xml:space="preserve">. Forest plots of hazard ratios for (A) patient demographics and for (B) IO score alone and in combination with patient demographics as defined in Table 1. </w:t>
      </w:r>
    </w:p>
    <w:p w14:paraId="7F945A7A" w14:textId="562ADEF6" w:rsidR="00E87E9D" w:rsidRPr="00142240" w:rsidRDefault="00E87E9D" w:rsidP="00E87E9D">
      <w:pPr>
        <w:pStyle w:val="NoSpacing"/>
        <w:spacing w:line="480" w:lineRule="auto"/>
        <w:rPr>
          <w:sz w:val="24"/>
          <w:szCs w:val="24"/>
        </w:rPr>
      </w:pPr>
      <w:r w:rsidRPr="00E87E9D">
        <w:rPr>
          <w:sz w:val="24"/>
          <w:szCs w:val="24"/>
        </w:rPr>
        <w:drawing>
          <wp:inline distT="0" distB="0" distL="0" distR="0" wp14:anchorId="45B85CAF" wp14:editId="4412D662">
            <wp:extent cx="5943600" cy="279400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9DCD547-91E9-41D8-9D7D-24F74B9C17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9DCD547-91E9-41D8-9D7D-24F74B9C17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60FFF" w14:textId="31BF159F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0AAD4E88" w14:textId="1C10990F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43CC8ED2" w14:textId="198FD4E0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3DE64CE6" w14:textId="4720DDE2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52ED0822" w14:textId="6A5DE2CE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2ED2EC9A" w14:textId="6CCB9BC5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5A23CDE0" w14:textId="5B085100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69186123" w14:textId="77777777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06BBDE7C" w14:textId="1332CCAE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1EE2EE87" w14:textId="77777777" w:rsidR="00E87E9D" w:rsidRPr="00142240" w:rsidRDefault="00E87E9D" w:rsidP="00E87E9D">
      <w:pPr>
        <w:pStyle w:val="NoSpacing"/>
        <w:spacing w:line="480" w:lineRule="auto"/>
        <w:rPr>
          <w:sz w:val="24"/>
          <w:szCs w:val="24"/>
        </w:rPr>
      </w:pPr>
    </w:p>
    <w:p w14:paraId="01D06AD4" w14:textId="28B402A4" w:rsidR="00E87E9D" w:rsidRPr="00E87E9D" w:rsidRDefault="00E87E9D" w:rsidP="00E87E9D">
      <w:pPr>
        <w:pStyle w:val="NoSpacing"/>
        <w:rPr>
          <w:sz w:val="24"/>
          <w:szCs w:val="24"/>
        </w:rPr>
      </w:pPr>
      <w:r w:rsidRPr="00E87E9D">
        <w:rPr>
          <w:b/>
          <w:bCs/>
          <w:sz w:val="24"/>
          <w:szCs w:val="24"/>
        </w:rPr>
        <w:lastRenderedPageBreak/>
        <w:t>Supplemental Figure S2.</w:t>
      </w:r>
      <w:r w:rsidRPr="00E87E9D">
        <w:rPr>
          <w:sz w:val="24"/>
          <w:szCs w:val="24"/>
        </w:rPr>
        <w:t xml:space="preserve"> Kaplan-Meier plots of median progression free survival and 1-year overall survival by (A, B) IO score (n=67), (C, D) PD-L1 IHC TPS (n=56), and (E, F) TMB (n=36).</w:t>
      </w:r>
    </w:p>
    <w:p w14:paraId="4518DB83" w14:textId="0DAC5E8D" w:rsidR="00E87E9D" w:rsidRDefault="00E87E9D" w:rsidP="00E87E9D">
      <w:pPr>
        <w:pStyle w:val="NoSpacing"/>
        <w:spacing w:line="480" w:lineRule="auto"/>
        <w:rPr>
          <w:sz w:val="24"/>
          <w:szCs w:val="24"/>
        </w:rPr>
      </w:pPr>
      <w:r w:rsidRPr="00E87E9D">
        <w:rPr>
          <w:sz w:val="24"/>
          <w:szCs w:val="24"/>
        </w:rPr>
        <w:drawing>
          <wp:inline distT="0" distB="0" distL="0" distR="0" wp14:anchorId="02355583" wp14:editId="1B08CCE1">
            <wp:extent cx="5524072" cy="7283395"/>
            <wp:effectExtent l="0" t="0" r="0" b="0"/>
            <wp:docPr id="1" name="Picture 1" descr="A screenshot of a computer screen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93FBCB37-DA9A-479A-8471-8D2867C839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 screen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93FBCB37-DA9A-479A-8471-8D2867C839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274" cy="7290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24C3A2" w14:textId="6088110E" w:rsidR="00E87E9D" w:rsidRDefault="00E87E9D" w:rsidP="00E87E9D">
      <w:pPr>
        <w:pStyle w:val="NoSpacing"/>
        <w:rPr>
          <w:sz w:val="24"/>
          <w:szCs w:val="24"/>
        </w:rPr>
      </w:pPr>
      <w:r w:rsidRPr="00E87E9D">
        <w:rPr>
          <w:b/>
          <w:bCs/>
          <w:sz w:val="24"/>
          <w:szCs w:val="24"/>
        </w:rPr>
        <w:lastRenderedPageBreak/>
        <w:t>Supplemental Figure S3:</w:t>
      </w:r>
      <w:r w:rsidRPr="00E87E9D">
        <w:rPr>
          <w:sz w:val="24"/>
          <w:szCs w:val="24"/>
        </w:rPr>
        <w:t xml:space="preserve"> Kaplan-Meier curves showing the association between biomarkers and one-year PFS. (A) IO score and PD-L1 TPS for 62 NSCLC patients; (B) IO score and TMB for 36 NSCLC patients. Significance values calculated by log-rank test.</w:t>
      </w:r>
    </w:p>
    <w:p w14:paraId="5F033727" w14:textId="77777777" w:rsidR="00E87E9D" w:rsidRDefault="00E87E9D" w:rsidP="00E87E9D">
      <w:pPr>
        <w:pStyle w:val="NoSpacing"/>
        <w:rPr>
          <w:sz w:val="24"/>
          <w:szCs w:val="24"/>
        </w:rPr>
      </w:pPr>
    </w:p>
    <w:p w14:paraId="3819D3C9" w14:textId="6567EF73" w:rsidR="00E87E9D" w:rsidRPr="00E87E9D" w:rsidRDefault="00E87E9D" w:rsidP="00E87E9D">
      <w:pPr>
        <w:pStyle w:val="NoSpacing"/>
        <w:rPr>
          <w:sz w:val="24"/>
          <w:szCs w:val="24"/>
        </w:rPr>
      </w:pPr>
      <w:r w:rsidRPr="00E87E9D">
        <w:rPr>
          <w:sz w:val="24"/>
          <w:szCs w:val="24"/>
        </w:rPr>
        <w:drawing>
          <wp:inline distT="0" distB="0" distL="0" distR="0" wp14:anchorId="5F59F401" wp14:editId="18F2B36A">
            <wp:extent cx="5641631" cy="3566160"/>
            <wp:effectExtent l="0" t="0" r="0" b="0"/>
            <wp:docPr id="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7F2D25E-276D-4D8E-AD32-BE4313BFC3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C7F2D25E-276D-4D8E-AD32-BE4313BFC3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631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728F0" w14:textId="1967B0AE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39F1D110" w14:textId="0CEE2217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269E8694" w14:textId="2A9D946A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7A536645" w14:textId="6C875502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1ED515F4" w14:textId="6FB7FE97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00AED59B" w14:textId="4E453A67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50DE69DE" w14:textId="7F9056E4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5F626296" w14:textId="5C6CF4C6" w:rsidR="00E87E9D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5AF7396D" w14:textId="77777777" w:rsidR="00E87E9D" w:rsidRPr="00530A37" w:rsidRDefault="00E87E9D" w:rsidP="00E87E9D">
      <w:pPr>
        <w:pStyle w:val="MDPI71References"/>
        <w:numPr>
          <w:ilvl w:val="0"/>
          <w:numId w:val="0"/>
        </w:numPr>
        <w:spacing w:line="480" w:lineRule="auto"/>
        <w:ind w:left="425"/>
        <w:rPr>
          <w:b/>
          <w:bCs/>
          <w:sz w:val="24"/>
          <w:szCs w:val="28"/>
        </w:rPr>
      </w:pPr>
    </w:p>
    <w:p w14:paraId="12A55437" w14:textId="77777777" w:rsidR="001C3E27" w:rsidRDefault="00E87E9D" w:rsidP="001C3E27">
      <w:pPr>
        <w:spacing w:line="240" w:lineRule="auto"/>
        <w:jc w:val="left"/>
        <w:rPr>
          <w:b/>
          <w:bCs/>
          <w:sz w:val="24"/>
          <w:szCs w:val="28"/>
        </w:rPr>
      </w:pPr>
      <w:r w:rsidRPr="00530A37">
        <w:rPr>
          <w:b/>
          <w:bCs/>
          <w:sz w:val="24"/>
          <w:szCs w:val="28"/>
        </w:rPr>
        <w:lastRenderedPageBreak/>
        <w:t>Supplemental Table S1</w:t>
      </w:r>
      <w:r w:rsidR="001C3E27">
        <w:rPr>
          <w:b/>
          <w:bCs/>
          <w:sz w:val="24"/>
          <w:szCs w:val="28"/>
        </w:rPr>
        <w:t xml:space="preserve"> </w:t>
      </w:r>
    </w:p>
    <w:p w14:paraId="3E9FB39D" w14:textId="7BE81CC9" w:rsidR="001C3E27" w:rsidRPr="001C3E27" w:rsidRDefault="001C3E27" w:rsidP="001C3E27">
      <w:pPr>
        <w:spacing w:line="240" w:lineRule="auto"/>
        <w:jc w:val="left"/>
        <w:rPr>
          <w:rFonts w:ascii="Times New Roman" w:eastAsia="Times New Roman" w:hAnsi="Times New Roman"/>
          <w:noProof w:val="0"/>
          <w:color w:val="auto"/>
          <w:sz w:val="24"/>
          <w:szCs w:val="24"/>
          <w:lang w:eastAsia="en-US"/>
        </w:rPr>
      </w:pPr>
      <w:r w:rsidRPr="001C3E27">
        <w:rPr>
          <w:rFonts w:ascii="Times New Roman" w:eastAsia="Times New Roman" w:hAnsi="Times New Roman"/>
          <w:noProof w:val="0"/>
          <w:color w:val="auto"/>
          <w:sz w:val="24"/>
          <w:szCs w:val="24"/>
          <w:lang w:eastAsia="en-US"/>
        </w:rPr>
        <w:t>Test Characteristics for each biomarker with available data in this cohort.</w:t>
      </w:r>
    </w:p>
    <w:p w14:paraId="4F5CE150" w14:textId="77777777" w:rsidR="00E87E9D" w:rsidRDefault="00E87E9D" w:rsidP="001C3E27">
      <w:pPr>
        <w:pStyle w:val="MDPI71References"/>
        <w:numPr>
          <w:ilvl w:val="0"/>
          <w:numId w:val="0"/>
        </w:numPr>
      </w:pPr>
    </w:p>
    <w:p w14:paraId="393C884A" w14:textId="77777777" w:rsidR="00E87E9D" w:rsidRDefault="00E87E9D" w:rsidP="00E87E9D">
      <w:pPr>
        <w:pStyle w:val="MDPI71References"/>
        <w:numPr>
          <w:ilvl w:val="0"/>
          <w:numId w:val="0"/>
        </w:numPr>
        <w:rPr>
          <w:b/>
          <w:bCs/>
        </w:rPr>
      </w:pPr>
    </w:p>
    <w:tbl>
      <w:tblPr>
        <w:tblStyle w:val="Mdeck5tablebodythreelines"/>
        <w:tblpPr w:leftFromText="180" w:rightFromText="180" w:vertAnchor="text" w:horzAnchor="margin" w:tblpXSpec="center" w:tblpY="36"/>
        <w:tblW w:w="6997" w:type="dxa"/>
        <w:jc w:val="left"/>
        <w:tblLook w:val="0420" w:firstRow="1" w:lastRow="0" w:firstColumn="0" w:lastColumn="0" w:noHBand="0" w:noVBand="1"/>
      </w:tblPr>
      <w:tblGrid>
        <w:gridCol w:w="2208"/>
        <w:gridCol w:w="1596"/>
        <w:gridCol w:w="1596"/>
        <w:gridCol w:w="1597"/>
      </w:tblGrid>
      <w:tr w:rsidR="00E87E9D" w:rsidRPr="00195AE9" w14:paraId="174D1B32" w14:textId="77777777" w:rsidTr="000439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  <w:jc w:val="left"/>
        </w:trPr>
        <w:tc>
          <w:tcPr>
            <w:tcW w:w="6997" w:type="dxa"/>
            <w:gridSpan w:val="4"/>
          </w:tcPr>
          <w:p w14:paraId="62454AA2" w14:textId="77777777" w:rsidR="00E87E9D" w:rsidRPr="00530A37" w:rsidRDefault="00E87E9D" w:rsidP="000439B5">
            <w:pPr>
              <w:pStyle w:val="MDPI42tablebody"/>
              <w:rPr>
                <w:rFonts w:eastAsiaTheme="minorHAnsi"/>
                <w:sz w:val="24"/>
                <w:szCs w:val="24"/>
              </w:rPr>
            </w:pPr>
            <w:r w:rsidRPr="00530A37">
              <w:rPr>
                <w:rFonts w:eastAsiaTheme="minorHAnsi"/>
                <w:sz w:val="24"/>
                <w:szCs w:val="24"/>
              </w:rPr>
              <w:t>Objective Response Rate (ORR) by Biomarker</w:t>
            </w:r>
          </w:p>
        </w:tc>
      </w:tr>
      <w:tr w:rsidR="00E87E9D" w:rsidRPr="00195AE9" w14:paraId="3D8EE546" w14:textId="77777777" w:rsidTr="000439B5">
        <w:trPr>
          <w:trHeight w:val="305"/>
          <w:jc w:val="left"/>
        </w:trPr>
        <w:tc>
          <w:tcPr>
            <w:tcW w:w="2208" w:type="dxa"/>
            <w:hideMark/>
          </w:tcPr>
          <w:p w14:paraId="041907B0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  <w:lang w:eastAsia="en-US" w:bidi="ar-SA"/>
              </w:rPr>
            </w:pPr>
          </w:p>
        </w:tc>
        <w:tc>
          <w:tcPr>
            <w:tcW w:w="1596" w:type="dxa"/>
            <w:hideMark/>
          </w:tcPr>
          <w:p w14:paraId="4F489918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auto"/>
                <w:sz w:val="24"/>
                <w:szCs w:val="24"/>
              </w:rPr>
              <w:t>IO Score +</w:t>
            </w:r>
          </w:p>
        </w:tc>
        <w:tc>
          <w:tcPr>
            <w:tcW w:w="1596" w:type="dxa"/>
            <w:hideMark/>
          </w:tcPr>
          <w:p w14:paraId="2F26035D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auto"/>
                <w:sz w:val="24"/>
                <w:szCs w:val="24"/>
              </w:rPr>
              <w:t>PD-L1 (≥1%)</w:t>
            </w:r>
          </w:p>
        </w:tc>
        <w:tc>
          <w:tcPr>
            <w:tcW w:w="1596" w:type="dxa"/>
            <w:hideMark/>
          </w:tcPr>
          <w:p w14:paraId="605BD1DD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auto"/>
                <w:sz w:val="24"/>
                <w:szCs w:val="24"/>
              </w:rPr>
              <w:t>TMB (≥10)</w:t>
            </w:r>
          </w:p>
        </w:tc>
      </w:tr>
      <w:tr w:rsidR="00E87E9D" w:rsidRPr="00195AE9" w14:paraId="37761972" w14:textId="77777777" w:rsidTr="000439B5">
        <w:trPr>
          <w:trHeight w:val="305"/>
          <w:jc w:val="left"/>
        </w:trPr>
        <w:tc>
          <w:tcPr>
            <w:tcW w:w="2208" w:type="dxa"/>
            <w:hideMark/>
          </w:tcPr>
          <w:p w14:paraId="2DFE8E0A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  <w:lang w:eastAsia="en-US" w:bidi="ar-SA"/>
              </w:rPr>
            </w:pPr>
            <w:r w:rsidRPr="00530A37">
              <w:rPr>
                <w:rFonts w:eastAsiaTheme="minorHAnsi" w:cstheme="minorBidi"/>
                <w:snapToGrid/>
                <w:color w:val="000000" w:themeColor="dark1"/>
                <w:sz w:val="24"/>
                <w:szCs w:val="24"/>
                <w:lang w:eastAsia="en-US" w:bidi="ar-SA"/>
              </w:rPr>
              <w:t xml:space="preserve">Non-responders </w:t>
            </w:r>
          </w:p>
        </w:tc>
        <w:tc>
          <w:tcPr>
            <w:tcW w:w="1596" w:type="dxa"/>
            <w:hideMark/>
          </w:tcPr>
          <w:p w14:paraId="199BE6C8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8</w:t>
            </w:r>
          </w:p>
        </w:tc>
        <w:tc>
          <w:tcPr>
            <w:tcW w:w="1596" w:type="dxa"/>
            <w:hideMark/>
          </w:tcPr>
          <w:p w14:paraId="0CF155A2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16</w:t>
            </w:r>
          </w:p>
        </w:tc>
        <w:tc>
          <w:tcPr>
            <w:tcW w:w="1596" w:type="dxa"/>
            <w:hideMark/>
          </w:tcPr>
          <w:p w14:paraId="216EEC90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5</w:t>
            </w:r>
          </w:p>
        </w:tc>
      </w:tr>
      <w:tr w:rsidR="00E87E9D" w:rsidRPr="00195AE9" w14:paraId="792356F8" w14:textId="77777777" w:rsidTr="000439B5">
        <w:trPr>
          <w:trHeight w:val="305"/>
          <w:jc w:val="left"/>
        </w:trPr>
        <w:tc>
          <w:tcPr>
            <w:tcW w:w="2208" w:type="dxa"/>
            <w:hideMark/>
          </w:tcPr>
          <w:p w14:paraId="48BAE8AE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  <w:lang w:eastAsia="en-US" w:bidi="ar-SA"/>
              </w:rPr>
            </w:pPr>
            <w:r w:rsidRPr="00530A37">
              <w:rPr>
                <w:rFonts w:eastAsiaTheme="minorHAnsi" w:cstheme="minorBidi"/>
                <w:snapToGrid/>
                <w:color w:val="000000" w:themeColor="dark1"/>
                <w:sz w:val="24"/>
                <w:szCs w:val="24"/>
                <w:lang w:eastAsia="en-US" w:bidi="ar-SA"/>
              </w:rPr>
              <w:t xml:space="preserve">Responders </w:t>
            </w:r>
          </w:p>
        </w:tc>
        <w:tc>
          <w:tcPr>
            <w:tcW w:w="1596" w:type="dxa"/>
            <w:hideMark/>
          </w:tcPr>
          <w:p w14:paraId="457D32E1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28</w:t>
            </w:r>
          </w:p>
        </w:tc>
        <w:tc>
          <w:tcPr>
            <w:tcW w:w="1596" w:type="dxa"/>
            <w:hideMark/>
          </w:tcPr>
          <w:p w14:paraId="6F15A924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29</w:t>
            </w:r>
          </w:p>
        </w:tc>
        <w:tc>
          <w:tcPr>
            <w:tcW w:w="1596" w:type="dxa"/>
            <w:hideMark/>
          </w:tcPr>
          <w:p w14:paraId="2D06CE41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16</w:t>
            </w:r>
          </w:p>
        </w:tc>
      </w:tr>
      <w:tr w:rsidR="00E87E9D" w:rsidRPr="00195AE9" w14:paraId="0F23B1DF" w14:textId="77777777" w:rsidTr="000439B5">
        <w:trPr>
          <w:trHeight w:val="305"/>
          <w:jc w:val="left"/>
        </w:trPr>
        <w:tc>
          <w:tcPr>
            <w:tcW w:w="2208" w:type="dxa"/>
            <w:hideMark/>
          </w:tcPr>
          <w:p w14:paraId="5BCC739C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  <w:lang w:eastAsia="en-US" w:bidi="ar-SA"/>
              </w:rPr>
            </w:pPr>
            <w:r w:rsidRPr="00530A37">
              <w:rPr>
                <w:rFonts w:eastAsiaTheme="minorHAnsi" w:cstheme="minorBidi"/>
                <w:snapToGrid/>
                <w:color w:val="000000" w:themeColor="dark1"/>
                <w:sz w:val="24"/>
                <w:szCs w:val="24"/>
                <w:lang w:eastAsia="en-US" w:bidi="ar-SA"/>
              </w:rPr>
              <w:t>ORR</w:t>
            </w:r>
          </w:p>
        </w:tc>
        <w:tc>
          <w:tcPr>
            <w:tcW w:w="1596" w:type="dxa"/>
            <w:hideMark/>
          </w:tcPr>
          <w:p w14:paraId="4D7C09E7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77.8%</w:t>
            </w:r>
          </w:p>
        </w:tc>
        <w:tc>
          <w:tcPr>
            <w:tcW w:w="1596" w:type="dxa"/>
            <w:hideMark/>
          </w:tcPr>
          <w:p w14:paraId="2A94C1C7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64.4%</w:t>
            </w:r>
          </w:p>
        </w:tc>
        <w:tc>
          <w:tcPr>
            <w:tcW w:w="1596" w:type="dxa"/>
            <w:hideMark/>
          </w:tcPr>
          <w:p w14:paraId="27DAC77C" w14:textId="77777777" w:rsidR="00E87E9D" w:rsidRPr="00530A37" w:rsidRDefault="00E87E9D" w:rsidP="000439B5">
            <w:pPr>
              <w:pStyle w:val="MDPI42tablebody"/>
              <w:rPr>
                <w:rFonts w:eastAsiaTheme="minorHAnsi" w:cs="Arial"/>
                <w:snapToGrid/>
                <w:color w:val="auto"/>
                <w:sz w:val="24"/>
                <w:szCs w:val="24"/>
              </w:rPr>
            </w:pPr>
            <w:r w:rsidRPr="00530A37">
              <w:rPr>
                <w:rFonts w:eastAsiaTheme="minorHAnsi"/>
                <w:snapToGrid/>
                <w:color w:val="000000" w:themeColor="dark1"/>
                <w:sz w:val="24"/>
                <w:szCs w:val="24"/>
              </w:rPr>
              <w:t>76.2%</w:t>
            </w:r>
          </w:p>
        </w:tc>
      </w:tr>
    </w:tbl>
    <w:p w14:paraId="676B78F9" w14:textId="77777777" w:rsidR="00E87E9D" w:rsidRDefault="00E87E9D" w:rsidP="00E87E9D">
      <w:pPr>
        <w:pStyle w:val="MDPI71References"/>
        <w:numPr>
          <w:ilvl w:val="0"/>
          <w:numId w:val="0"/>
        </w:numPr>
        <w:rPr>
          <w:b/>
          <w:bCs/>
        </w:rPr>
      </w:pPr>
    </w:p>
    <w:p w14:paraId="210CD4CE" w14:textId="77777777" w:rsidR="00E87E9D" w:rsidRDefault="00E87E9D" w:rsidP="00E87E9D">
      <w:pPr>
        <w:pStyle w:val="MDPI71References"/>
        <w:numPr>
          <w:ilvl w:val="0"/>
          <w:numId w:val="0"/>
        </w:numPr>
        <w:rPr>
          <w:b/>
          <w:bCs/>
        </w:rPr>
      </w:pPr>
    </w:p>
    <w:p w14:paraId="044CAF57" w14:textId="77777777" w:rsidR="00E87E9D" w:rsidRDefault="00E87E9D" w:rsidP="00E87E9D">
      <w:pPr>
        <w:pStyle w:val="MDPI71References"/>
        <w:numPr>
          <w:ilvl w:val="0"/>
          <w:numId w:val="0"/>
        </w:numPr>
        <w:rPr>
          <w:b/>
          <w:bCs/>
        </w:rPr>
      </w:pPr>
    </w:p>
    <w:p w14:paraId="0CEF618B" w14:textId="77777777" w:rsidR="00E87E9D" w:rsidRDefault="00E87E9D" w:rsidP="00E87E9D">
      <w:pPr>
        <w:pStyle w:val="MDPI71References"/>
        <w:numPr>
          <w:ilvl w:val="0"/>
          <w:numId w:val="0"/>
        </w:numPr>
        <w:rPr>
          <w:b/>
          <w:bCs/>
        </w:rPr>
      </w:pPr>
    </w:p>
    <w:p w14:paraId="567DC92B" w14:textId="77777777" w:rsidR="00E87E9D" w:rsidRDefault="00E87E9D" w:rsidP="00E87E9D">
      <w:pPr>
        <w:pStyle w:val="MDPI71References"/>
        <w:numPr>
          <w:ilvl w:val="0"/>
          <w:numId w:val="0"/>
        </w:numPr>
        <w:rPr>
          <w:b/>
          <w:bCs/>
        </w:rPr>
      </w:pPr>
    </w:p>
    <w:p w14:paraId="329B4EE3" w14:textId="77777777" w:rsidR="00E87E9D" w:rsidRPr="008900C7" w:rsidRDefault="00E87E9D" w:rsidP="00E87E9D">
      <w:pPr>
        <w:pStyle w:val="MDPI71References"/>
        <w:numPr>
          <w:ilvl w:val="0"/>
          <w:numId w:val="0"/>
        </w:numPr>
        <w:rPr>
          <w:b/>
          <w:bCs/>
          <w:sz w:val="20"/>
          <w:szCs w:val="22"/>
        </w:rPr>
      </w:pPr>
    </w:p>
    <w:p w14:paraId="0B2E3342" w14:textId="77777777" w:rsidR="00E87E9D" w:rsidRDefault="00E87E9D" w:rsidP="00E87E9D">
      <w:pPr>
        <w:pStyle w:val="MDPI51figurecaption"/>
        <w:ind w:left="0"/>
        <w:rPr>
          <w:rFonts w:ascii="Calibri" w:hAnsi="Calibri" w:cs="Calibri"/>
        </w:rPr>
      </w:pPr>
    </w:p>
    <w:p w14:paraId="7118F394" w14:textId="77777777" w:rsidR="00992C20" w:rsidRDefault="00992C20"/>
    <w:sectPr w:rsidR="00992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E9D"/>
    <w:rsid w:val="001C3E27"/>
    <w:rsid w:val="00992C20"/>
    <w:rsid w:val="00E87E9D"/>
    <w:rsid w:val="00FD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603CB"/>
  <w15:chartTrackingRefBased/>
  <w15:docId w15:val="{A0D098BF-25CE-445B-A551-65B03BE0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E9D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D5129"/>
    <w:pPr>
      <w:keepNext/>
      <w:keepLines/>
      <w:spacing w:before="480" w:line="276" w:lineRule="auto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129"/>
    <w:rPr>
      <w:rFonts w:ascii="Times New Roman" w:eastAsiaTheme="majorEastAsia" w:hAnsi="Times New Roman" w:cstheme="majorBidi"/>
      <w:b/>
      <w:bCs/>
      <w:szCs w:val="28"/>
    </w:rPr>
  </w:style>
  <w:style w:type="paragraph" w:styleId="NoSpacing">
    <w:name w:val="No Spacing"/>
    <w:uiPriority w:val="1"/>
    <w:qFormat/>
    <w:rsid w:val="00E87E9D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table" w:customStyle="1" w:styleId="Mdeck5tablebodythreelines">
    <w:name w:val="M_deck_5_table_body_three_lines"/>
    <w:basedOn w:val="TableNormal"/>
    <w:uiPriority w:val="99"/>
    <w:rsid w:val="00E87E9D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42tablebody">
    <w:name w:val="MDPI_4.2_table_body"/>
    <w:qFormat/>
    <w:rsid w:val="00E87E9D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51figurecaption">
    <w:name w:val="MDPI_5.1_figure_caption"/>
    <w:qFormat/>
    <w:rsid w:val="00E87E9D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71References">
    <w:name w:val="MDPI_7.1_References"/>
    <w:qFormat/>
    <w:rsid w:val="00E87E9D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6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emf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23E87AD6AAA41B944EC8D8EFFC120" ma:contentTypeVersion="13" ma:contentTypeDescription="Create a new document." ma:contentTypeScope="" ma:versionID="52d3beac969395cf820dcb722736e5e8">
  <xsd:schema xmlns:xsd="http://www.w3.org/2001/XMLSchema" xmlns:xs="http://www.w3.org/2001/XMLSchema" xmlns:p="http://schemas.microsoft.com/office/2006/metadata/properties" xmlns:ns2="199ef553-adf7-4ef5-afa7-948ade836699" xmlns:ns3="bbdacbc2-5bfd-4e30-9cb4-cf9f054e4950" targetNamespace="http://schemas.microsoft.com/office/2006/metadata/properties" ma:root="true" ma:fieldsID="4a4f6af74d9951ca87f00b4efa4fbac2" ns2:_="" ns3:_="">
    <xsd:import namespace="199ef553-adf7-4ef5-afa7-948ade836699"/>
    <xsd:import namespace="bbdacbc2-5bfd-4e30-9cb4-cf9f054e49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ef553-adf7-4ef5-afa7-948ade8366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acbc2-5bfd-4e30-9cb4-cf9f054e495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05583-4B0D-48E9-8CEE-5BB69A9DC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ef553-adf7-4ef5-afa7-948ade836699"/>
    <ds:schemaRef ds:uri="bbdacbc2-5bfd-4e30-9cb4-cf9f054e4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B7CC4C-778E-4152-BDCD-44136A3110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7D5F77-B9E3-4631-8A17-3CDBB5483D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G. Varga, PhD</dc:creator>
  <cp:keywords/>
  <dc:description/>
  <cp:lastModifiedBy>Jain, Amit</cp:lastModifiedBy>
  <cp:revision>2</cp:revision>
  <dcterms:created xsi:type="dcterms:W3CDTF">2021-12-16T16:44:00Z</dcterms:created>
  <dcterms:modified xsi:type="dcterms:W3CDTF">2022-03-02T22:22:00Z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0x010100BBE23E87AD6AAA41B944EC8D8EFFC120</vt:lpwstr>
  </property>
</Properties>
</file>