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112" w:rsidRPr="00C542D8" w:rsidRDefault="00F73112" w:rsidP="00F73112">
      <w:pPr>
        <w:jc w:val="both"/>
        <w:rPr>
          <w:rFonts w:ascii="Times New Roman" w:hAnsi="Times New Roman" w:cs="Times New Roman"/>
          <w:b/>
          <w:sz w:val="24"/>
          <w:szCs w:val="24"/>
          <w:lang w:val="en-US"/>
        </w:rPr>
      </w:pPr>
      <w:r w:rsidRPr="00C542D8">
        <w:rPr>
          <w:rFonts w:ascii="Times New Roman" w:hAnsi="Times New Roman" w:cs="Times New Roman"/>
          <w:b/>
          <w:sz w:val="24"/>
          <w:szCs w:val="24"/>
          <w:lang w:val="en-US"/>
        </w:rPr>
        <w:t>LIFE STYLE AND INTERACTION WITH MICROBIOTA IN PROSTATE CANCER PATIENTS UNDERGOING RADIOTHERAPY: STUDY PROTOCOL FOR A RANDOMIZED CONTROLLED TRIAL</w:t>
      </w:r>
    </w:p>
    <w:p w:rsidR="00A3091B" w:rsidRDefault="00A3091B" w:rsidP="00A3091B">
      <w:pPr>
        <w:spacing w:before="120" w:after="0" w:line="360" w:lineRule="auto"/>
        <w:jc w:val="both"/>
        <w:rPr>
          <w:rFonts w:ascii="Times New Roman" w:hAnsi="Times New Roman" w:cs="Times New Roman"/>
          <w:sz w:val="24"/>
          <w:szCs w:val="24"/>
        </w:rPr>
      </w:pPr>
      <w:r w:rsidRPr="00866380">
        <w:rPr>
          <w:rFonts w:ascii="Times New Roman" w:hAnsi="Times New Roman" w:cs="Times New Roman"/>
          <w:sz w:val="24"/>
          <w:szCs w:val="24"/>
        </w:rPr>
        <w:t>Patrizia Gnagnarella</w:t>
      </w:r>
      <w:r w:rsidRPr="00866380">
        <w:rPr>
          <w:rFonts w:ascii="Times New Roman" w:hAnsi="Times New Roman" w:cs="Times New Roman"/>
          <w:sz w:val="24"/>
          <w:szCs w:val="24"/>
          <w:vertAlign w:val="superscript"/>
        </w:rPr>
        <w:t>1</w:t>
      </w:r>
      <w:r w:rsidRPr="00866380">
        <w:rPr>
          <w:rFonts w:ascii="Times New Roman" w:hAnsi="Times New Roman" w:cs="Times New Roman"/>
          <w:sz w:val="24"/>
          <w:szCs w:val="24"/>
        </w:rPr>
        <w:t>^</w:t>
      </w:r>
      <w:r w:rsidRPr="0059741D">
        <w:rPr>
          <w:rFonts w:ascii="Times New Roman" w:hAnsi="Times New Roman" w:cs="Times New Roman"/>
          <w:sz w:val="24"/>
          <w:szCs w:val="24"/>
          <w:vertAlign w:val="superscript"/>
        </w:rPr>
        <w:t>§</w:t>
      </w:r>
      <w:r w:rsidRPr="00866380">
        <w:rPr>
          <w:rFonts w:ascii="Times New Roman" w:hAnsi="Times New Roman" w:cs="Times New Roman"/>
          <w:sz w:val="24"/>
          <w:szCs w:val="24"/>
        </w:rPr>
        <w:t>, Giulia Marvaso</w:t>
      </w:r>
      <w:r w:rsidRPr="00866380">
        <w:rPr>
          <w:rFonts w:ascii="Times New Roman" w:hAnsi="Times New Roman" w:cs="Times New Roman"/>
          <w:sz w:val="24"/>
          <w:szCs w:val="24"/>
          <w:vertAlign w:val="superscript"/>
        </w:rPr>
        <w:t>2</w:t>
      </w:r>
      <w:r>
        <w:rPr>
          <w:rFonts w:ascii="Times New Roman" w:hAnsi="Times New Roman" w:cs="Times New Roman"/>
          <w:sz w:val="24"/>
          <w:szCs w:val="24"/>
          <w:vertAlign w:val="superscript"/>
        </w:rPr>
        <w:t>,3</w:t>
      </w:r>
      <w:r w:rsidRPr="00D60A8D">
        <w:rPr>
          <w:rFonts w:ascii="Times New Roman" w:hAnsi="Times New Roman" w:cs="Times New Roman"/>
          <w:sz w:val="24"/>
          <w:szCs w:val="24"/>
          <w:vertAlign w:val="superscript"/>
        </w:rPr>
        <w:t>§</w:t>
      </w:r>
      <w:r w:rsidRPr="00866380">
        <w:rPr>
          <w:rFonts w:ascii="Times New Roman" w:hAnsi="Times New Roman" w:cs="Times New Roman"/>
          <w:sz w:val="24"/>
          <w:szCs w:val="24"/>
        </w:rPr>
        <w:t>, Barbara Alicja</w:t>
      </w:r>
      <w:r>
        <w:rPr>
          <w:rFonts w:ascii="Times New Roman" w:hAnsi="Times New Roman" w:cs="Times New Roman"/>
          <w:sz w:val="24"/>
          <w:szCs w:val="24"/>
        </w:rPr>
        <w:t xml:space="preserve"> Jereczek-Fossa</w:t>
      </w:r>
      <w:r w:rsidRPr="00866380">
        <w:rPr>
          <w:rFonts w:ascii="Times New Roman" w:hAnsi="Times New Roman" w:cs="Times New Roman"/>
          <w:sz w:val="24"/>
          <w:szCs w:val="24"/>
          <w:vertAlign w:val="superscript"/>
        </w:rPr>
        <w:t>2,3</w:t>
      </w:r>
      <w:r w:rsidRPr="00866380">
        <w:rPr>
          <w:rFonts w:ascii="Times New Roman" w:hAnsi="Times New Roman" w:cs="Times New Roman"/>
          <w:sz w:val="24"/>
          <w:szCs w:val="24"/>
        </w:rPr>
        <w:t>,</w:t>
      </w:r>
      <w:r>
        <w:rPr>
          <w:rFonts w:ascii="Times New Roman" w:hAnsi="Times New Roman" w:cs="Times New Roman"/>
          <w:sz w:val="24"/>
          <w:szCs w:val="24"/>
          <w:vertAlign w:val="superscript"/>
        </w:rPr>
        <w:t xml:space="preserve"> </w:t>
      </w:r>
      <w:r w:rsidRPr="00866380">
        <w:rPr>
          <w:rFonts w:ascii="Times New Roman" w:hAnsi="Times New Roman" w:cs="Times New Roman"/>
          <w:sz w:val="24"/>
          <w:szCs w:val="24"/>
        </w:rPr>
        <w:t>Ottavio de Cobelli</w:t>
      </w:r>
      <w:r>
        <w:rPr>
          <w:rFonts w:ascii="Times New Roman" w:hAnsi="Times New Roman" w:cs="Times New Roman"/>
          <w:sz w:val="24"/>
          <w:szCs w:val="24"/>
          <w:vertAlign w:val="superscript"/>
        </w:rPr>
        <w:t>3-4</w:t>
      </w:r>
      <w:r w:rsidRPr="00866380">
        <w:rPr>
          <w:rFonts w:ascii="Times New Roman" w:hAnsi="Times New Roman" w:cs="Times New Roman"/>
          <w:sz w:val="24"/>
          <w:szCs w:val="24"/>
        </w:rPr>
        <w:t>, Maria Claudia Simoncini</w:t>
      </w:r>
      <w:r w:rsidRPr="00866380">
        <w:rPr>
          <w:rFonts w:ascii="Times New Roman" w:hAnsi="Times New Roman" w:cs="Times New Roman"/>
          <w:sz w:val="24"/>
          <w:szCs w:val="24"/>
          <w:vertAlign w:val="superscript"/>
        </w:rPr>
        <w:t>5</w:t>
      </w:r>
      <w:r w:rsidRPr="00866380">
        <w:rPr>
          <w:rFonts w:ascii="Times New Roman" w:hAnsi="Times New Roman" w:cs="Times New Roman"/>
          <w:sz w:val="24"/>
          <w:szCs w:val="24"/>
        </w:rPr>
        <w:t>, Luiz Felipe Nevola Teixeira</w:t>
      </w:r>
      <w:r w:rsidRPr="00866380">
        <w:rPr>
          <w:rFonts w:ascii="Times New Roman" w:hAnsi="Times New Roman" w:cs="Times New Roman"/>
          <w:sz w:val="24"/>
          <w:szCs w:val="24"/>
          <w:vertAlign w:val="superscript"/>
        </w:rPr>
        <w:t>5</w:t>
      </w:r>
      <w:r w:rsidRPr="00866380">
        <w:rPr>
          <w:rFonts w:ascii="Times New Roman" w:hAnsi="Times New Roman" w:cs="Times New Roman"/>
          <w:sz w:val="24"/>
          <w:szCs w:val="24"/>
        </w:rPr>
        <w:t>, Annarita Sabbatini</w:t>
      </w:r>
      <w:r w:rsidRPr="00866380">
        <w:rPr>
          <w:rFonts w:ascii="Times New Roman" w:hAnsi="Times New Roman" w:cs="Times New Roman"/>
          <w:sz w:val="24"/>
          <w:szCs w:val="24"/>
          <w:vertAlign w:val="superscript"/>
        </w:rPr>
        <w:t>6</w:t>
      </w:r>
      <w:r w:rsidRPr="00866380">
        <w:rPr>
          <w:rFonts w:ascii="Times New Roman" w:hAnsi="Times New Roman" w:cs="Times New Roman"/>
          <w:sz w:val="24"/>
          <w:szCs w:val="24"/>
        </w:rPr>
        <w:t>, Gabriella Pravettoni</w:t>
      </w:r>
      <w:r>
        <w:rPr>
          <w:rFonts w:ascii="Times New Roman" w:hAnsi="Times New Roman" w:cs="Times New Roman"/>
          <w:sz w:val="24"/>
          <w:szCs w:val="24"/>
          <w:vertAlign w:val="superscript"/>
        </w:rPr>
        <w:t>3</w:t>
      </w:r>
      <w:r w:rsidRPr="00866380">
        <w:rPr>
          <w:rFonts w:ascii="Times New Roman" w:hAnsi="Times New Roman" w:cs="Times New Roman"/>
          <w:sz w:val="24"/>
          <w:szCs w:val="24"/>
          <w:vertAlign w:val="superscript"/>
        </w:rPr>
        <w:t>,</w:t>
      </w:r>
      <w:r>
        <w:rPr>
          <w:rFonts w:ascii="Times New Roman" w:hAnsi="Times New Roman" w:cs="Times New Roman"/>
          <w:sz w:val="24"/>
          <w:szCs w:val="24"/>
          <w:vertAlign w:val="superscript"/>
        </w:rPr>
        <w:t>7</w:t>
      </w:r>
      <w:r w:rsidRPr="00866380">
        <w:rPr>
          <w:rFonts w:ascii="Times New Roman" w:hAnsi="Times New Roman" w:cs="Times New Roman"/>
          <w:sz w:val="24"/>
          <w:szCs w:val="24"/>
        </w:rPr>
        <w:t>,</w:t>
      </w:r>
      <w:r w:rsidRPr="00866380">
        <w:rPr>
          <w:rFonts w:ascii="Times New Roman" w:hAnsi="Times New Roman" w:cs="Times New Roman"/>
          <w:sz w:val="24"/>
          <w:szCs w:val="24"/>
          <w:vertAlign w:val="superscript"/>
        </w:rPr>
        <w:t xml:space="preserve"> </w:t>
      </w:r>
      <w:r w:rsidRPr="00866380">
        <w:rPr>
          <w:rFonts w:ascii="Times New Roman" w:hAnsi="Times New Roman" w:cs="Times New Roman"/>
          <w:sz w:val="24"/>
          <w:szCs w:val="24"/>
        </w:rPr>
        <w:t>Harriet Johansson</w:t>
      </w:r>
      <w:r>
        <w:rPr>
          <w:rFonts w:ascii="Times New Roman" w:hAnsi="Times New Roman" w:cs="Times New Roman"/>
          <w:sz w:val="24"/>
          <w:szCs w:val="24"/>
          <w:vertAlign w:val="superscript"/>
        </w:rPr>
        <w:t>8</w:t>
      </w:r>
      <w:r w:rsidRPr="00866380">
        <w:rPr>
          <w:rFonts w:ascii="Times New Roman" w:hAnsi="Times New Roman" w:cs="Times New Roman"/>
          <w:sz w:val="24"/>
          <w:szCs w:val="24"/>
        </w:rPr>
        <w:t>, Luigi Nezi</w:t>
      </w:r>
      <w:r>
        <w:rPr>
          <w:rFonts w:ascii="Times New Roman" w:hAnsi="Times New Roman" w:cs="Times New Roman"/>
          <w:sz w:val="24"/>
          <w:szCs w:val="24"/>
          <w:vertAlign w:val="superscript"/>
        </w:rPr>
        <w:t>9</w:t>
      </w:r>
      <w:r w:rsidRPr="00866380">
        <w:rPr>
          <w:rFonts w:ascii="Times New Roman" w:hAnsi="Times New Roman" w:cs="Times New Roman"/>
          <w:sz w:val="24"/>
          <w:szCs w:val="24"/>
        </w:rPr>
        <w:t>, Paolo Muto</w:t>
      </w:r>
      <w:r w:rsidRPr="00866380">
        <w:rPr>
          <w:rFonts w:ascii="Times New Roman" w:hAnsi="Times New Roman" w:cs="Times New Roman"/>
          <w:sz w:val="24"/>
          <w:szCs w:val="24"/>
          <w:vertAlign w:val="superscript"/>
        </w:rPr>
        <w:t>1</w:t>
      </w:r>
      <w:r>
        <w:rPr>
          <w:rFonts w:ascii="Times New Roman" w:hAnsi="Times New Roman" w:cs="Times New Roman"/>
          <w:sz w:val="24"/>
          <w:szCs w:val="24"/>
          <w:vertAlign w:val="superscript"/>
        </w:rPr>
        <w:t>0</w:t>
      </w:r>
      <w:r w:rsidRPr="00866380">
        <w:rPr>
          <w:rFonts w:ascii="Times New Roman" w:hAnsi="Times New Roman" w:cs="Times New Roman"/>
          <w:sz w:val="24"/>
          <w:szCs w:val="24"/>
        </w:rPr>
        <w:t>, Valentina Borzillo</w:t>
      </w:r>
      <w:r w:rsidRPr="00866380">
        <w:rPr>
          <w:rFonts w:ascii="Times New Roman" w:hAnsi="Times New Roman" w:cs="Times New Roman"/>
          <w:sz w:val="24"/>
          <w:szCs w:val="24"/>
          <w:vertAlign w:val="superscript"/>
        </w:rPr>
        <w:t>1</w:t>
      </w:r>
      <w:r>
        <w:rPr>
          <w:rFonts w:ascii="Times New Roman" w:hAnsi="Times New Roman" w:cs="Times New Roman"/>
          <w:sz w:val="24"/>
          <w:szCs w:val="24"/>
          <w:vertAlign w:val="superscript"/>
        </w:rPr>
        <w:t>0</w:t>
      </w:r>
      <w:r w:rsidRPr="00866380">
        <w:rPr>
          <w:rFonts w:ascii="Times New Roman" w:hAnsi="Times New Roman" w:cs="Times New Roman"/>
          <w:sz w:val="24"/>
          <w:szCs w:val="24"/>
        </w:rPr>
        <w:t>, Egidio Celentano</w:t>
      </w:r>
      <w:r w:rsidRPr="00866380">
        <w:rPr>
          <w:rFonts w:ascii="Times New Roman" w:hAnsi="Times New Roman" w:cs="Times New Roman"/>
          <w:sz w:val="24"/>
          <w:szCs w:val="24"/>
          <w:vertAlign w:val="superscript"/>
        </w:rPr>
        <w:t>1</w:t>
      </w:r>
      <w:r>
        <w:rPr>
          <w:rFonts w:ascii="Times New Roman" w:hAnsi="Times New Roman" w:cs="Times New Roman"/>
          <w:sz w:val="24"/>
          <w:szCs w:val="24"/>
          <w:vertAlign w:val="superscript"/>
        </w:rPr>
        <w:t>1</w:t>
      </w:r>
      <w:r w:rsidRPr="00866380">
        <w:rPr>
          <w:rFonts w:ascii="Times New Roman" w:hAnsi="Times New Roman" w:cs="Times New Roman"/>
          <w:sz w:val="24"/>
          <w:szCs w:val="24"/>
        </w:rPr>
        <w:t>, Anna Crispo</w:t>
      </w:r>
      <w:r w:rsidRPr="00866380">
        <w:rPr>
          <w:rFonts w:ascii="Times New Roman" w:hAnsi="Times New Roman" w:cs="Times New Roman"/>
          <w:sz w:val="24"/>
          <w:szCs w:val="24"/>
          <w:vertAlign w:val="superscript"/>
        </w:rPr>
        <w:t>1</w:t>
      </w:r>
      <w:r>
        <w:rPr>
          <w:rFonts w:ascii="Times New Roman" w:hAnsi="Times New Roman" w:cs="Times New Roman"/>
          <w:sz w:val="24"/>
          <w:szCs w:val="24"/>
          <w:vertAlign w:val="superscript"/>
        </w:rPr>
        <w:t>1</w:t>
      </w:r>
      <w:r w:rsidRPr="00866380">
        <w:rPr>
          <w:rFonts w:ascii="Times New Roman" w:hAnsi="Times New Roman" w:cs="Times New Roman"/>
          <w:sz w:val="24"/>
          <w:szCs w:val="24"/>
        </w:rPr>
        <w:t>, Monica Pinto</w:t>
      </w:r>
      <w:r w:rsidRPr="00866380">
        <w:rPr>
          <w:rFonts w:ascii="Times New Roman" w:hAnsi="Times New Roman" w:cs="Times New Roman"/>
          <w:sz w:val="24"/>
          <w:szCs w:val="24"/>
          <w:vertAlign w:val="superscript"/>
        </w:rPr>
        <w:t>1</w:t>
      </w:r>
      <w:r>
        <w:rPr>
          <w:rFonts w:ascii="Times New Roman" w:hAnsi="Times New Roman" w:cs="Times New Roman"/>
          <w:sz w:val="24"/>
          <w:szCs w:val="24"/>
          <w:vertAlign w:val="superscript"/>
        </w:rPr>
        <w:t>2</w:t>
      </w:r>
      <w:r w:rsidRPr="00866380">
        <w:rPr>
          <w:rFonts w:ascii="Times New Roman" w:hAnsi="Times New Roman" w:cs="Times New Roman"/>
          <w:sz w:val="24"/>
          <w:szCs w:val="24"/>
        </w:rPr>
        <w:t>, Ernesta Cavalcanti</w:t>
      </w:r>
      <w:r w:rsidRPr="00866380">
        <w:rPr>
          <w:rFonts w:ascii="Times New Roman" w:hAnsi="Times New Roman" w:cs="Times New Roman"/>
          <w:sz w:val="24"/>
          <w:szCs w:val="24"/>
          <w:vertAlign w:val="superscript"/>
        </w:rPr>
        <w:t>1</w:t>
      </w:r>
      <w:r>
        <w:rPr>
          <w:rFonts w:ascii="Times New Roman" w:hAnsi="Times New Roman" w:cs="Times New Roman"/>
          <w:sz w:val="24"/>
          <w:szCs w:val="24"/>
          <w:vertAlign w:val="superscript"/>
        </w:rPr>
        <w:t>3</w:t>
      </w:r>
      <w:r w:rsidRPr="00866380">
        <w:rPr>
          <w:rFonts w:ascii="Times New Roman" w:hAnsi="Times New Roman" w:cs="Times New Roman"/>
          <w:sz w:val="24"/>
          <w:szCs w:val="24"/>
        </w:rPr>
        <w:t>, Sara Gandini</w:t>
      </w:r>
      <w:r>
        <w:rPr>
          <w:rFonts w:ascii="Times New Roman" w:hAnsi="Times New Roman" w:cs="Times New Roman"/>
          <w:sz w:val="24"/>
          <w:szCs w:val="24"/>
          <w:vertAlign w:val="superscript"/>
        </w:rPr>
        <w:t>9</w:t>
      </w:r>
      <w:r>
        <w:rPr>
          <w:rFonts w:ascii="Times New Roman" w:hAnsi="Times New Roman" w:cs="Times New Roman"/>
          <w:sz w:val="24"/>
          <w:szCs w:val="24"/>
        </w:rPr>
        <w:t xml:space="preserve"> </w:t>
      </w:r>
      <w:r w:rsidRPr="0007750E">
        <w:rPr>
          <w:rFonts w:ascii="Times New Roman" w:hAnsi="Times New Roman" w:cs="Times New Roman"/>
          <w:sz w:val="24"/>
          <w:szCs w:val="24"/>
        </w:rPr>
        <w:t>for the</w:t>
      </w:r>
      <w:r w:rsidRPr="0014592E">
        <w:rPr>
          <w:rFonts w:ascii="Times New Roman" w:hAnsi="Times New Roman" w:cs="Times New Roman"/>
          <w:sz w:val="24"/>
          <w:szCs w:val="24"/>
        </w:rPr>
        <w:t xml:space="preserve"> </w:t>
      </w:r>
      <w:proofErr w:type="spellStart"/>
      <w:r w:rsidRPr="0014592E">
        <w:rPr>
          <w:rFonts w:ascii="Times New Roman" w:hAnsi="Times New Roman" w:cs="Times New Roman"/>
          <w:sz w:val="24"/>
          <w:szCs w:val="24"/>
        </w:rPr>
        <w:t>Mic</w:t>
      </w:r>
      <w:r>
        <w:rPr>
          <w:rFonts w:ascii="Times New Roman" w:hAnsi="Times New Roman" w:cs="Times New Roman"/>
          <w:sz w:val="24"/>
          <w:szCs w:val="24"/>
        </w:rPr>
        <w:t>r</w:t>
      </w:r>
      <w:r w:rsidRPr="0014592E">
        <w:rPr>
          <w:rFonts w:ascii="Times New Roman" w:hAnsi="Times New Roman" w:cs="Times New Roman"/>
          <w:sz w:val="24"/>
          <w:szCs w:val="24"/>
        </w:rPr>
        <w:t>oStyle</w:t>
      </w:r>
      <w:proofErr w:type="spellEnd"/>
      <w:r w:rsidRPr="0014592E">
        <w:rPr>
          <w:rFonts w:ascii="Times New Roman" w:hAnsi="Times New Roman" w:cs="Times New Roman"/>
          <w:sz w:val="24"/>
          <w:szCs w:val="24"/>
        </w:rPr>
        <w:t xml:space="preserve"> Collaborative Group</w:t>
      </w:r>
      <w:r>
        <w:rPr>
          <w:rFonts w:ascii="Times New Roman" w:hAnsi="Times New Roman" w:cs="Times New Roman"/>
          <w:sz w:val="24"/>
          <w:szCs w:val="24"/>
        </w:rPr>
        <w:t>.</w:t>
      </w:r>
    </w:p>
    <w:p w:rsidR="00F73112" w:rsidRPr="00C542D8" w:rsidRDefault="00F73112" w:rsidP="0091610E">
      <w:pPr>
        <w:spacing w:after="0" w:line="360" w:lineRule="auto"/>
        <w:jc w:val="both"/>
        <w:rPr>
          <w:rFonts w:ascii="Times New Roman" w:hAnsi="Times New Roman" w:cs="Times New Roman"/>
          <w:b/>
          <w:sz w:val="24"/>
          <w:szCs w:val="24"/>
        </w:rPr>
      </w:pPr>
      <w:bookmarkStart w:id="0" w:name="_GoBack"/>
      <w:bookmarkEnd w:id="0"/>
    </w:p>
    <w:tbl>
      <w:tblPr>
        <w:tblStyle w:val="Grigliatabella"/>
        <w:tblW w:w="0" w:type="auto"/>
        <w:tblLook w:val="04A0" w:firstRow="1" w:lastRow="0" w:firstColumn="1" w:lastColumn="0" w:noHBand="0" w:noVBand="1"/>
      </w:tblPr>
      <w:tblGrid>
        <w:gridCol w:w="9628"/>
      </w:tblGrid>
      <w:tr w:rsidR="00C055F3" w:rsidRPr="00A3091B" w:rsidTr="00C055F3">
        <w:tc>
          <w:tcPr>
            <w:tcW w:w="9628" w:type="dxa"/>
          </w:tcPr>
          <w:p w:rsidR="00C055F3" w:rsidRPr="00C055F3" w:rsidRDefault="00C055F3" w:rsidP="004D5BC1">
            <w:pPr>
              <w:spacing w:after="0" w:line="360" w:lineRule="auto"/>
              <w:jc w:val="both"/>
              <w:rPr>
                <w:rFonts w:ascii="Times New Roman" w:hAnsi="Times New Roman" w:cs="Times New Roman"/>
                <w:b/>
                <w:sz w:val="24"/>
                <w:szCs w:val="24"/>
                <w:lang w:val="en-US"/>
              </w:rPr>
            </w:pPr>
            <w:r w:rsidRPr="00C055F3">
              <w:rPr>
                <w:rFonts w:ascii="Times New Roman" w:hAnsi="Times New Roman" w:cs="Times New Roman"/>
                <w:b/>
                <w:sz w:val="24"/>
                <w:szCs w:val="24"/>
                <w:lang w:val="en-US"/>
              </w:rPr>
              <w:t>Calculation of the target sample size</w:t>
            </w:r>
          </w:p>
        </w:tc>
      </w:tr>
      <w:tr w:rsidR="00C055F3" w:rsidRPr="00A3091B" w:rsidTr="00FD27EE">
        <w:trPr>
          <w:trHeight w:val="9127"/>
        </w:trPr>
        <w:tc>
          <w:tcPr>
            <w:tcW w:w="9628" w:type="dxa"/>
          </w:tcPr>
          <w:p w:rsidR="00C055F3" w:rsidRPr="00C055F3" w:rsidRDefault="00C055F3" w:rsidP="004D5BC1">
            <w:pPr>
              <w:autoSpaceDE w:val="0"/>
              <w:autoSpaceDN w:val="0"/>
              <w:adjustRightInd w:val="0"/>
              <w:spacing w:after="0" w:line="360" w:lineRule="auto"/>
              <w:jc w:val="both"/>
              <w:rPr>
                <w:rFonts w:ascii="Times New Roman" w:hAnsi="Times New Roman" w:cs="Times New Roman"/>
                <w:sz w:val="24"/>
                <w:szCs w:val="24"/>
                <w:lang w:val="en-US"/>
              </w:rPr>
            </w:pPr>
            <w:r w:rsidRPr="00C055F3">
              <w:rPr>
                <w:rFonts w:ascii="Times New Roman" w:hAnsi="Times New Roman" w:cs="Times New Roman"/>
                <w:sz w:val="24"/>
                <w:szCs w:val="24"/>
                <w:lang w:val="en-US"/>
              </w:rPr>
              <w:t xml:space="preserve">We estimate that about 300 non-metastatic </w:t>
            </w:r>
            <w:proofErr w:type="spellStart"/>
            <w:r w:rsidRPr="00C055F3">
              <w:rPr>
                <w:rFonts w:ascii="Times New Roman" w:hAnsi="Times New Roman" w:cs="Times New Roman"/>
                <w:sz w:val="24"/>
                <w:szCs w:val="24"/>
                <w:lang w:val="en-US"/>
              </w:rPr>
              <w:t>PCa</w:t>
            </w:r>
            <w:proofErr w:type="spellEnd"/>
            <w:r w:rsidRPr="00C055F3">
              <w:rPr>
                <w:rFonts w:ascii="Times New Roman" w:hAnsi="Times New Roman" w:cs="Times New Roman"/>
                <w:sz w:val="24"/>
                <w:szCs w:val="24"/>
                <w:lang w:val="en-US"/>
              </w:rPr>
              <w:t xml:space="preserve"> patients </w:t>
            </w:r>
            <w:proofErr w:type="gramStart"/>
            <w:r w:rsidRPr="00C055F3">
              <w:rPr>
                <w:rFonts w:ascii="Times New Roman" w:hAnsi="Times New Roman" w:cs="Times New Roman"/>
                <w:sz w:val="24"/>
                <w:szCs w:val="24"/>
                <w:lang w:val="en-US"/>
              </w:rPr>
              <w:t>are treated</w:t>
            </w:r>
            <w:proofErr w:type="gramEnd"/>
            <w:r w:rsidRPr="00C055F3">
              <w:rPr>
                <w:rFonts w:ascii="Times New Roman" w:hAnsi="Times New Roman" w:cs="Times New Roman"/>
                <w:sz w:val="24"/>
                <w:szCs w:val="24"/>
                <w:lang w:val="en-US"/>
              </w:rPr>
              <w:t xml:space="preserve"> every year at the two </w:t>
            </w:r>
            <w:proofErr w:type="spellStart"/>
            <w:r w:rsidRPr="00C055F3">
              <w:rPr>
                <w:rFonts w:ascii="Times New Roman" w:hAnsi="Times New Roman" w:cs="Times New Roman"/>
                <w:sz w:val="24"/>
                <w:szCs w:val="24"/>
                <w:lang w:val="en-US"/>
              </w:rPr>
              <w:t>centres</w:t>
            </w:r>
            <w:proofErr w:type="spellEnd"/>
            <w:r w:rsidRPr="00C055F3">
              <w:rPr>
                <w:rFonts w:ascii="Times New Roman" w:hAnsi="Times New Roman" w:cs="Times New Roman"/>
                <w:sz w:val="24"/>
                <w:szCs w:val="24"/>
                <w:lang w:val="en-US"/>
              </w:rPr>
              <w:t>. According to our experience, we expect that approximately one third of the screened patients meets the eligibility criteria and are inclined to participate in intervention studies. The perception is that the trial treatment may offer them the opportunity to control cancer, extending length and quality of life, while obtaining high-quality medical care and follow-up (</w:t>
            </w:r>
            <w:r w:rsidRPr="00C055F3">
              <w:rPr>
                <w:rFonts w:ascii="Times New Roman" w:hAnsi="Times New Roman" w:cs="Times New Roman"/>
                <w:b/>
                <w:sz w:val="24"/>
                <w:szCs w:val="24"/>
                <w:lang w:val="en-US"/>
              </w:rPr>
              <w:t>Figure 2</w:t>
            </w:r>
            <w:r w:rsidRPr="00C055F3">
              <w:rPr>
                <w:rFonts w:ascii="Times New Roman" w:hAnsi="Times New Roman" w:cs="Times New Roman"/>
                <w:sz w:val="24"/>
                <w:szCs w:val="24"/>
                <w:lang w:val="en-US"/>
              </w:rPr>
              <w:t xml:space="preserve">). </w:t>
            </w:r>
          </w:p>
          <w:p w:rsidR="00C055F3" w:rsidRPr="00C055F3" w:rsidRDefault="00C055F3" w:rsidP="004D5BC1">
            <w:pPr>
              <w:autoSpaceDE w:val="0"/>
              <w:autoSpaceDN w:val="0"/>
              <w:adjustRightInd w:val="0"/>
              <w:spacing w:after="0" w:line="360" w:lineRule="auto"/>
              <w:jc w:val="both"/>
              <w:rPr>
                <w:rFonts w:ascii="Times New Roman" w:hAnsi="Times New Roman" w:cs="Times New Roman"/>
                <w:color w:val="000000"/>
                <w:sz w:val="24"/>
                <w:szCs w:val="24"/>
                <w:lang w:val="en-US"/>
              </w:rPr>
            </w:pPr>
            <w:proofErr w:type="gramStart"/>
            <w:r w:rsidRPr="00C055F3">
              <w:rPr>
                <w:rFonts w:ascii="Times New Roman" w:hAnsi="Times New Roman" w:cs="Times New Roman"/>
                <w:color w:val="000000"/>
                <w:sz w:val="24"/>
                <w:szCs w:val="24"/>
                <w:lang w:val="en-US"/>
              </w:rPr>
              <w:t>Considering as main endpoint the percentage of adherent patients (defined as Healthy lifestyle score &gt;4), a sample size of 150 patients per arm will allow us to reach a power of 80% and a 20% difference in the percentage of patients adhering to recommendation, assuming an adherence in the intervention group of 40% under the null hypothesis and 60% in the alternative hypothesis.</w:t>
            </w:r>
            <w:proofErr w:type="gramEnd"/>
            <w:r w:rsidRPr="00C055F3">
              <w:rPr>
                <w:rFonts w:ascii="Times New Roman" w:hAnsi="Times New Roman" w:cs="Times New Roman"/>
                <w:color w:val="000000"/>
                <w:sz w:val="24"/>
                <w:szCs w:val="24"/>
                <w:lang w:val="en-US"/>
              </w:rPr>
              <w:t xml:space="preserve"> The hypotheses in frequency of adherence are based on results found in a previous study in a similar setting </w:t>
            </w:r>
            <w:r w:rsidRPr="00C055F3">
              <w:rPr>
                <w:rFonts w:ascii="Times New Roman" w:hAnsi="Times New Roman" w:cs="Times New Roman"/>
                <w:color w:val="000000"/>
                <w:sz w:val="24"/>
                <w:szCs w:val="24"/>
                <w:lang w:val="en-US"/>
              </w:rPr>
              <w:fldChar w:fldCharType="begin" w:fldLock="1"/>
            </w:r>
            <w:r w:rsidR="00BA6D14">
              <w:rPr>
                <w:rFonts w:ascii="Times New Roman" w:hAnsi="Times New Roman" w:cs="Times New Roman"/>
                <w:color w:val="000000"/>
                <w:sz w:val="24"/>
                <w:szCs w:val="24"/>
                <w:lang w:val="en-US"/>
              </w:rPr>
              <w:instrText>ADDIN CSL_CITATION {"citationItems":[{"id":"ITEM-1","itemData":{"DOI":"10.1158/1055-9965.EPI-14-0322","ISSN":"15387755","PMID":"25017249","abstract":"Background: The World Cancer Research Fund (WCRF) and the American Institute for Cancer Research (AICR) published eight recommendations for cancer prevention, but they are not targeted at prostate cancer prevention. We investigated whether adherence to the WCRF/AICR recommendations and a prostate cancer dietary index is associated with prostate cancer risk. Methods: We conducted a nested case-control study of 1,806 prostate-specific antigen (PSA)-detected prostate cancer cases and 12,005 controls in the ProtecT trial. We developed a prostate cancer dietary index by incorporating three dietary factors most strongly associated with prostate cancer. Scores were computed to quantify adherence to the WCRF/AICR recommendations and the prostate cancer dietary index separately. Results: The prostate cancer dietary index score was associated with decreased risk of prostate cancer [OR per 1 score increment: 0.91; 95% confidence interval (CI): 0.84-0.99; Ptrend = 0.04] but the WCRF/AICR index score was not (OR: 0.99; 95% CI: 0.94-1.05; Ptrend = 0.71). There was no heterogeneity in association by prostate cancer stage (P = 0.81) or grade (P = 0.61). Greater adherence to recommendations to increase plant foods (OR per 0.25 index score increment: 0.94; 95% CI: 0.89-0.99; Ptrend = 0.02) and tomato products (OR adherence vs. nonadherence: 0.82; 95% CI: 0.70-0.97; P = 0.02) was inversely associated with overall prostate cancer risk. Conclusions: Adherence to the prostate cancer-specific dietary recommendations was associated with decreased risk of prostate cancer. High intake of plant foods and tomato products in particularmayhelp protect against prostate cancer. Impact: Meeting the WCRF/AICR recommendations alone is insufficient for prostate cancer prevention. Additional dietary recommendations should be developed.","author":[{"dropping-particle":"","family":"Er","given":"Vanessa","non-dropping-particle":"","parse-names":false,"suffix":""},{"dropping-particle":"","family":"Lane","given":"J. Athene","non-dropping-particle":"","parse-names":false,"suffix":""},{"dropping-particle":"","family":"Martin","given":"Richard M.","non-dropping-particle":"","parse-names":false,"suffix":""},{"dropping-particle":"","family":"Emmett","given":"Pauline","non-dropping-particle":"","parse-names":false,"suffix":""},{"dropping-particle":"","family":"Gilbert","given":"Rebecca","non-dropping-particle":"","parse-names":false,"suffix":""},{"dropping-particle":"","family":"Avery","given":"Kerry N.L.","non-dropping-particle":"","parse-names":false,"suffix":""},{"dropping-particle":"","family":"Walsh","given":"Eleanor","non-dropping-particle":"","parse-names":false,"suffix":""},{"dropping-particle":"","family":"Donovan","given":"Jenny L.","non-dropping-particle":"","parse-names":false,"suffix":""},{"dropping-particle":"","family":"Neal","given":"David E.","non-dropping-particle":"","parse-names":false,"suffix":""},{"dropping-particle":"","family":"Hamdy","given":"Freddie C.","non-dropping-particle":"","parse-names":false,"suffix":""},{"dropping-particle":"","family":"Jeffreys","given":"Mona","non-dropping-particle":"","parse-names":false,"suffix":""}],"container-title":"Cancer Epidemiology Biomarkers and Prevention","id":"ITEM-1","issued":{"date-parts":[["2014"]]},"title":"Adherence to dietary and lifestyle recommendations and prostate cancer risk in the prostate testing for cancer and treatment (ProtecT) trial","type":"article-journal"},"uris":["http://www.mendeley.com/documents/?uuid=3d9b58c0-381b-4987-a474-6217ca6a41cd"]},{"id":"ITEM-2","itemData":{"DOI":"10.1186/s12885-015-1502-8","ISSN":"14712407","PMID":"26148790","abstract":"Background: Little is known about colorectal adenoma patients' ability to adhere to behavioural interventions promoting a change in diet and physical activity. This review aimed to examine health behaviour intervention programmes promoting change in diet and/or physical activity in adenoma patients and characterise interventions to which this patient group are most likely to adhere. Methods: Searches of eight databases were restricted to English language publications 2000-2014. Reference lists of relevant articles were also reviewed. All randomised controlled trials (RCTs) of diet and physical activity interventions in colorectal adenoma patients were included. Eligibility and quality were assessed and data were extracted by two reviewers. Data extraction comprised type, intensity, provider, mode and location of delivery of the intervention and data to enable calculation of four adherence outcomes. Data were subject to narrative analysis. Results: Five RCTs with a total of 1932 participants met the inclusion criteria. Adherence to the goals of the intervention ranged from 18 to 86 % for diet and 13 to 47 % for physical activity. Diet interventions achieving ≥ 50 % adherence to the goals of the intervention were clinic based, grounded in cognitive theory, delivered one to one and encouraged social support. Conclusions: The findings of this review indicate that behavioural interventions can encourage colorectal adenoma patients to improve their diet. This review was not however able to clearly characterise effective interventions promoting increased physical activity in this patient group. Further research is required to establish effective interventions to promote adherence to physical activity in this population.","author":[{"dropping-particle":"","family":"McCahon","given":"Deborah","non-dropping-particle":"","parse-names":false,"suffix":""},{"dropping-particle":"","family":"Daley","given":"Amanda J.","non-dropping-particle":"","parse-names":false,"suffix":""},{"dropping-particle":"","family":"Jones","given":"Janet","non-dropping-particle":"","parse-names":false,"suffix":""},{"dropping-particle":"","family":"Haslop","given":"Richard","non-dropping-particle":"","parse-names":false,"suffix":""},{"dropping-particle":"","family":"Shajpal","given":"Arjun","non-dropping-particle":"","parse-names":false,"suffix":""},{"dropping-particle":"","family":"Taylor","given":"Aliki","non-dropping-particle":"","parse-names":false,"suffix":""},{"dropping-particle":"","family":"Wilson","given":"Sue","non-dropping-particle":"","parse-names":false,"suffix":""},{"dropping-particle":"","family":"Dowswell","given":"George","non-dropping-particle":"","parse-names":false,"suffix":""}],"container-title":"BMC Cancer","id":"ITEM-2","issued":{"date-parts":[["2015"]]},"title":"Enhancing adherence in trials promoting change in diet and physical activity in individuals with a diagnosis of colorectal adenoma; a systematic review of behavioural intervention approaches","type":"article-journal"},"uris":["http://www.mendeley.com/documents/?uuid=ae976722-ce4e-4673-bffe-939988a30b76"]}],"mendeley":{"formattedCitation":"(1,2)","plainTextFormattedCitation":"(1,2)","previouslyFormattedCitation":"(Er et al. 2014; McCahon et al. 2015)"},"properties":{"noteIndex":0},"schema":"https://github.com/citation-style-language/schema/raw/master/csl-citation.json"}</w:instrText>
            </w:r>
            <w:r w:rsidRPr="00C055F3">
              <w:rPr>
                <w:rFonts w:ascii="Times New Roman" w:hAnsi="Times New Roman" w:cs="Times New Roman"/>
                <w:color w:val="000000"/>
                <w:sz w:val="24"/>
                <w:szCs w:val="24"/>
                <w:lang w:val="en-US"/>
              </w:rPr>
              <w:fldChar w:fldCharType="separate"/>
            </w:r>
            <w:r w:rsidR="00BA6D14" w:rsidRPr="00BA6D14">
              <w:rPr>
                <w:rFonts w:ascii="Times New Roman" w:hAnsi="Times New Roman" w:cs="Times New Roman"/>
                <w:noProof/>
                <w:color w:val="000000"/>
                <w:sz w:val="24"/>
                <w:szCs w:val="24"/>
                <w:lang w:val="en-US"/>
              </w:rPr>
              <w:t>(1,2)</w:t>
            </w:r>
            <w:r w:rsidRPr="00C055F3">
              <w:rPr>
                <w:rFonts w:ascii="Times New Roman" w:hAnsi="Times New Roman" w:cs="Times New Roman"/>
                <w:color w:val="000000"/>
                <w:sz w:val="24"/>
                <w:szCs w:val="24"/>
                <w:lang w:val="en-US"/>
              </w:rPr>
              <w:fldChar w:fldCharType="end"/>
            </w:r>
            <w:r w:rsidRPr="00C055F3">
              <w:rPr>
                <w:rFonts w:ascii="Times New Roman" w:hAnsi="Times New Roman" w:cs="Times New Roman"/>
                <w:color w:val="000000"/>
                <w:sz w:val="24"/>
                <w:szCs w:val="24"/>
                <w:lang w:val="en-US"/>
              </w:rPr>
              <w:t xml:space="preserve">.The statistical test is a two-sided Z test with 'pooled variance'. The level of significance considered is 0.01 in order to take into account multiple testing for exploratory analyses. </w:t>
            </w:r>
          </w:p>
          <w:p w:rsidR="00C055F3" w:rsidRPr="00C055F3" w:rsidRDefault="00C055F3" w:rsidP="004D5BC1">
            <w:pPr>
              <w:spacing w:after="0" w:line="360" w:lineRule="auto"/>
              <w:jc w:val="both"/>
              <w:rPr>
                <w:rFonts w:ascii="Times New Roman" w:hAnsi="Times New Roman" w:cs="Times New Roman"/>
                <w:sz w:val="24"/>
                <w:szCs w:val="24"/>
                <w:lang w:val="en-US"/>
              </w:rPr>
            </w:pPr>
            <w:r w:rsidRPr="00C055F3">
              <w:rPr>
                <w:rFonts w:ascii="Times New Roman" w:hAnsi="Times New Roman" w:cs="Times New Roman"/>
                <w:color w:val="000000"/>
                <w:sz w:val="24"/>
                <w:szCs w:val="24"/>
                <w:lang w:val="en-US"/>
              </w:rPr>
              <w:t xml:space="preserve">The score of adherence will be computed using BMI, physical activity and food consumptions, according to the standardized system </w:t>
            </w:r>
            <w:r w:rsidRPr="00C055F3">
              <w:rPr>
                <w:rFonts w:ascii="Times New Roman" w:hAnsi="Times New Roman" w:cs="Times New Roman"/>
                <w:color w:val="000000"/>
                <w:sz w:val="24"/>
                <w:szCs w:val="24"/>
                <w:lang w:val="en-US"/>
              </w:rPr>
              <w:fldChar w:fldCharType="begin" w:fldLock="1"/>
            </w:r>
            <w:r w:rsidR="00BA6D14">
              <w:rPr>
                <w:rFonts w:ascii="Times New Roman" w:hAnsi="Times New Roman" w:cs="Times New Roman"/>
                <w:color w:val="000000"/>
                <w:sz w:val="24"/>
                <w:szCs w:val="24"/>
                <w:lang w:val="en-US"/>
              </w:rPr>
              <w:instrText>ADDIN CSL_CITATION {"citationItems":[{"id":"ITEM-1","itemData":{"DOI":"10.3390/nu11071572","ISSN":"20726643","PMID":"31336836","abstract":"Background: Following the publication of the 2018World Cancer Research Fund (WCRF) and American Institute for Cancer Research (AICR) Third Expert Report, a collaborative group was formed to develop a standardized scoring system and provide guidance for research applications. Methods: The 2018 WCRF/AICR Cancer Prevention Recommendations, goals, and statements of advice were examined to define components of the new Score. Cut-points for scoring were based on quantitative guidance in the 2018 Recommendations and other guidelines, past research that operationalized 2007 WCRF/AICR Recommendations, and advice from the Continuous Update Project Expert Panel. Results: Eight of the ten 2018 WCRF/AICR Recommendations concerning weight, physical activity, diet, and breastfeeding (optional), were selected for inclusion. Each component is worth one point: 1, 0.5, and 0 points for fully, partially, and not meeting each recommendation, respectively (Score: 0 to 7-8 points). Two recommendations on dietary supplement use and for cancer survivors are not included due to operational redundancy. Additional guidance stresses the importance of accounting for other risk factors (e.g., smoking) in relevant models. Conclusions: The proposed 2018 WCRF/AICR Score is a practical tool for researchers to examine how adherence to the 2018 WCRF/AICR Recommendations relates to cancer risk and mortality in various adult populations.","author":[{"dropping-particle":"","family":"Shams-White","given":"Marissa M.","non-dropping-particle":"","parse-names":false,"suffix":""},{"dropping-particle":"","family":"Brockton","given":"Nigel T.","non-dropping-particle":"","parse-names":false,"suffix":""},{"dropping-particle":"","family":"Mitrou","given":"Panagiota","non-dropping-particle":"","parse-names":false,"suffix":""},{"dropping-particle":"","family":"Romaguera","given":"Dora","non-dropping-particle":"","parse-names":false,"suffix":""},{"dropping-particle":"","family":"Brown","given":"Susannah","non-dropping-particle":"","parse-names":false,"suffix":""},{"dropping-particle":"","family":"Bender","given":"Alice","non-dropping-particle":"","parse-names":false,"suffix":""},{"dropping-particle":"","family":"Kahle","given":"Lisa L.","non-dropping-particle":"","parse-names":false,"suffix":""},{"dropping-particle":"","family":"Reedy","given":"Jill","non-dropping-particle":"","parse-names":false,"suffix":""}],"container-title":"Nutrients","id":"ITEM-1","issued":{"date-parts":[["2019"]]},"title":"Operationalizing the 2018 world cancer research fund/american institute for cancer research (WCRF/AICR) cancer prevention recommendations: A standardized scoring system","type":"article-journal"},"uris":["http://www.mendeley.com/documents/?uuid=92b7bbf3-e20b-48d6-9347-c38237b2d6ce"]}],"mendeley":{"formattedCitation":"(3)","plainTextFormattedCitation":"(3)","previouslyFormattedCitation":"(Shams-White et al. 2019)"},"properties":{"noteIndex":0},"schema":"https://github.com/citation-style-language/schema/raw/master/csl-citation.json"}</w:instrText>
            </w:r>
            <w:r w:rsidRPr="00C055F3">
              <w:rPr>
                <w:rFonts w:ascii="Times New Roman" w:hAnsi="Times New Roman" w:cs="Times New Roman"/>
                <w:color w:val="000000"/>
                <w:sz w:val="24"/>
                <w:szCs w:val="24"/>
                <w:lang w:val="en-US"/>
              </w:rPr>
              <w:fldChar w:fldCharType="separate"/>
            </w:r>
            <w:r w:rsidR="00BA6D14" w:rsidRPr="00BA6D14">
              <w:rPr>
                <w:rFonts w:ascii="Times New Roman" w:hAnsi="Times New Roman" w:cs="Times New Roman"/>
                <w:noProof/>
                <w:color w:val="000000"/>
                <w:sz w:val="24"/>
                <w:szCs w:val="24"/>
                <w:lang w:val="en-US"/>
              </w:rPr>
              <w:t>(3)</w:t>
            </w:r>
            <w:r w:rsidRPr="00C055F3">
              <w:rPr>
                <w:rFonts w:ascii="Times New Roman" w:hAnsi="Times New Roman" w:cs="Times New Roman"/>
                <w:color w:val="000000"/>
                <w:sz w:val="24"/>
                <w:szCs w:val="24"/>
                <w:lang w:val="en-US"/>
              </w:rPr>
              <w:fldChar w:fldCharType="end"/>
            </w:r>
            <w:r w:rsidRPr="00C055F3">
              <w:rPr>
                <w:rFonts w:ascii="Times New Roman" w:hAnsi="Times New Roman" w:cs="Times New Roman"/>
                <w:color w:val="000000"/>
                <w:sz w:val="24"/>
                <w:szCs w:val="24"/>
                <w:lang w:val="en-US"/>
              </w:rPr>
              <w:t xml:space="preserve">. Briefly, WCRF recommendations </w:t>
            </w:r>
            <w:r w:rsidRPr="00C055F3">
              <w:rPr>
                <w:rFonts w:ascii="Times New Roman" w:hAnsi="Times New Roman" w:cs="Times New Roman"/>
                <w:color w:val="000000"/>
                <w:sz w:val="24"/>
                <w:szCs w:val="24"/>
                <w:lang w:val="en-US"/>
              </w:rPr>
              <w:fldChar w:fldCharType="begin" w:fldLock="1"/>
            </w:r>
            <w:r w:rsidR="00BA6D14">
              <w:rPr>
                <w:rFonts w:ascii="Times New Roman" w:hAnsi="Times New Roman" w:cs="Times New Roman"/>
                <w:color w:val="000000"/>
                <w:sz w:val="24"/>
                <w:szCs w:val="24"/>
                <w:lang w:val="en-US"/>
              </w:rPr>
              <w:instrText>ADDIN CSL_CITATION {"citationItems":[{"id":"ITEM-1","itemData":{"ISBN":"9781912259465","ISSN":"03044238","abstract":"A recent Foresight project report analyzes technological and policy priorities for meeting future challenges of infectious diseases affecting humans, plants, and animals. Infectious diseases account for a quarter of all human mortality and a similar fraction of morbidity (1). Infectious diseases of crops and livestock cost the global economy uncounted billions of euros every year. On top of this, sudden epidemics of infectious dis-eases can deliver humanitarian and economic shocks on a scale difficult to absorb. Ac-cording to the World Bank, the 2003 severe acute respiratory syndrome (SARS) epi-demic, which killed fewer then 1000 people, was responsible for an estimated 2% fall in gross domestic product (GDP) across East Asia, and an influenza pandemic could kill millions of people and cost € 700 billion (U.S. $900 billion) globally in a single year (2). In recent years, there have been numerous out-breaks of livestock and crop diseases costing individual countries billions of euros, for example, foot-and-mouth disease (FMD) in Taiwan and the United Kingdom; bovine spongiform encephalopathy (BSE) in the United Kingdom; classical swine fever (CSF) in the Netherlands; soybean rust in Brazil; Southern corn leaf blight in the United States; and, most recently, avian influenza in Egypt. The United Nations Millennium Develop-ment Goals, as well as having explicit targets for reducing the burden of human diseases (particularly HIV/AIDS, tuberculosis, and malaria), also have targets for reducing poverty and hunger, but these are compro-mised by crop and livestock diseases. In most developing regions, where the impacts of infectious disease are greatest, there is now little hope of meeting any of the Millennium Development Goals by 2015 (3). Governments and international agencies need a vision of how threats such as infectious diseases are likely to evolve in the future so that they can identify effective science and technology strategies to help meet the chal- lenge. Foresight programs, largely originating in Japan and the USA, were put in place pre-cisely to do this. The U.K.’s Foresight program established a series of cross-disciplinary proj-ects to study selected topics in depth, incorpo-rating two key principles (4). First, the work has to be based on peer-reviewed science pre-sented in a way that is accessible to nonscien-tists, and second, decision-makers and gov-ernment must be engaged from the outset in setting the direction and broad approach of each p…","author":[{"dropping-particle":"","family":"WCRF/ AICR","given":"","non-dropping-particle":"","parse-names":false,"suffix":""}],"container-title":"World Cancer Research Fund International","id":"ITEM-1","issued":{"date-parts":[["2018"]]},"title":"Diet, nutrition, physical activity and cancer: a global perspective: a summary of the Third Expert Report","type":"report"},"uris":["http://www.mendeley.com/documents/?uuid=7e654378-7934-4aa8-8883-e0a7ac1efd93"]}],"mendeley":{"formattedCitation":"(4)","plainTextFormattedCitation":"(4)","previouslyFormattedCitation":"(WCRF/ AICR 2018)"},"properties":{"noteIndex":0},"schema":"https://github.com/citation-style-language/schema/raw/master/csl-citation.json"}</w:instrText>
            </w:r>
            <w:r w:rsidRPr="00C055F3">
              <w:rPr>
                <w:rFonts w:ascii="Times New Roman" w:hAnsi="Times New Roman" w:cs="Times New Roman"/>
                <w:color w:val="000000"/>
                <w:sz w:val="24"/>
                <w:szCs w:val="24"/>
                <w:lang w:val="en-US"/>
              </w:rPr>
              <w:fldChar w:fldCharType="separate"/>
            </w:r>
            <w:r w:rsidR="00BA6D14" w:rsidRPr="00BA6D14">
              <w:rPr>
                <w:rFonts w:ascii="Times New Roman" w:hAnsi="Times New Roman" w:cs="Times New Roman"/>
                <w:noProof/>
                <w:color w:val="000000"/>
                <w:sz w:val="24"/>
                <w:szCs w:val="24"/>
                <w:lang w:val="en-US"/>
              </w:rPr>
              <w:t>(4)</w:t>
            </w:r>
            <w:r w:rsidRPr="00C055F3">
              <w:rPr>
                <w:rFonts w:ascii="Times New Roman" w:hAnsi="Times New Roman" w:cs="Times New Roman"/>
                <w:color w:val="000000"/>
                <w:sz w:val="24"/>
                <w:szCs w:val="24"/>
                <w:lang w:val="en-US"/>
              </w:rPr>
              <w:fldChar w:fldCharType="end"/>
            </w:r>
            <w:r w:rsidRPr="00C055F3">
              <w:rPr>
                <w:rFonts w:ascii="Times New Roman" w:hAnsi="Times New Roman" w:cs="Times New Roman"/>
                <w:color w:val="000000"/>
                <w:sz w:val="24"/>
                <w:szCs w:val="24"/>
                <w:lang w:val="en-US"/>
              </w:rPr>
              <w:t xml:space="preserve"> will be used. They specify that individuals should maintain body weight in the normal range, engage daily physical activity, </w:t>
            </w:r>
            <w:proofErr w:type="gramStart"/>
            <w:r w:rsidRPr="00C055F3">
              <w:rPr>
                <w:rFonts w:ascii="Times New Roman" w:hAnsi="Times New Roman" w:cs="Times New Roman"/>
                <w:color w:val="000000"/>
                <w:sz w:val="24"/>
                <w:szCs w:val="24"/>
                <w:lang w:val="en-US"/>
              </w:rPr>
              <w:t>eat</w:t>
            </w:r>
            <w:proofErr w:type="gramEnd"/>
            <w:r w:rsidRPr="00C055F3">
              <w:rPr>
                <w:rFonts w:ascii="Times New Roman" w:hAnsi="Times New Roman" w:cs="Times New Roman"/>
                <w:color w:val="000000"/>
                <w:sz w:val="24"/>
                <w:szCs w:val="24"/>
                <w:lang w:val="en-US"/>
              </w:rPr>
              <w:t xml:space="preserve"> vegetables every day, limit daily consumption of energy-dense foods, sugary drinks, red meat, and alcohol. The score </w:t>
            </w:r>
            <w:proofErr w:type="gramStart"/>
            <w:r w:rsidRPr="00C055F3">
              <w:rPr>
                <w:rFonts w:ascii="Times New Roman" w:hAnsi="Times New Roman" w:cs="Times New Roman"/>
                <w:color w:val="000000"/>
                <w:sz w:val="24"/>
                <w:szCs w:val="24"/>
                <w:lang w:val="en-US"/>
              </w:rPr>
              <w:t>will be computed</w:t>
            </w:r>
            <w:proofErr w:type="gramEnd"/>
            <w:r w:rsidRPr="00C055F3">
              <w:rPr>
                <w:rFonts w:ascii="Times New Roman" w:hAnsi="Times New Roman" w:cs="Times New Roman"/>
                <w:color w:val="000000"/>
                <w:sz w:val="24"/>
                <w:szCs w:val="24"/>
                <w:lang w:val="en-US"/>
              </w:rPr>
              <w:t xml:space="preserve"> assigning participants a score based on quantitative cutoffs according to information collected during the baseline and the follow-up visits (BMI; level of physical activity; food consumptions). A score of 1, 0.5, and 0 for complete, partial, and non-adherence </w:t>
            </w:r>
            <w:proofErr w:type="gramStart"/>
            <w:r w:rsidRPr="00C055F3">
              <w:rPr>
                <w:rFonts w:ascii="Times New Roman" w:hAnsi="Times New Roman" w:cs="Times New Roman"/>
                <w:color w:val="000000"/>
                <w:sz w:val="24"/>
                <w:szCs w:val="24"/>
                <w:lang w:val="en-US"/>
              </w:rPr>
              <w:t>will be assigned</w:t>
            </w:r>
            <w:proofErr w:type="gramEnd"/>
            <w:r w:rsidRPr="00C055F3">
              <w:rPr>
                <w:rFonts w:ascii="Times New Roman" w:hAnsi="Times New Roman" w:cs="Times New Roman"/>
                <w:color w:val="000000"/>
                <w:sz w:val="24"/>
                <w:szCs w:val="24"/>
                <w:lang w:val="en-US"/>
              </w:rPr>
              <w:t xml:space="preserve"> respectively. The final score will range from 0 (minimal adherence) to 7 (maximal adherence).</w:t>
            </w:r>
          </w:p>
        </w:tc>
      </w:tr>
    </w:tbl>
    <w:p w:rsidR="00C542D8" w:rsidRDefault="00C542D8" w:rsidP="00C542D8">
      <w:pPr>
        <w:spacing w:after="0" w:line="360" w:lineRule="auto"/>
        <w:jc w:val="both"/>
        <w:rPr>
          <w:rFonts w:ascii="Times New Roman" w:hAnsi="Times New Roman" w:cs="Times New Roman"/>
          <w:color w:val="000000"/>
          <w:sz w:val="24"/>
          <w:szCs w:val="24"/>
          <w:lang w:val="en-US"/>
        </w:rPr>
      </w:pPr>
    </w:p>
    <w:p w:rsidR="00C055F3" w:rsidRPr="00C542D8" w:rsidRDefault="00C055F3" w:rsidP="00C542D8">
      <w:pPr>
        <w:spacing w:after="0" w:line="360" w:lineRule="auto"/>
        <w:jc w:val="both"/>
        <w:rPr>
          <w:rFonts w:ascii="Times New Roman" w:hAnsi="Times New Roman" w:cs="Times New Roman"/>
          <w:color w:val="000000"/>
          <w:sz w:val="24"/>
          <w:szCs w:val="24"/>
          <w:lang w:val="en-US"/>
        </w:rPr>
      </w:pPr>
    </w:p>
    <w:tbl>
      <w:tblPr>
        <w:tblStyle w:val="Grigliatabella"/>
        <w:tblW w:w="0" w:type="auto"/>
        <w:tblLook w:val="04A0" w:firstRow="1" w:lastRow="0" w:firstColumn="1" w:lastColumn="0" w:noHBand="0" w:noVBand="1"/>
      </w:tblPr>
      <w:tblGrid>
        <w:gridCol w:w="9628"/>
      </w:tblGrid>
      <w:tr w:rsidR="00C055F3" w:rsidRPr="00C055F3" w:rsidTr="00C055F3">
        <w:tc>
          <w:tcPr>
            <w:tcW w:w="9628" w:type="dxa"/>
          </w:tcPr>
          <w:p w:rsidR="00C055F3" w:rsidRPr="00C055F3" w:rsidRDefault="00C055F3" w:rsidP="00D32EDF">
            <w:pPr>
              <w:spacing w:after="0" w:line="360" w:lineRule="auto"/>
              <w:jc w:val="both"/>
              <w:rPr>
                <w:rFonts w:ascii="Times New Roman" w:hAnsi="Times New Roman" w:cs="Times New Roman"/>
                <w:iCs/>
                <w:sz w:val="24"/>
                <w:szCs w:val="24"/>
                <w:lang w:val="en-US"/>
              </w:rPr>
            </w:pPr>
            <w:r w:rsidRPr="00C055F3">
              <w:rPr>
                <w:rFonts w:ascii="Times New Roman" w:hAnsi="Times New Roman" w:cs="Times New Roman"/>
                <w:b/>
                <w:i/>
                <w:iCs/>
                <w:sz w:val="24"/>
                <w:szCs w:val="24"/>
                <w:lang w:val="en-US"/>
              </w:rPr>
              <w:lastRenderedPageBreak/>
              <w:t>Statistical methods</w:t>
            </w:r>
          </w:p>
        </w:tc>
      </w:tr>
      <w:tr w:rsidR="00C055F3" w:rsidRPr="00A3091B" w:rsidTr="00E92FC1">
        <w:trPr>
          <w:trHeight w:val="13671"/>
        </w:trPr>
        <w:tc>
          <w:tcPr>
            <w:tcW w:w="9628" w:type="dxa"/>
          </w:tcPr>
          <w:p w:rsidR="00C055F3" w:rsidRPr="00C055F3" w:rsidRDefault="00C055F3" w:rsidP="00D32EDF">
            <w:pPr>
              <w:spacing w:after="0" w:line="360" w:lineRule="auto"/>
              <w:jc w:val="both"/>
              <w:rPr>
                <w:rFonts w:ascii="Times New Roman" w:hAnsi="Times New Roman" w:cs="Times New Roman"/>
                <w:iCs/>
                <w:sz w:val="24"/>
                <w:szCs w:val="24"/>
                <w:lang w:val="en-US"/>
              </w:rPr>
            </w:pPr>
            <w:r w:rsidRPr="00C055F3">
              <w:rPr>
                <w:rFonts w:ascii="Times New Roman" w:hAnsi="Times New Roman" w:cs="Times New Roman"/>
                <w:iCs/>
                <w:sz w:val="24"/>
                <w:szCs w:val="24"/>
                <w:lang w:val="en-US"/>
              </w:rPr>
              <w:t xml:space="preserve">In order to describe patients recruited in the study, descriptive statistics (median, range interquartile, minimum e maximum for continuous variables and frequencies for categorical variables) </w:t>
            </w:r>
            <w:proofErr w:type="gramStart"/>
            <w:r w:rsidRPr="00C055F3">
              <w:rPr>
                <w:rFonts w:ascii="Times New Roman" w:hAnsi="Times New Roman" w:cs="Times New Roman"/>
                <w:iCs/>
                <w:sz w:val="24"/>
                <w:szCs w:val="24"/>
                <w:lang w:val="en-US"/>
              </w:rPr>
              <w:t>will be reported</w:t>
            </w:r>
            <w:proofErr w:type="gramEnd"/>
            <w:r w:rsidRPr="00C055F3">
              <w:rPr>
                <w:rFonts w:ascii="Times New Roman" w:hAnsi="Times New Roman" w:cs="Times New Roman"/>
                <w:iCs/>
                <w:sz w:val="24"/>
                <w:szCs w:val="24"/>
                <w:lang w:val="en-US"/>
              </w:rPr>
              <w:t xml:space="preserve"> by initial arm for demographic characteristics, baseline characteristics of the tumor, biochemical values, anamnesis and physical examination. </w:t>
            </w:r>
          </w:p>
          <w:p w:rsidR="00C055F3" w:rsidRPr="00C055F3" w:rsidRDefault="00C055F3" w:rsidP="00D32EDF">
            <w:pPr>
              <w:spacing w:after="0" w:line="360" w:lineRule="auto"/>
              <w:jc w:val="both"/>
              <w:rPr>
                <w:rFonts w:ascii="Times New Roman" w:hAnsi="Times New Roman" w:cs="Times New Roman"/>
                <w:iCs/>
                <w:sz w:val="24"/>
                <w:szCs w:val="24"/>
                <w:lang w:val="en-US"/>
              </w:rPr>
            </w:pPr>
            <w:r w:rsidRPr="00C055F3">
              <w:rPr>
                <w:rFonts w:ascii="Times New Roman" w:hAnsi="Times New Roman" w:cs="Times New Roman"/>
                <w:iCs/>
                <w:sz w:val="24"/>
                <w:szCs w:val="24"/>
                <w:lang w:val="en-US"/>
              </w:rPr>
              <w:t xml:space="preserve">In order to profile microbiome and genomics, we will identify microbial taxa, anywhere on the tree of life, that are over- or under abundant and associated with change in diet and lifestyle. We will use a variety of tools based on log-linear regression models with negative binomial or zero-inflated Gaussian error models when dealing with counts data, and zero-inflated Beta models with relative data. Regression estimates will be FDR-corrected to account for the multiple </w:t>
            </w:r>
            <w:proofErr w:type="gramStart"/>
            <w:r w:rsidRPr="00C055F3">
              <w:rPr>
                <w:rFonts w:ascii="Times New Roman" w:hAnsi="Times New Roman" w:cs="Times New Roman"/>
                <w:iCs/>
                <w:sz w:val="24"/>
                <w:szCs w:val="24"/>
                <w:lang w:val="en-US"/>
              </w:rPr>
              <w:t>hypothesis testing</w:t>
            </w:r>
            <w:proofErr w:type="gramEnd"/>
            <w:r w:rsidRPr="00C055F3">
              <w:rPr>
                <w:rFonts w:ascii="Times New Roman" w:hAnsi="Times New Roman" w:cs="Times New Roman"/>
                <w:iCs/>
                <w:sz w:val="24"/>
                <w:szCs w:val="24"/>
                <w:lang w:val="en-US"/>
              </w:rPr>
              <w:t xml:space="preserve"> problem. Multivariate models </w:t>
            </w:r>
            <w:proofErr w:type="gramStart"/>
            <w:r w:rsidRPr="00C055F3">
              <w:rPr>
                <w:rFonts w:ascii="Times New Roman" w:hAnsi="Times New Roman" w:cs="Times New Roman"/>
                <w:iCs/>
                <w:sz w:val="24"/>
                <w:szCs w:val="24"/>
                <w:lang w:val="en-US"/>
              </w:rPr>
              <w:t>will be used</w:t>
            </w:r>
            <w:proofErr w:type="gramEnd"/>
            <w:r w:rsidRPr="00C055F3">
              <w:rPr>
                <w:rFonts w:ascii="Times New Roman" w:hAnsi="Times New Roman" w:cs="Times New Roman"/>
                <w:iCs/>
                <w:sz w:val="24"/>
                <w:szCs w:val="24"/>
                <w:lang w:val="en-US"/>
              </w:rPr>
              <w:t xml:space="preserve"> to control for confounding effects or to test hypotheses of the microbiome as a mediator between exposures related to lifestyle or diet and health outcomes. Other multivariate approaches, including </w:t>
            </w:r>
            <w:proofErr w:type="spellStart"/>
            <w:r w:rsidRPr="00C055F3">
              <w:rPr>
                <w:rFonts w:ascii="Times New Roman" w:hAnsi="Times New Roman" w:cs="Times New Roman"/>
                <w:iCs/>
                <w:sz w:val="24"/>
                <w:szCs w:val="24"/>
                <w:lang w:val="en-US"/>
              </w:rPr>
              <w:t>PCoA</w:t>
            </w:r>
            <w:proofErr w:type="spellEnd"/>
            <w:r w:rsidRPr="00C055F3">
              <w:rPr>
                <w:rFonts w:ascii="Times New Roman" w:hAnsi="Times New Roman" w:cs="Times New Roman"/>
                <w:iCs/>
                <w:sz w:val="24"/>
                <w:szCs w:val="24"/>
                <w:lang w:val="en-US"/>
              </w:rPr>
              <w:t xml:space="preserve"> and PLS-DA analysis, </w:t>
            </w:r>
            <w:proofErr w:type="gramStart"/>
            <w:r w:rsidRPr="00C055F3">
              <w:rPr>
                <w:rFonts w:ascii="Times New Roman" w:hAnsi="Times New Roman" w:cs="Times New Roman"/>
                <w:iCs/>
                <w:sz w:val="24"/>
                <w:szCs w:val="24"/>
                <w:lang w:val="en-US"/>
              </w:rPr>
              <w:t>will be carried out</w:t>
            </w:r>
            <w:proofErr w:type="gramEnd"/>
            <w:r w:rsidRPr="00C055F3">
              <w:rPr>
                <w:rFonts w:ascii="Times New Roman" w:hAnsi="Times New Roman" w:cs="Times New Roman"/>
                <w:iCs/>
                <w:sz w:val="24"/>
                <w:szCs w:val="24"/>
                <w:lang w:val="en-US"/>
              </w:rPr>
              <w:t xml:space="preserve">. Alpha and Beta-diversity indexes differences </w:t>
            </w:r>
            <w:proofErr w:type="gramStart"/>
            <w:r w:rsidRPr="00C055F3">
              <w:rPr>
                <w:rFonts w:ascii="Times New Roman" w:hAnsi="Times New Roman" w:cs="Times New Roman"/>
                <w:iCs/>
                <w:sz w:val="24"/>
                <w:szCs w:val="24"/>
                <w:lang w:val="en-US"/>
              </w:rPr>
              <w:t>will be compared</w:t>
            </w:r>
            <w:proofErr w:type="gramEnd"/>
            <w:r w:rsidRPr="00C055F3">
              <w:rPr>
                <w:rFonts w:ascii="Times New Roman" w:hAnsi="Times New Roman" w:cs="Times New Roman"/>
                <w:iCs/>
                <w:sz w:val="24"/>
                <w:szCs w:val="24"/>
                <w:lang w:val="en-US"/>
              </w:rPr>
              <w:t xml:space="preserve"> using Wilcoxon rank test. We will employ the Data Integration Analysis for Biomarker Discovery (DIABLO) using Latent Components implementation in the </w:t>
            </w:r>
            <w:proofErr w:type="spellStart"/>
            <w:r w:rsidRPr="00C055F3">
              <w:rPr>
                <w:rFonts w:ascii="Times New Roman" w:hAnsi="Times New Roman" w:cs="Times New Roman"/>
                <w:iCs/>
                <w:sz w:val="24"/>
                <w:szCs w:val="24"/>
                <w:lang w:val="en-US"/>
              </w:rPr>
              <w:t>mixOmics</w:t>
            </w:r>
            <w:proofErr w:type="spellEnd"/>
            <w:r w:rsidRPr="00C055F3">
              <w:rPr>
                <w:rFonts w:ascii="Times New Roman" w:hAnsi="Times New Roman" w:cs="Times New Roman"/>
                <w:iCs/>
                <w:sz w:val="24"/>
                <w:szCs w:val="24"/>
                <w:lang w:val="en-US"/>
              </w:rPr>
              <w:t xml:space="preserve"> R package. The </w:t>
            </w:r>
            <w:proofErr w:type="spellStart"/>
            <w:r w:rsidRPr="00C055F3">
              <w:rPr>
                <w:rFonts w:ascii="Times New Roman" w:hAnsi="Times New Roman" w:cs="Times New Roman"/>
                <w:iCs/>
                <w:sz w:val="24"/>
                <w:szCs w:val="24"/>
                <w:lang w:val="en-US"/>
              </w:rPr>
              <w:t>mixOmics</w:t>
            </w:r>
            <w:proofErr w:type="spellEnd"/>
            <w:r w:rsidRPr="00C055F3">
              <w:rPr>
                <w:rFonts w:ascii="Times New Roman" w:hAnsi="Times New Roman" w:cs="Times New Roman"/>
                <w:iCs/>
                <w:sz w:val="24"/>
                <w:szCs w:val="24"/>
                <w:lang w:val="en-US"/>
              </w:rPr>
              <w:t xml:space="preserve"> </w:t>
            </w:r>
            <w:proofErr w:type="spellStart"/>
            <w:r w:rsidRPr="00C055F3">
              <w:rPr>
                <w:rFonts w:ascii="Times New Roman" w:hAnsi="Times New Roman" w:cs="Times New Roman"/>
                <w:iCs/>
                <w:sz w:val="24"/>
                <w:szCs w:val="24"/>
                <w:lang w:val="en-US"/>
              </w:rPr>
              <w:t>block.splsda</w:t>
            </w:r>
            <w:proofErr w:type="spellEnd"/>
            <w:r w:rsidRPr="00C055F3">
              <w:rPr>
                <w:rFonts w:ascii="Times New Roman" w:hAnsi="Times New Roman" w:cs="Times New Roman"/>
                <w:iCs/>
                <w:sz w:val="24"/>
                <w:szCs w:val="24"/>
                <w:lang w:val="en-US"/>
              </w:rPr>
              <w:t xml:space="preserve"> function </w:t>
            </w:r>
            <w:proofErr w:type="gramStart"/>
            <w:r w:rsidRPr="00C055F3">
              <w:rPr>
                <w:rFonts w:ascii="Times New Roman" w:hAnsi="Times New Roman" w:cs="Times New Roman"/>
                <w:iCs/>
                <w:sz w:val="24"/>
                <w:szCs w:val="24"/>
                <w:lang w:val="en-US"/>
              </w:rPr>
              <w:t>will be used</w:t>
            </w:r>
            <w:proofErr w:type="gramEnd"/>
            <w:r w:rsidRPr="00C055F3">
              <w:rPr>
                <w:rFonts w:ascii="Times New Roman" w:hAnsi="Times New Roman" w:cs="Times New Roman"/>
                <w:iCs/>
                <w:sz w:val="24"/>
                <w:szCs w:val="24"/>
                <w:lang w:val="en-US"/>
              </w:rPr>
              <w:t xml:space="preserve"> to identify the optimal number of components and taxa. We will also investigate how changes in time in beta-diversity is associated with change in diet and lifestyle.  Because it is very challenging to find a suitable probabilistic distribution for the microbial data due to its unique features, such as zero-inflation, over-dispersion, complex correlation structure, and compositional nature </w:t>
            </w:r>
            <w:r w:rsidRPr="00C055F3">
              <w:rPr>
                <w:rFonts w:ascii="Times New Roman" w:hAnsi="Times New Roman" w:cs="Times New Roman"/>
                <w:iCs/>
                <w:sz w:val="24"/>
                <w:szCs w:val="24"/>
                <w:lang w:val="en-US"/>
              </w:rPr>
              <w:fldChar w:fldCharType="begin" w:fldLock="1"/>
            </w:r>
            <w:r w:rsidR="00BA6D14">
              <w:rPr>
                <w:rFonts w:ascii="Times New Roman" w:hAnsi="Times New Roman" w:cs="Times New Roman"/>
                <w:iCs/>
                <w:sz w:val="24"/>
                <w:szCs w:val="24"/>
                <w:lang w:val="en-US"/>
              </w:rPr>
              <w:instrText>ADDIN CSL_CITATION {"citationItems":[{"id":"ITEM-1","itemData":{"DOI":"10.1093/biomet/asu031","ISSN":"14643510","abstract":"Motivated by research problems arising in the analysis of gut microbiome and metagenomic data, we consider variable selection and estimation in high-dimensional regression with compositional covariates. We propose an l1 regularization method for the linear log-contrast model that respects the unique features of compositional data. We formulate the proposed procedure as a constrained convex optimization problem and introduce a coordinate descent method of multipliers for efficient computation. In the high-dimensional setting where the dimensionality grows at most exponentially with the sample size, model selection consistency and l∞ bounds for the resulting estimator are established under conditions that are mild and interpretable for compositional data. The numerical performance of our method is evaluated via simulation studies and its usefulness is illustrated by an application to a microbiome study relating human body mass index to gut microbiome composition.","author":[{"dropping-particle":"","family":"Lin","given":"Wei","non-dropping-particle":"","parse-names":false,"suffix":""},{"dropping-particle":"","family":"Shi","given":"Pixu","non-dropping-particle":"","parse-names":false,"suffix":""},{"dropping-particle":"","family":"Feng","given":"Rui","non-dropping-particle":"","parse-names":false,"suffix":""},{"dropping-particle":"","family":"Li","given":"Hongzhe","non-dropping-particle":"","parse-names":false,"suffix":""}],"container-title":"Biometrika","id":"ITEM-1","issued":{"date-parts":[["2014"]]},"title":"Variable selection in regression with compositional covariates","type":"article-journal"},"uris":["http://www.mendeley.com/documents/?uuid=4b920666-be29-44d1-a32a-472d9c21d33c"]},{"id":"ITEM-2","itemData":{"DOI":"10.1093/biostatistics/kxy025","ISSN":"14684357","PMID":"29939212","abstract":"There is heightened interest in using high-throughput sequencing technologies to quantify abundances of microbial taxa and linking the abundance to human diseases and traits. Proper modeling of multivariate taxon counts is essential to the power of detecting this association. Existing models are limited in handling excessive zero observations in taxon counts and in flexibly accommodating complex correlation structures and dispersion patterns among taxa. In this article, we develop a new probability distribution, zero-inflated generalized Dirichlet multinomial (ZIGDM), that overcomes these limitations in modeling multivariate taxon counts. Based on this distribution, we propose a ZIGDM regression model to link microbial abundances to covariates (e.g. disease status) and develop a fast expectation-maximization algorithm to efficiently estimate parameters in the model. The derived tests enable us to reveal rich patterns of variation in microbial compositions including differential mean and dispersion. The advantages of the proposed methods are demonstrated through simulation studies and an analysis of a gut microbiome dataset.","author":[{"dropping-particle":"","family":"Tang","given":"Zheng Zheng","non-dropping-particle":"","parse-names":false,"suffix":""},{"dropping-particle":"","family":"Chen","given":"Guanhua","non-dropping-particle":"","parse-names":false,"suffix":""}],"container-title":"Biostatistics","id":"ITEM-2","issued":{"date-parts":[["2019"]]},"title":"Zero-inflated generalized Dirichlet multinomial regression model for microbiome compositional data analysis","type":"article-journal"},"uris":["http://www.mendeley.com/documents/?uuid=90a4852a-e4dc-46b8-9e88-d3990d9b123f"]}],"mendeley":{"formattedCitation":"(5,6)","plainTextFormattedCitation":"(5,6)","previouslyFormattedCitation":"(Lin et al. 2014; Tang and Chen 2019)"},"properties":{"noteIndex":0},"schema":"https://github.com/citation-style-language/schema/raw/master/csl-citation.json"}</w:instrText>
            </w:r>
            <w:r w:rsidRPr="00C055F3">
              <w:rPr>
                <w:rFonts w:ascii="Times New Roman" w:hAnsi="Times New Roman" w:cs="Times New Roman"/>
                <w:iCs/>
                <w:sz w:val="24"/>
                <w:szCs w:val="24"/>
                <w:lang w:val="en-US"/>
              </w:rPr>
              <w:fldChar w:fldCharType="separate"/>
            </w:r>
            <w:r w:rsidR="00BA6D14" w:rsidRPr="00BA6D14">
              <w:rPr>
                <w:rFonts w:ascii="Times New Roman" w:hAnsi="Times New Roman" w:cs="Times New Roman"/>
                <w:iCs/>
                <w:noProof/>
                <w:sz w:val="24"/>
                <w:szCs w:val="24"/>
                <w:lang w:val="en-US"/>
              </w:rPr>
              <w:t>(5,6)</w:t>
            </w:r>
            <w:r w:rsidRPr="00C055F3">
              <w:rPr>
                <w:rFonts w:ascii="Times New Roman" w:hAnsi="Times New Roman" w:cs="Times New Roman"/>
                <w:iCs/>
                <w:sz w:val="24"/>
                <w:szCs w:val="24"/>
                <w:lang w:val="en-US"/>
              </w:rPr>
              <w:fldChar w:fldCharType="end"/>
            </w:r>
            <w:r w:rsidRPr="00C055F3">
              <w:rPr>
                <w:rFonts w:ascii="Times New Roman" w:hAnsi="Times New Roman" w:cs="Times New Roman"/>
                <w:iCs/>
                <w:sz w:val="24"/>
                <w:szCs w:val="24"/>
                <w:lang w:val="en-US"/>
              </w:rPr>
              <w:t xml:space="preserve">, we will also carry out analyses based on the log-contrast model.  In particular, the sparse linear log-contrast model </w:t>
            </w:r>
            <w:r w:rsidRPr="00C055F3">
              <w:rPr>
                <w:rFonts w:ascii="Times New Roman" w:hAnsi="Times New Roman" w:cs="Times New Roman"/>
                <w:iCs/>
                <w:sz w:val="24"/>
                <w:szCs w:val="24"/>
                <w:lang w:val="en-US"/>
              </w:rPr>
              <w:fldChar w:fldCharType="begin" w:fldLock="1"/>
            </w:r>
            <w:r w:rsidR="00BA6D14">
              <w:rPr>
                <w:rFonts w:ascii="Times New Roman" w:hAnsi="Times New Roman" w:cs="Times New Roman"/>
                <w:iCs/>
                <w:sz w:val="24"/>
                <w:szCs w:val="24"/>
                <w:lang w:val="en-US"/>
              </w:rPr>
              <w:instrText>ADDIN CSL_CITATION {"citationItems":[{"id":"ITEM-1","itemData":{"DOI":"10.1093/biomet/asu031","ISSN":"14643510","abstract":"Motivated by research problems arising in the analysis of gut microbiome and metagenomic data, we consider variable selection and estimation in high-dimensional regression with compositional covariates. We propose an l1 regularization method for the linear log-contrast model that respects the unique features of compositional data. We formulate the proposed procedure as a constrained convex optimization problem and introduce a coordinate descent method of multipliers for efficient computation. In the high-dimensional setting where the dimensionality grows at most exponentially with the sample size, model selection consistency and l∞ bounds for the resulting estimator are established under conditions that are mild and interpretable for compositional data. The numerical performance of our method is evaluated via simulation studies and its usefulness is illustrated by an application to a microbiome study relating human body mass index to gut microbiome composition.","author":[{"dropping-particle":"","family":"Lin","given":"Wei","non-dropping-particle":"","parse-names":false,"suffix":""},{"dropping-particle":"","family":"Shi","given":"Pixu","non-dropping-particle":"","parse-names":false,"suffix":""},{"dropping-particle":"","family":"Feng","given":"Rui","non-dropping-particle":"","parse-names":false,"suffix":""},{"dropping-particle":"","family":"Li","given":"Hongzhe","non-dropping-particle":"","parse-names":false,"suffix":""}],"container-title":"Biometrika","id":"ITEM-1","issued":{"date-parts":[["2014"]]},"title":"Variable selection in regression with compositional covariates","type":"article-journal"},"uris":["http://www.mendeley.com/documents/?uuid=4b920666-be29-44d1-a32a-472d9c21d33c"]}],"mendeley":{"formattedCitation":"(5)","plainTextFormattedCitation":"(5)","previouslyFormattedCitation":"(Lin et al. 2014)"},"properties":{"noteIndex":0},"schema":"https://github.com/citation-style-language/schema/raw/master/csl-citation.json"}</w:instrText>
            </w:r>
            <w:r w:rsidRPr="00C055F3">
              <w:rPr>
                <w:rFonts w:ascii="Times New Roman" w:hAnsi="Times New Roman" w:cs="Times New Roman"/>
                <w:iCs/>
                <w:sz w:val="24"/>
                <w:szCs w:val="24"/>
                <w:lang w:val="en-US"/>
              </w:rPr>
              <w:fldChar w:fldCharType="separate"/>
            </w:r>
            <w:r w:rsidR="00BA6D14" w:rsidRPr="00BA6D14">
              <w:rPr>
                <w:rFonts w:ascii="Times New Roman" w:hAnsi="Times New Roman" w:cs="Times New Roman"/>
                <w:iCs/>
                <w:noProof/>
                <w:sz w:val="24"/>
                <w:szCs w:val="24"/>
                <w:lang w:val="en-US"/>
              </w:rPr>
              <w:t>(5)</w:t>
            </w:r>
            <w:r w:rsidRPr="00C055F3">
              <w:rPr>
                <w:rFonts w:ascii="Times New Roman" w:hAnsi="Times New Roman" w:cs="Times New Roman"/>
                <w:iCs/>
                <w:sz w:val="24"/>
                <w:szCs w:val="24"/>
                <w:lang w:val="en-US"/>
              </w:rPr>
              <w:fldChar w:fldCharType="end"/>
            </w:r>
            <w:r w:rsidRPr="00C055F3">
              <w:rPr>
                <w:rFonts w:ascii="Times New Roman" w:hAnsi="Times New Roman" w:cs="Times New Roman"/>
                <w:iCs/>
                <w:sz w:val="24"/>
                <w:szCs w:val="24"/>
                <w:lang w:val="en-US"/>
              </w:rPr>
              <w:t xml:space="preserve"> will be implemented to identify the taxa that are significantly associated with intervention, dietary factors or biomarkers. Taxa will be studied in the models also as response variables, as genetic association studies demonstrated that such inverse regression (treating dependent variables as covariates) is advantageous if there are multiple dependent variables and the distribution is difficult to specify </w:t>
            </w:r>
            <w:r w:rsidRPr="00C055F3">
              <w:rPr>
                <w:rFonts w:ascii="Times New Roman" w:hAnsi="Times New Roman" w:cs="Times New Roman"/>
                <w:iCs/>
                <w:sz w:val="24"/>
                <w:szCs w:val="24"/>
                <w:lang w:val="en-US"/>
              </w:rPr>
              <w:fldChar w:fldCharType="begin" w:fldLock="1"/>
            </w:r>
            <w:r w:rsidR="00BA6D14">
              <w:rPr>
                <w:rFonts w:ascii="Times New Roman" w:hAnsi="Times New Roman" w:cs="Times New Roman"/>
                <w:iCs/>
                <w:sz w:val="24"/>
                <w:szCs w:val="24"/>
                <w:lang w:val="en-US"/>
              </w:rPr>
              <w:instrText>ADDIN CSL_CITATION {"citationItems":[{"id":"ITEM-1","itemData":{"DOI":"10.1002/gepi.21973","ISSN":"10982272","abstract":"Discovering pleiotropic loci is important to understand the biological basis of seemingly distinct phenotypes. Most methods for assessing pleiotropy only test for the overall association between genetic variants and multiple phenotypes. To determine which specific traits are pleiotropic, we evaluate via simulation and application three different strategies. The first is model selection techniques based on the inverse regression of genotype on phenotypes. The second is a subset-based meta analysis ASSET [Bhattacharjee et al., ], which provides an optimal subset of nonnull traits. And the third is a modified Benjamini–Hochberg (B-H) procedure of controlling the expected false discovery rate [Benjamini and Hochberg, ] in the framework of phenome-wide association study. From our simulations we see that an inverse regression-based approach MultiPhen [O'Reilly et al., ] is more powerful than ASSET for detecting overall pleiotropic association, except for when all the phenotypes are associated and have genetic effects in the same direction. For determining which specific traits are pleiotropic, the modified B–H procedure performs consistently better than the other two methods. The inverse regression-based selection methods perform competitively with the modified B–H procedure only when the phenotypes are weakly correlated. The efficiency of ASSET is observed to lie below and in between the efficiency of the other two methods when the traits are weakly and strongly correlated, respectively. In our application to a large GWAS, we find that the modified B–H procedure also performs well, indicating that this may be an optimal approach for determining the traits underlying a pleiotropic signal.","author":[{"dropping-particle":"","family":"Majumdar","given":"Arunabha","non-dropping-particle":"","parse-names":false,"suffix":""},{"dropping-particle":"","family":"Haldar","given":"Tanushree","non-dropping-particle":"","parse-names":false,"suffix":""},{"dropping-particle":"","family":"Witte","given":"John S.","non-dropping-particle":"","parse-names":false,"suffix":""}],"container-title":"Genetic Epidemiology","id":"ITEM-1","issued":{"date-parts":[["2016"]]},"title":"Determining Which Phenotypes Underlie a Pleiotropic Signal","type":"article-journal"},"uris":["http://www.mendeley.com/documents/?uuid=152f8843-27bf-43ee-9392-fd34b4a054b2"]}],"mendeley":{"formattedCitation":"(7)","plainTextFormattedCitation":"(7)","previouslyFormattedCitation":"(Majumdar, Haldar, and Witte 2016)"},"properties":{"noteIndex":0},"schema":"https://github.com/citation-style-language/schema/raw/master/csl-citation.json"}</w:instrText>
            </w:r>
            <w:r w:rsidRPr="00C055F3">
              <w:rPr>
                <w:rFonts w:ascii="Times New Roman" w:hAnsi="Times New Roman" w:cs="Times New Roman"/>
                <w:iCs/>
                <w:sz w:val="24"/>
                <w:szCs w:val="24"/>
                <w:lang w:val="en-US"/>
              </w:rPr>
              <w:fldChar w:fldCharType="separate"/>
            </w:r>
            <w:r w:rsidR="00BA6D14" w:rsidRPr="00BA6D14">
              <w:rPr>
                <w:rFonts w:ascii="Times New Roman" w:hAnsi="Times New Roman" w:cs="Times New Roman"/>
                <w:iCs/>
                <w:noProof/>
                <w:sz w:val="24"/>
                <w:szCs w:val="24"/>
                <w:lang w:val="en-US"/>
              </w:rPr>
              <w:t>(7)</w:t>
            </w:r>
            <w:r w:rsidRPr="00C055F3">
              <w:rPr>
                <w:rFonts w:ascii="Times New Roman" w:hAnsi="Times New Roman" w:cs="Times New Roman"/>
                <w:iCs/>
                <w:sz w:val="24"/>
                <w:szCs w:val="24"/>
                <w:lang w:val="en-US"/>
              </w:rPr>
              <w:fldChar w:fldCharType="end"/>
            </w:r>
            <w:r w:rsidRPr="00C055F3">
              <w:rPr>
                <w:rFonts w:ascii="Times New Roman" w:hAnsi="Times New Roman" w:cs="Times New Roman"/>
                <w:iCs/>
                <w:sz w:val="24"/>
                <w:szCs w:val="24"/>
                <w:lang w:val="en-US"/>
              </w:rPr>
              <w:t xml:space="preserve">. We will utilize the state-of-the-art compositional mediation analysis for microbiome data (R Package </w:t>
            </w:r>
            <w:proofErr w:type="spellStart"/>
            <w:r w:rsidRPr="00C055F3">
              <w:rPr>
                <w:rFonts w:ascii="Times New Roman" w:hAnsi="Times New Roman" w:cs="Times New Roman"/>
                <w:iCs/>
                <w:sz w:val="24"/>
                <w:szCs w:val="24"/>
                <w:lang w:val="en-US"/>
              </w:rPr>
              <w:t>SparseMCMM</w:t>
            </w:r>
            <w:proofErr w:type="spellEnd"/>
            <w:r w:rsidRPr="00C055F3">
              <w:rPr>
                <w:rFonts w:ascii="Times New Roman" w:hAnsi="Times New Roman" w:cs="Times New Roman"/>
                <w:iCs/>
                <w:sz w:val="24"/>
                <w:szCs w:val="24"/>
                <w:lang w:val="en-US"/>
              </w:rPr>
              <w:t xml:space="preserve">) </w:t>
            </w:r>
            <w:r w:rsidRPr="00C055F3">
              <w:rPr>
                <w:rFonts w:ascii="Times New Roman" w:hAnsi="Times New Roman" w:cs="Times New Roman"/>
                <w:iCs/>
                <w:sz w:val="24"/>
                <w:szCs w:val="24"/>
                <w:lang w:val="en-US"/>
              </w:rPr>
              <w:fldChar w:fldCharType="begin" w:fldLock="1"/>
            </w:r>
            <w:r w:rsidR="00BA6D14">
              <w:rPr>
                <w:rFonts w:ascii="Times New Roman" w:hAnsi="Times New Roman" w:cs="Times New Roman"/>
                <w:iCs/>
                <w:sz w:val="24"/>
                <w:szCs w:val="24"/>
                <w:lang w:val="en-US"/>
              </w:rPr>
              <w:instrText>ADDIN CSL_CITATION {"citationItems":[{"id":"ITEM-1","itemData":{"DOI":"10.3389/fcimb.2020.541178","ISSN":"22352988","PMID":"33194790","abstract":"Radiation enteritis (RE) is a common complication in cancer patients receiving radiotherapy. Although studies have shown the changes of this disease at clinical, pathological and other levels, the dynamic characteristics of local microbiome and metabolomics are hitherto unknown. We aimed to examine the multi-omics features of the gut microecosystem, determining the functional correlation between microbiome and lipid metabolites during RE activity. By delivering single high-dose irradiation, a RE mouse model was established. High-throughput 16S rDNA sequencing and global lipidomics analysis were performed to examine microbial and lipidomic profile changes in the gut microecosystem. Spearman correlation analysis was used to determine the functional correlation between bacteria and metabolites. Clinical samples were collected to validate the above observations. During RE activity, the intestinal inflammation of the mice was confirmed by typical signs, symptoms, imaging findings and pathological evidences. 16S datasets revealed that localized irradiation dramatically altered the gut microbial composition, resulting in a decrease ratio of Bacteroidetes to Firmicutes. Lipidomics analysis indicated the remarkable lipidomic profile changes in enteric epithelial barrier, determining that glycerophospholipids metabolism was correlated to RE progression with the highest relevance. Spearman correlation analysis identified that five bacteria-metabolite pairs showed the most significant functional correlation in RE, including Alistipes-PC(36:0e), Bacteroides-DG(18:0/20:4), Dubosiella-PC(35:2), Eggerthellaceae-PC(35:6), and Escherichia-Shigella-TG(18:2/18:2/20:4). These observations were partly confirmed in human specimens. Our study provided a comprehensive description of microbiota dysbiosis and lipid metabolic disorders in RE, suggesting strategies to change local microecosystem to relieve radiation injury and maintain homeostasis.","author":[{"dropping-particle":"","family":"Li","given":"Yiyi","non-dropping-particle":"","parse-names":false,"suffix":""},{"dropping-particle":"","family":"Yan","given":"Hongmei","non-dropping-particle":"","parse-names":false,"suffix":""},{"dropping-particle":"","family":"Zhang","given":"Yaowei","non-dropping-particle":"","parse-names":false,"suffix":""},{"dropping-particle":"","family":"Li","given":"Qingping","non-dropping-particle":"","parse-names":false,"suffix":""},{"dropping-particle":"","family":"Yu","given":"Lu","non-dropping-particle":"","parse-names":false,"suffix":""},{"dropping-particle":"","family":"Li","given":"Qianyu","non-dropping-particle":"","parse-names":false,"suffix":""},{"dropping-particle":"","family":"Liu","given":"Cuiting","non-dropping-particle":"","parse-names":false,"suffix":""},{"dropping-particle":"","family":"Xie","given":"Yuwen","non-dropping-particle":"","parse-names":false,"suffix":""},{"dropping-particle":"","family":"Chen","given":"Keli","non-dropping-particle":"","parse-names":false,"suffix":""},{"dropping-particle":"","family":"Ye","given":"Feng","non-dropping-particle":"","parse-names":false,"suffix":""},{"dropping-particle":"","family":"Wang","given":"Kai","non-dropping-particle":"","parse-names":false,"suffix":""},{"dropping-particle":"","family":"Chen","given":"Longhua","non-dropping-particle":"","parse-names":false,"suffix":""},{"dropping-particle":"","family":"Ding","given":"Yi","non-dropping-particle":"","parse-names":false,"suffix":""}],"container-title":"Frontiers in Cellular and Infection Microbiology","id":"ITEM-1","issued":{"date-parts":[["2020"]]},"title":"Alterations of the Gut Microbiome Composition and Lipid Metabolic Profile in Radiation Enteritis","type":"article-journal"},"uris":["http://www.mendeley.com/documents/?uuid=02180900-24f2-45a6-9416-982c46bc7079"]},{"id":"ITEM-2","itemData":{"DOI":"10.1093/bioinformatics/btz565","ISSN":"14602059","PMID":"31329243","abstract":"Motivation: Recent microbiome association studies have revealed important associations between microbiome and disease/health status. Such findings encourage scientists to dive deeper to uncover the causal role of microbiome in the underlying biological mechanism, and have led to applying statistical models to quantify causal microbiome effects and to identify the specific microbial agents. However, there are no existing causal mediation methods specifically designed to handle high dimensional and compositional microbiome data. Results: We propose a rigorous Sparse Microbial Causal Mediation Model (SparseMCMM) specifically designed for the high dimensional and compositional microbiome data in a typical three-factor (treatment, microbiome and outcome) causal study design. In particular, linear log-contrast regression model and Dirichlet regression model are proposed to estimate the causal direct effect of treatment and the causal mediation effects of microbiome at both the community and individual taxon levels. Regularization techniques are used to perform the variable selection in the proposed model framework to identify signature causal microbes. Two hypothesis tests on the overall mediation effect are proposed and their statistical significance is estimated by permutation procedures. Extensive simulated scenarios show that SparseMCMM has excellent performance in estimation and hypothesis testing. Finally, we showcase the utility of the proposed SparseMCMM method in a study which the murine microbiome has been manipulated by providing a clear and sensible causal path among antibiotic treatment, microbiome composition and mouse weight.","author":[{"dropping-particle":"","family":"Wang","given":"Chan","non-dropping-particle":"","parse-names":false,"suffix":""},{"dropping-particle":"","family":"Hu","given":"Jiyuan","non-dropping-particle":"","parse-names":false,"suffix":""},{"dropping-particle":"","family":"Blaser","given":"Martin J.","non-dropping-particle":"","parse-names":false,"suffix":""},{"dropping-particle":"","family":"Li","given":"Huilin","non-dropping-particle":"","parse-names":false,"suffix":""}],"container-title":"Bioinformatics","id":"ITEM-2","issued":{"date-parts":[["2020"]]},"title":"Estimating and testing the microbial causal mediation effect with high-dimensional and compositional microbiome data","type":"article-journal"},"uris":["http://www.mendeley.com/documents/?uuid=7de2926e-5993-4a2f-ae64-95224b419232"]}],"mendeley":{"formattedCitation":"(8,9)","plainTextFormattedCitation":"(8,9)","previouslyFormattedCitation":"(Li et al. 2020; Wang et al. 2020)"},"properties":{"noteIndex":0},"schema":"https://github.com/citation-style-language/schema/raw/master/csl-citation.json"}</w:instrText>
            </w:r>
            <w:r w:rsidRPr="00C055F3">
              <w:rPr>
                <w:rFonts w:ascii="Times New Roman" w:hAnsi="Times New Roman" w:cs="Times New Roman"/>
                <w:iCs/>
                <w:sz w:val="24"/>
                <w:szCs w:val="24"/>
                <w:lang w:val="en-US"/>
              </w:rPr>
              <w:fldChar w:fldCharType="separate"/>
            </w:r>
            <w:r w:rsidR="00BA6D14" w:rsidRPr="00BA6D14">
              <w:rPr>
                <w:rFonts w:ascii="Times New Roman" w:hAnsi="Times New Roman" w:cs="Times New Roman"/>
                <w:iCs/>
                <w:noProof/>
                <w:sz w:val="24"/>
                <w:szCs w:val="24"/>
                <w:lang w:val="en-US"/>
              </w:rPr>
              <w:t>(8,9)</w:t>
            </w:r>
            <w:r w:rsidRPr="00C055F3">
              <w:rPr>
                <w:rFonts w:ascii="Times New Roman" w:hAnsi="Times New Roman" w:cs="Times New Roman"/>
                <w:iCs/>
                <w:sz w:val="24"/>
                <w:szCs w:val="24"/>
                <w:lang w:val="en-US"/>
              </w:rPr>
              <w:fldChar w:fldCharType="end"/>
            </w:r>
            <w:r w:rsidRPr="00C055F3">
              <w:rPr>
                <w:rFonts w:ascii="Times New Roman" w:hAnsi="Times New Roman" w:cs="Times New Roman"/>
                <w:iCs/>
                <w:sz w:val="24"/>
                <w:szCs w:val="24"/>
                <w:lang w:val="en-US"/>
              </w:rPr>
              <w:t xml:space="preserve">. The method enables us to estimate the total mediation effects of microbiome composition, as well as to select important microbial taxa mediating the diet-metabolite association and estimate taxon-specific mediation effects. Supervised </w:t>
            </w:r>
            <w:proofErr w:type="spellStart"/>
            <w:r w:rsidRPr="00C055F3">
              <w:rPr>
                <w:rFonts w:ascii="Times New Roman" w:hAnsi="Times New Roman" w:cs="Times New Roman"/>
                <w:iCs/>
                <w:sz w:val="24"/>
                <w:szCs w:val="24"/>
                <w:lang w:val="en-US"/>
              </w:rPr>
              <w:t>heatmaps</w:t>
            </w:r>
            <w:proofErr w:type="spellEnd"/>
            <w:r w:rsidRPr="00C055F3">
              <w:rPr>
                <w:rFonts w:ascii="Times New Roman" w:hAnsi="Times New Roman" w:cs="Times New Roman"/>
                <w:iCs/>
                <w:sz w:val="24"/>
                <w:szCs w:val="24"/>
                <w:lang w:val="en-US"/>
              </w:rPr>
              <w:t xml:space="preserve"> </w:t>
            </w:r>
            <w:proofErr w:type="gramStart"/>
            <w:r w:rsidRPr="00C055F3">
              <w:rPr>
                <w:rFonts w:ascii="Times New Roman" w:hAnsi="Times New Roman" w:cs="Times New Roman"/>
                <w:iCs/>
                <w:sz w:val="24"/>
                <w:szCs w:val="24"/>
                <w:lang w:val="en-US"/>
              </w:rPr>
              <w:t>will be used</w:t>
            </w:r>
            <w:proofErr w:type="gramEnd"/>
            <w:r w:rsidRPr="00C055F3">
              <w:rPr>
                <w:rFonts w:ascii="Times New Roman" w:hAnsi="Times New Roman" w:cs="Times New Roman"/>
                <w:iCs/>
                <w:sz w:val="24"/>
                <w:szCs w:val="24"/>
                <w:lang w:val="en-US"/>
              </w:rPr>
              <w:t xml:space="preserve"> to represent markers and taxa able to discriminate patients with good adherence to diet/lifestyle indications. We will report P-values and we will highlight associations that meet a FDR adjusted P-value less than or equal to 0.05 by the </w:t>
            </w:r>
            <w:proofErr w:type="spellStart"/>
            <w:r w:rsidRPr="00C055F3">
              <w:rPr>
                <w:rFonts w:ascii="Times New Roman" w:hAnsi="Times New Roman" w:cs="Times New Roman"/>
                <w:iCs/>
                <w:sz w:val="24"/>
                <w:szCs w:val="24"/>
                <w:lang w:val="en-US"/>
              </w:rPr>
              <w:t>Benjamini</w:t>
            </w:r>
            <w:proofErr w:type="spellEnd"/>
            <w:r w:rsidRPr="00C055F3">
              <w:rPr>
                <w:rFonts w:ascii="Times New Roman" w:hAnsi="Times New Roman" w:cs="Times New Roman"/>
                <w:iCs/>
                <w:sz w:val="24"/>
                <w:szCs w:val="24"/>
                <w:lang w:val="en-US"/>
              </w:rPr>
              <w:t xml:space="preserve"> and Hochberg method.</w:t>
            </w:r>
          </w:p>
        </w:tc>
      </w:tr>
    </w:tbl>
    <w:p w:rsidR="00F73112" w:rsidRPr="00C055F3" w:rsidRDefault="00C542D8" w:rsidP="00F73112">
      <w:pPr>
        <w:rPr>
          <w:rFonts w:ascii="Times New Roman" w:hAnsi="Times New Roman" w:cs="Times New Roman"/>
          <w:b/>
          <w:lang w:val="en-US"/>
        </w:rPr>
      </w:pPr>
      <w:r w:rsidRPr="00C055F3">
        <w:rPr>
          <w:rFonts w:ascii="Times New Roman" w:hAnsi="Times New Roman" w:cs="Times New Roman"/>
          <w:b/>
          <w:lang w:val="en-US"/>
        </w:rPr>
        <w:lastRenderedPageBreak/>
        <w:t>References</w:t>
      </w:r>
    </w:p>
    <w:p w:rsidR="00BA6D14" w:rsidRPr="00A3091B" w:rsidRDefault="00C542D8" w:rsidP="00BA6D14">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C542D8">
        <w:rPr>
          <w:rFonts w:ascii="Times New Roman" w:hAnsi="Times New Roman" w:cs="Times New Roman"/>
          <w:lang w:val="en-US"/>
        </w:rPr>
        <w:fldChar w:fldCharType="begin" w:fldLock="1"/>
      </w:r>
      <w:r w:rsidRPr="00C542D8">
        <w:rPr>
          <w:rFonts w:ascii="Times New Roman" w:hAnsi="Times New Roman" w:cs="Times New Roman"/>
          <w:lang w:val="en-US"/>
        </w:rPr>
        <w:instrText xml:space="preserve">ADDIN Mendeley Bibliography CSL_BIBLIOGRAPHY </w:instrText>
      </w:r>
      <w:r w:rsidRPr="00C542D8">
        <w:rPr>
          <w:rFonts w:ascii="Times New Roman" w:hAnsi="Times New Roman" w:cs="Times New Roman"/>
          <w:lang w:val="en-US"/>
        </w:rPr>
        <w:fldChar w:fldCharType="separate"/>
      </w:r>
      <w:r w:rsidR="00BA6D14" w:rsidRPr="00A3091B">
        <w:rPr>
          <w:rFonts w:ascii="Times New Roman" w:hAnsi="Times New Roman" w:cs="Times New Roman"/>
          <w:noProof/>
          <w:szCs w:val="24"/>
          <w:lang w:val="en-US"/>
        </w:rPr>
        <w:t xml:space="preserve">1. </w:t>
      </w:r>
      <w:r w:rsidR="00BA6D14" w:rsidRPr="00A3091B">
        <w:rPr>
          <w:rFonts w:ascii="Times New Roman" w:hAnsi="Times New Roman" w:cs="Times New Roman"/>
          <w:noProof/>
          <w:szCs w:val="24"/>
          <w:lang w:val="en-US"/>
        </w:rPr>
        <w:tab/>
        <w:t xml:space="preserve">Er V, Lane JA, Martin RM, Emmett P, Gilbert R, Avery KNL, et al. Adherence to dietary and lifestyle recommendations and prostate cancer risk in the prostate testing for cancer and treatment (ProtecT) trial. Cancer Epidemiol Biomarkers Prev. 2014; </w:t>
      </w:r>
    </w:p>
    <w:p w:rsidR="00BA6D14" w:rsidRPr="00A3091B" w:rsidRDefault="00BA6D14" w:rsidP="00BA6D14">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A3091B">
        <w:rPr>
          <w:rFonts w:ascii="Times New Roman" w:hAnsi="Times New Roman" w:cs="Times New Roman"/>
          <w:noProof/>
          <w:szCs w:val="24"/>
          <w:lang w:val="en-US"/>
        </w:rPr>
        <w:t xml:space="preserve">2. </w:t>
      </w:r>
      <w:r w:rsidRPr="00A3091B">
        <w:rPr>
          <w:rFonts w:ascii="Times New Roman" w:hAnsi="Times New Roman" w:cs="Times New Roman"/>
          <w:noProof/>
          <w:szCs w:val="24"/>
          <w:lang w:val="en-US"/>
        </w:rPr>
        <w:tab/>
        <w:t xml:space="preserve">McCahon D, Daley AJ, Jones J, Haslop R, Shajpal A, Taylor A, et al. Enhancing adherence in trials promoting change in diet and physical activity in individuals with a diagnosis of colorectal adenoma; a systematic review of behavioural intervention approaches. BMC Cancer. 2015; </w:t>
      </w:r>
    </w:p>
    <w:p w:rsidR="00BA6D14" w:rsidRPr="00A3091B" w:rsidRDefault="00BA6D14" w:rsidP="00BA6D14">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A3091B">
        <w:rPr>
          <w:rFonts w:ascii="Times New Roman" w:hAnsi="Times New Roman" w:cs="Times New Roman"/>
          <w:noProof/>
          <w:szCs w:val="24"/>
          <w:lang w:val="en-US"/>
        </w:rPr>
        <w:t xml:space="preserve">3. </w:t>
      </w:r>
      <w:r w:rsidRPr="00A3091B">
        <w:rPr>
          <w:rFonts w:ascii="Times New Roman" w:hAnsi="Times New Roman" w:cs="Times New Roman"/>
          <w:noProof/>
          <w:szCs w:val="24"/>
          <w:lang w:val="en-US"/>
        </w:rPr>
        <w:tab/>
        <w:t xml:space="preserve">Shams-White MM, Brockton NT, Mitrou P, Romaguera D, Brown S, Bender A, et al. Operationalizing the 2018 world cancer research fund/american institute for cancer research (WCRF/AICR) cancer prevention recommendations: A standardized scoring system. Nutrients. 2019; </w:t>
      </w:r>
    </w:p>
    <w:p w:rsidR="00BA6D14" w:rsidRPr="00A3091B" w:rsidRDefault="00BA6D14" w:rsidP="00BA6D14">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A3091B">
        <w:rPr>
          <w:rFonts w:ascii="Times New Roman" w:hAnsi="Times New Roman" w:cs="Times New Roman"/>
          <w:noProof/>
          <w:szCs w:val="24"/>
          <w:lang w:val="en-US"/>
        </w:rPr>
        <w:t xml:space="preserve">4. </w:t>
      </w:r>
      <w:r w:rsidRPr="00A3091B">
        <w:rPr>
          <w:rFonts w:ascii="Times New Roman" w:hAnsi="Times New Roman" w:cs="Times New Roman"/>
          <w:noProof/>
          <w:szCs w:val="24"/>
          <w:lang w:val="en-US"/>
        </w:rPr>
        <w:tab/>
        <w:t xml:space="preserve">WCRF/ AICR. Diet, nutrition, physical activity and cancer: a global perspective: a summary of the Third Expert Report. World Cancer Research Fund International. 2018. </w:t>
      </w:r>
    </w:p>
    <w:p w:rsidR="00BA6D14" w:rsidRPr="00A3091B" w:rsidRDefault="00BA6D14" w:rsidP="00BA6D14">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A3091B">
        <w:rPr>
          <w:rFonts w:ascii="Times New Roman" w:hAnsi="Times New Roman" w:cs="Times New Roman"/>
          <w:noProof/>
          <w:szCs w:val="24"/>
          <w:lang w:val="en-US"/>
        </w:rPr>
        <w:t xml:space="preserve">5. </w:t>
      </w:r>
      <w:r w:rsidRPr="00A3091B">
        <w:rPr>
          <w:rFonts w:ascii="Times New Roman" w:hAnsi="Times New Roman" w:cs="Times New Roman"/>
          <w:noProof/>
          <w:szCs w:val="24"/>
          <w:lang w:val="en-US"/>
        </w:rPr>
        <w:tab/>
        <w:t xml:space="preserve">Lin W, Shi P, Feng R, Li H. Variable selection in regression with compositional covariates. Biometrika. 2014; </w:t>
      </w:r>
    </w:p>
    <w:p w:rsidR="00BA6D14" w:rsidRPr="00A3091B" w:rsidRDefault="00BA6D14" w:rsidP="00BA6D14">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A3091B">
        <w:rPr>
          <w:rFonts w:ascii="Times New Roman" w:hAnsi="Times New Roman" w:cs="Times New Roman"/>
          <w:noProof/>
          <w:szCs w:val="24"/>
          <w:lang w:val="en-US"/>
        </w:rPr>
        <w:t xml:space="preserve">6. </w:t>
      </w:r>
      <w:r w:rsidRPr="00A3091B">
        <w:rPr>
          <w:rFonts w:ascii="Times New Roman" w:hAnsi="Times New Roman" w:cs="Times New Roman"/>
          <w:noProof/>
          <w:szCs w:val="24"/>
          <w:lang w:val="en-US"/>
        </w:rPr>
        <w:tab/>
        <w:t xml:space="preserve">Tang ZZ, Chen G. Zero-inflated generalized Dirichlet multinomial regression model for microbiome compositional data analysis. Biostatistics. 2019; </w:t>
      </w:r>
    </w:p>
    <w:p w:rsidR="00BA6D14" w:rsidRPr="00BA6D14" w:rsidRDefault="00BA6D14" w:rsidP="00BA6D14">
      <w:pPr>
        <w:widowControl w:val="0"/>
        <w:autoSpaceDE w:val="0"/>
        <w:autoSpaceDN w:val="0"/>
        <w:adjustRightInd w:val="0"/>
        <w:spacing w:line="240" w:lineRule="auto"/>
        <w:ind w:left="640" w:hanging="640"/>
        <w:rPr>
          <w:rFonts w:ascii="Times New Roman" w:hAnsi="Times New Roman" w:cs="Times New Roman"/>
          <w:noProof/>
          <w:szCs w:val="24"/>
        </w:rPr>
      </w:pPr>
      <w:r w:rsidRPr="00A3091B">
        <w:rPr>
          <w:rFonts w:ascii="Times New Roman" w:hAnsi="Times New Roman" w:cs="Times New Roman"/>
          <w:noProof/>
          <w:szCs w:val="24"/>
          <w:lang w:val="en-US"/>
        </w:rPr>
        <w:t xml:space="preserve">7. </w:t>
      </w:r>
      <w:r w:rsidRPr="00A3091B">
        <w:rPr>
          <w:rFonts w:ascii="Times New Roman" w:hAnsi="Times New Roman" w:cs="Times New Roman"/>
          <w:noProof/>
          <w:szCs w:val="24"/>
          <w:lang w:val="en-US"/>
        </w:rPr>
        <w:tab/>
        <w:t xml:space="preserve">Majumdar A, Haldar T, Witte JS. Determining Which Phenotypes Underlie a Pleiotropic Signal. </w:t>
      </w:r>
      <w:r w:rsidRPr="00BA6D14">
        <w:rPr>
          <w:rFonts w:ascii="Times New Roman" w:hAnsi="Times New Roman" w:cs="Times New Roman"/>
          <w:noProof/>
          <w:szCs w:val="24"/>
        </w:rPr>
        <w:t xml:space="preserve">Genet Epidemiol. 2016; </w:t>
      </w:r>
    </w:p>
    <w:p w:rsidR="00BA6D14" w:rsidRPr="00A3091B" w:rsidRDefault="00BA6D14" w:rsidP="00BA6D14">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BA6D14">
        <w:rPr>
          <w:rFonts w:ascii="Times New Roman" w:hAnsi="Times New Roman" w:cs="Times New Roman"/>
          <w:noProof/>
          <w:szCs w:val="24"/>
        </w:rPr>
        <w:t xml:space="preserve">8. </w:t>
      </w:r>
      <w:r w:rsidRPr="00BA6D14">
        <w:rPr>
          <w:rFonts w:ascii="Times New Roman" w:hAnsi="Times New Roman" w:cs="Times New Roman"/>
          <w:noProof/>
          <w:szCs w:val="24"/>
        </w:rPr>
        <w:tab/>
        <w:t xml:space="preserve">Li Y, Yan H, Zhang Y, Li Q, Yu L, Li Q, et al. </w:t>
      </w:r>
      <w:r w:rsidRPr="00A3091B">
        <w:rPr>
          <w:rFonts w:ascii="Times New Roman" w:hAnsi="Times New Roman" w:cs="Times New Roman"/>
          <w:noProof/>
          <w:szCs w:val="24"/>
          <w:lang w:val="en-US"/>
        </w:rPr>
        <w:t xml:space="preserve">Alterations of the Gut Microbiome Composition and Lipid Metabolic Profile in Radiation Enteritis. Front Cell Infect Microbiol. 2020; </w:t>
      </w:r>
    </w:p>
    <w:p w:rsidR="00BA6D14" w:rsidRPr="00BA6D14" w:rsidRDefault="00BA6D14" w:rsidP="00BA6D14">
      <w:pPr>
        <w:widowControl w:val="0"/>
        <w:autoSpaceDE w:val="0"/>
        <w:autoSpaceDN w:val="0"/>
        <w:adjustRightInd w:val="0"/>
        <w:spacing w:line="240" w:lineRule="auto"/>
        <w:ind w:left="640" w:hanging="640"/>
        <w:rPr>
          <w:rFonts w:ascii="Times New Roman" w:hAnsi="Times New Roman" w:cs="Times New Roman"/>
          <w:noProof/>
        </w:rPr>
      </w:pPr>
      <w:r w:rsidRPr="00A3091B">
        <w:rPr>
          <w:rFonts w:ascii="Times New Roman" w:hAnsi="Times New Roman" w:cs="Times New Roman"/>
          <w:noProof/>
          <w:szCs w:val="24"/>
          <w:lang w:val="en-US"/>
        </w:rPr>
        <w:t xml:space="preserve">9. </w:t>
      </w:r>
      <w:r w:rsidRPr="00A3091B">
        <w:rPr>
          <w:rFonts w:ascii="Times New Roman" w:hAnsi="Times New Roman" w:cs="Times New Roman"/>
          <w:noProof/>
          <w:szCs w:val="24"/>
          <w:lang w:val="en-US"/>
        </w:rPr>
        <w:tab/>
        <w:t xml:space="preserve">Wang C, Hu J, Blaser MJ, Li H. Estimating and testing the microbial causal mediation effect with high-dimensional and compositional microbiome data. </w:t>
      </w:r>
      <w:r w:rsidRPr="00BA6D14">
        <w:rPr>
          <w:rFonts w:ascii="Times New Roman" w:hAnsi="Times New Roman" w:cs="Times New Roman"/>
          <w:noProof/>
          <w:szCs w:val="24"/>
        </w:rPr>
        <w:t xml:space="preserve">Bioinformatics. 2020; </w:t>
      </w:r>
    </w:p>
    <w:p w:rsidR="00F73112" w:rsidRPr="00C542D8" w:rsidRDefault="00C542D8" w:rsidP="00F73112">
      <w:pPr>
        <w:rPr>
          <w:rFonts w:ascii="Times New Roman" w:hAnsi="Times New Roman" w:cs="Times New Roman"/>
          <w:lang w:val="en-US"/>
        </w:rPr>
      </w:pPr>
      <w:r w:rsidRPr="00C542D8">
        <w:rPr>
          <w:rFonts w:ascii="Times New Roman" w:hAnsi="Times New Roman" w:cs="Times New Roman"/>
          <w:lang w:val="en-US"/>
        </w:rPr>
        <w:fldChar w:fldCharType="end"/>
      </w:r>
    </w:p>
    <w:sectPr w:rsidR="00F73112" w:rsidRPr="00C542D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10E"/>
    <w:rsid w:val="0091610E"/>
    <w:rsid w:val="00A3091B"/>
    <w:rsid w:val="00BA6D14"/>
    <w:rsid w:val="00C055F3"/>
    <w:rsid w:val="00C12231"/>
    <w:rsid w:val="00C542D8"/>
    <w:rsid w:val="00F731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E12595-2F0E-40F5-8F2C-1E4B6C917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1610E"/>
    <w:pPr>
      <w:spacing w:after="200" w:line="276" w:lineRule="auto"/>
    </w:pPr>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F73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D0307-E17F-4AC0-8F0C-5FD8C577F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5460</Words>
  <Characters>31125</Characters>
  <Application>Microsoft Office Word</Application>
  <DocSecurity>0</DocSecurity>
  <Lines>259</Lines>
  <Paragraphs>73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Gnagnarella Patrizia</dc:creator>
  <cp:keywords/>
  <dc:description/>
  <cp:lastModifiedBy>Gnagnarella Patrizia</cp:lastModifiedBy>
  <cp:revision>6</cp:revision>
  <dcterms:created xsi:type="dcterms:W3CDTF">2021-12-01T11:22:00Z</dcterms:created>
  <dcterms:modified xsi:type="dcterms:W3CDTF">2021-12-16T13:05:00Z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http://www.zotero.org/styles/chicago-author-date</vt:lpwstr>
  </property>
  <property fmtid="{D5CDD505-2E9C-101B-9397-08002B2CF9AE}" pid="3" name="Mendeley Recent Style Name 0_1">
    <vt:lpwstr>Chicago Manual of Style 17th edition (author-date)</vt:lpwstr>
  </property>
  <property fmtid="{D5CDD505-2E9C-101B-9397-08002B2CF9AE}" pid="4" name="Mendeley Recent Style Id 1_1">
    <vt:lpwstr>http://www.zotero.org/styles/harvard-cite-them-right</vt:lpwstr>
  </property>
  <property fmtid="{D5CDD505-2E9C-101B-9397-08002B2CF9AE}" pid="5" name="Mendeley Recent Style Name 1_1">
    <vt:lpwstr>Cite Them Right 10th edition - Harvard</vt:lpwstr>
  </property>
  <property fmtid="{D5CDD505-2E9C-101B-9397-08002B2CF9AE}" pid="6" name="Mendeley Recent Style Id 2_1">
    <vt:lpwstr>http://www.zotero.org/styles/european-journal-of-clinical-nutrition</vt:lpwstr>
  </property>
  <property fmtid="{D5CDD505-2E9C-101B-9397-08002B2CF9AE}" pid="7" name="Mendeley Recent Style Name 2_1">
    <vt:lpwstr>European Journal of Clinical Nutrition</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87225b22-eec1-3b01-9fdd-dcec660fe637</vt:lpwstr>
  </property>
  <property fmtid="{D5CDD505-2E9C-101B-9397-08002B2CF9AE}" pid="24" name="Mendeley Citation Style_1">
    <vt:lpwstr>http://www.zotero.org/styles/vancouver</vt:lpwstr>
  </property>
</Properties>
</file>