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1471C" w14:textId="0A71C555" w:rsidR="00953198" w:rsidRPr="00EA2A89" w:rsidRDefault="00DA3DDD" w:rsidP="00953198">
      <w:pPr>
        <w:pStyle w:val="Kop1"/>
        <w:spacing w:line="240" w:lineRule="auto"/>
        <w:jc w:val="center"/>
        <w:rPr>
          <w:lang w:val="en-GB"/>
        </w:rPr>
      </w:pPr>
      <w:r w:rsidRPr="00EA2A89">
        <w:rPr>
          <w:lang w:val="en-GB"/>
        </w:rPr>
        <w:t>Appendix B</w:t>
      </w:r>
    </w:p>
    <w:p w14:paraId="4B6A88DD" w14:textId="4AEE9BED" w:rsidR="00953198" w:rsidRDefault="00DA3DDD" w:rsidP="00953198">
      <w:pPr>
        <w:pStyle w:val="Kop1"/>
        <w:spacing w:line="240" w:lineRule="auto"/>
        <w:jc w:val="center"/>
        <w:rPr>
          <w:lang w:val="en-GB"/>
        </w:rPr>
      </w:pPr>
      <w:bookmarkStart w:id="0" w:name="_Hlk100911844"/>
      <w:r w:rsidRPr="00953198">
        <w:rPr>
          <w:lang w:val="en-GB"/>
        </w:rPr>
        <w:t xml:space="preserve">Detailed description and </w:t>
      </w:r>
    </w:p>
    <w:p w14:paraId="1B7DE62A" w14:textId="77777777" w:rsidR="00953198" w:rsidRDefault="00DA3DDD" w:rsidP="00953198">
      <w:pPr>
        <w:pStyle w:val="Kop1"/>
        <w:spacing w:line="240" w:lineRule="auto"/>
        <w:jc w:val="center"/>
        <w:rPr>
          <w:lang w:val="en-GB"/>
        </w:rPr>
      </w:pPr>
      <w:r w:rsidRPr="00953198">
        <w:rPr>
          <w:lang w:val="en-GB"/>
        </w:rPr>
        <w:t xml:space="preserve">numerical example of </w:t>
      </w:r>
    </w:p>
    <w:p w14:paraId="3937231A" w14:textId="733A37DC" w:rsidR="00DA3DDD" w:rsidRPr="00953198" w:rsidRDefault="00DA3DDD" w:rsidP="00953198">
      <w:pPr>
        <w:pStyle w:val="Kop1"/>
        <w:jc w:val="center"/>
        <w:rPr>
          <w:lang w:val="en-GB"/>
        </w:rPr>
      </w:pPr>
      <w:r w:rsidRPr="00953198">
        <w:rPr>
          <w:lang w:val="en-GB"/>
        </w:rPr>
        <w:t>multinomial network meta-analysis</w:t>
      </w:r>
      <w:bookmarkEnd w:id="0"/>
    </w:p>
    <w:p w14:paraId="06B59184" w14:textId="77777777" w:rsidR="001D2D4C" w:rsidRDefault="001D2D4C" w:rsidP="003D60DC"/>
    <w:p w14:paraId="2AAB8010" w14:textId="32EB44A7" w:rsidR="00DA3DDD" w:rsidRDefault="00DA3DDD" w:rsidP="003D60DC">
      <w:r>
        <w:t>As the data contain ordered categorical outcomes, t</w:t>
      </w:r>
      <w:r w:rsidRPr="000D375E">
        <w:t xml:space="preserve">he likelihood </w:t>
      </w:r>
      <w:r>
        <w:t>which r</w:t>
      </w:r>
      <w:r w:rsidRPr="00B2564F">
        <w:rPr>
          <w:rFonts w:cs="Arial"/>
        </w:rPr>
        <w:t>elate</w:t>
      </w:r>
      <w:r>
        <w:rPr>
          <w:rFonts w:cs="Arial"/>
        </w:rPr>
        <w:t>s</w:t>
      </w:r>
      <w:r w:rsidRPr="00B2564F">
        <w:rPr>
          <w:rFonts w:cs="Arial"/>
        </w:rPr>
        <w:t xml:space="preserve"> the data to the parameters of the models</w:t>
      </w:r>
      <w:r>
        <w:rPr>
          <w:rFonts w:cs="Arial"/>
        </w:rPr>
        <w:t>,</w:t>
      </w:r>
      <w:r>
        <w:t xml:space="preserve"> </w:t>
      </w:r>
      <w:r w:rsidRPr="000D375E">
        <w:t>was specified as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iTk</m:t>
            </m:r>
          </m:sub>
        </m:sSub>
        <m:r>
          <w:rPr>
            <w:rFonts w:ascii="Cambria Math" w:hAnsi="Cambria Math"/>
          </w:rPr>
          <m:t>~multinomial(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iTk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)</m:t>
        </m:r>
      </m:oMath>
      <w:r>
        <w:rPr>
          <w:rFonts w:eastAsia="Times New Roman"/>
          <w:lang w:eastAsia="en-GB"/>
        </w:rPr>
        <w:t>.</w:t>
      </w:r>
      <w:r w:rsidRPr="00B2564F">
        <w:rPr>
          <w:rFonts w:eastAsia="Times New Roman"/>
          <w:lang w:eastAsia="en-GB"/>
        </w:rPr>
        <w:t xml:space="preserve"> </w:t>
      </w:r>
      <w:r>
        <w:rPr>
          <w:noProof/>
          <w:position w:val="-12"/>
        </w:rPr>
        <w:drawing>
          <wp:inline distT="0" distB="0" distL="0" distR="0" wp14:anchorId="177FC7D0" wp14:editId="748D4B16">
            <wp:extent cx="332740" cy="267335"/>
            <wp:effectExtent l="0" t="0" r="0" b="0"/>
            <wp:docPr id="53" name="Afbeeld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being</w:t>
      </w:r>
      <w:r w:rsidRPr="000D375E">
        <w:t xml:space="preserve"> the probability for </w:t>
      </w:r>
      <w:r>
        <w:t xml:space="preserve">response category </w:t>
      </w:r>
      <m:oMath>
        <m:r>
          <w:rPr>
            <w:rFonts w:ascii="Cambria Math" w:hAnsi="Cambria Math"/>
          </w:rPr>
          <m:t>k</m:t>
        </m:r>
      </m:oMath>
      <w:r>
        <w:t xml:space="preserve"> in patients with treatment </w:t>
      </w:r>
      <w:r>
        <w:rPr>
          <w:noProof/>
          <w:position w:val="-4"/>
        </w:rPr>
        <w:drawing>
          <wp:inline distT="0" distB="0" distL="0" distR="0" wp14:anchorId="1C212D30" wp14:editId="6E8DCCC9">
            <wp:extent cx="130810" cy="130810"/>
            <wp:effectExtent l="0" t="0" r="2540" b="2540"/>
            <wp:docPr id="52" name="Afbeeld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in study </w:t>
      </w:r>
      <w:r>
        <w:rPr>
          <w:noProof/>
          <w:position w:val="-6"/>
        </w:rPr>
        <w:drawing>
          <wp:inline distT="0" distB="0" distL="0" distR="0" wp14:anchorId="3FCF4DE0" wp14:editId="7DCA0663">
            <wp:extent cx="59690" cy="130810"/>
            <wp:effectExtent l="0" t="0" r="0" b="2540"/>
            <wp:docPr id="51" name="Afbeeld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  <w:position w:val="-12"/>
        </w:rPr>
        <w:drawing>
          <wp:inline distT="0" distB="0" distL="0" distR="0" wp14:anchorId="0EEB5023" wp14:editId="1D01820A">
            <wp:extent cx="267335" cy="267335"/>
            <wp:effectExtent l="0" t="0" r="0" b="0"/>
            <wp:docPr id="50" name="Afbeeld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75E">
        <w:t xml:space="preserve"> </w:t>
      </w:r>
      <w:r>
        <w:t>t</w:t>
      </w:r>
      <w:r w:rsidRPr="000D375E">
        <w:t xml:space="preserve">he number of patients within each </w:t>
      </w:r>
      <w:r>
        <w:t>response</w:t>
      </w:r>
      <w:r w:rsidRPr="000D375E">
        <w:t xml:space="preserve"> category </w:t>
      </w:r>
      <m:oMath>
        <m:r>
          <w:rPr>
            <w:rFonts w:ascii="Cambria Math" w:hAnsi="Cambria Math"/>
          </w:rPr>
          <m:t>k</m:t>
        </m:r>
      </m:oMath>
      <w:r>
        <w:rPr>
          <w:position w:val="-9"/>
        </w:rPr>
        <w:t xml:space="preserve"> </w:t>
      </w:r>
      <w:r w:rsidRPr="000D375E">
        <w:t xml:space="preserve">and </w:t>
      </w:r>
      <w:r>
        <w:rPr>
          <w:noProof/>
          <w:position w:val="-12"/>
        </w:rPr>
        <w:drawing>
          <wp:inline distT="0" distB="0" distL="0" distR="0" wp14:anchorId="746E064F" wp14:editId="0C1ECC2E">
            <wp:extent cx="267335" cy="267335"/>
            <wp:effectExtent l="0" t="0" r="0" b="0"/>
            <wp:docPr id="49" name="Afbeeld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0D375E">
        <w:t>the total number</w:t>
      </w:r>
      <w:r>
        <w:t xml:space="preserve"> of patients with treatment </w:t>
      </w:r>
      <w:r>
        <w:rPr>
          <w:noProof/>
          <w:position w:val="-4"/>
        </w:rPr>
        <w:drawing>
          <wp:inline distT="0" distB="0" distL="0" distR="0" wp14:anchorId="3BF4FC5C" wp14:editId="1A30DE29">
            <wp:extent cx="130810" cy="130810"/>
            <wp:effectExtent l="0" t="0" r="2540" b="2540"/>
            <wp:docPr id="48" name="Afbeeld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in study </w:t>
      </w:r>
      <w:r>
        <w:rPr>
          <w:noProof/>
          <w:position w:val="-6"/>
        </w:rPr>
        <w:drawing>
          <wp:inline distT="0" distB="0" distL="0" distR="0" wp14:anchorId="40823268" wp14:editId="74FCED07">
            <wp:extent cx="59690" cy="130810"/>
            <wp:effectExtent l="0" t="0" r="0" b="2540"/>
            <wp:docPr id="47" name="Afbeeld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75E">
        <w:t>.</w:t>
      </w:r>
      <w:r w:rsidRPr="00842A76">
        <w:t xml:space="preserve"> </w:t>
      </w:r>
    </w:p>
    <w:p w14:paraId="105CBB16" w14:textId="7D32FD34" w:rsidR="00DA3DDD" w:rsidRDefault="00DA3DDD" w:rsidP="003D60DC">
      <w:r w:rsidRPr="00E51262">
        <w:t>For model</w:t>
      </w:r>
      <w:r>
        <w:t>l</w:t>
      </w:r>
      <w:r w:rsidRPr="00E51262">
        <w:t xml:space="preserve">ing ordered </w:t>
      </w:r>
      <w:r>
        <w:t>categorical</w:t>
      </w:r>
      <w:r w:rsidRPr="00E51262">
        <w:t xml:space="preserve"> outcomes, the fixed effect </w:t>
      </w:r>
      <w:r>
        <w:t>multinomial logistic</w:t>
      </w:r>
      <w:r w:rsidRPr="00E51262">
        <w:t xml:space="preserve"> model was specified as</w:t>
      </w:r>
      <w:bookmarkStart w:id="1" w:name="_GoBack"/>
      <w:bookmarkEnd w:id="1"/>
      <w:r w:rsidRPr="00E51262">
        <w:t>:</w:t>
      </w:r>
    </w:p>
    <w:p w14:paraId="5081E33A" w14:textId="77777777" w:rsidR="00DA3DDD" w:rsidRDefault="00780FFC" w:rsidP="003D60DC"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iTk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ik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ibzk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bk</m:t>
                      </m:r>
                    </m:sub>
                  </m:sSub>
                </m:e>
              </m:eqArr>
              <m:ctrlPr>
                <w:rPr>
                  <w:rFonts w:ascii="Cambria Math" w:eastAsia="Cambria Math" w:hAnsi="Cambria Math" w:cs="Cambria Math"/>
                </w:rPr>
              </m:ctrlPr>
            </m:e>
            <m:e>
              <m:f>
                <m:fPr>
                  <m:type m:val="noBar"/>
                  <m:ctrlPr>
                    <w:rPr>
                      <w:rFonts w:ascii="Cambria Math" w:eastAsia="Cambria Math" w:hAnsi="Cambria Math" w:cs="Cambria Math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</w:rPr>
                    <m:t>if</m:t>
                  </m:r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Cambria Math"/>
                        </w:rPr>
                        <m:t>T</m:t>
                      </m:r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</w:rPr>
                        <m:t>=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b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 xml:space="preserve">,   </m:t>
                  </m:r>
                  <m:r>
                    <w:rPr>
                      <w:rFonts w:ascii="Cambria Math" w:eastAsia="Cambria Math" w:hAnsi="Cambria Math" w:cs="Cambria Math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>∈1,2,…,</m:t>
                  </m:r>
                  <m:r>
                    <w:rPr>
                      <w:rFonts w:ascii="Cambria Math" w:eastAsia="Cambria Math" w:hAnsi="Cambria Math" w:cs="Cambria Math"/>
                    </w:rPr>
                    <m:t>tx</m:t>
                  </m:r>
                </m:num>
                <m:den>
                  <m:r>
                    <w:rPr>
                      <w:rFonts w:ascii="Cambria Math" w:eastAsia="Cambria Math" w:hAnsi="Cambria Math" w:cs="Cambria Math"/>
                    </w:rPr>
                    <m:t>if</m:t>
                  </m:r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="Cambria Math" w:hAnsi="Cambria Math" w:cs="Cambria Math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 w:cs="Cambria Math"/>
                        </w:rPr>
                        <m:t>T</m:t>
                      </m:r>
                      <m:r>
                        <m:rPr>
                          <m:sty m:val="p"/>
                        </m:rPr>
                        <w:rPr>
                          <w:rFonts w:ascii="Cambria Math" w:eastAsia="Cambria Math" w:hAnsi="Cambria Math" w:cs="Cambria Math"/>
                        </w:rPr>
                        <m:t>=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z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 xml:space="preserve">,   </m:t>
                  </m:r>
                  <m:r>
                    <w:rPr>
                      <w:rFonts w:ascii="Cambria Math" w:eastAsia="Cambria Math" w:hAnsi="Cambria Math" w:cs="Cambria Math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>&gt;</m:t>
                  </m:r>
                  <m:r>
                    <w:rPr>
                      <w:rFonts w:ascii="Cambria Math" w:eastAsia="Cambria Math" w:hAnsi="Cambria Math" w:cs="Cambria Math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 xml:space="preserve">,   </m:t>
                  </m:r>
                  <m:r>
                    <w:rPr>
                      <w:rFonts w:ascii="Cambria Math" w:eastAsia="Cambria Math" w:hAnsi="Cambria Math" w:cs="Cambria Math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eastAsia="Cambria Math" w:hAnsi="Cambria Math" w:cs="Cambria Math"/>
                    </w:rPr>
                    <m:t>∈2,3,…,</m:t>
                  </m:r>
                  <m:r>
                    <w:rPr>
                      <w:rFonts w:ascii="Cambria Math" w:eastAsia="Cambria Math" w:hAnsi="Cambria Math" w:cs="Cambria Math"/>
                    </w:rPr>
                    <m:t>tx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=2,3</m:t>
          </m:r>
        </m:oMath>
      </m:oMathPara>
    </w:p>
    <w:p w14:paraId="21F716AB" w14:textId="77777777" w:rsidR="00DA3DDD" w:rsidRPr="00B2564F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</m:t>
          </m:r>
        </m:oMath>
      </m:oMathPara>
    </w:p>
    <w:p w14:paraId="1F2D557F" w14:textId="1BB73390" w:rsidR="00DA3DDD" w:rsidRDefault="00DA3DDD" w:rsidP="003D60DC">
      <w:r>
        <w:t xml:space="preserve">Each treatment combination </w:t>
      </w:r>
      <m:oMath>
        <m:r>
          <w:rPr>
            <w:rFonts w:ascii="Cambria Math" w:hAnsi="Cambria Math"/>
          </w:rPr>
          <m:t>T</m:t>
        </m:r>
      </m:oMath>
      <w:r>
        <w:t xml:space="preserve"> is designated to a specific index. Therefore, this index runs from 1 to the total number of treatments </w:t>
      </w:r>
      <m:oMath>
        <m:r>
          <w:rPr>
            <w:rFonts w:ascii="Cambria Math" w:hAnsi="Cambria Math"/>
          </w:rPr>
          <m:t>tx</m:t>
        </m:r>
      </m:oMath>
      <w:r>
        <w:t>. For e</w:t>
      </w:r>
      <w:r w:rsidRPr="006B5CAC">
        <w:t>ach study</w:t>
      </w:r>
      <w:r>
        <w:t xml:space="preserve"> </w:t>
      </w:r>
      <w:r w:rsidRPr="006B5CAC">
        <w:t xml:space="preserve">one treatment </w:t>
      </w:r>
      <w:r>
        <w:t xml:space="preserve">is assigned </w:t>
      </w:r>
      <w:r w:rsidRPr="006B5CAC">
        <w:t>as the base treatment</w:t>
      </w:r>
      <w:r>
        <w:t xml:space="preserve"> </w:t>
      </w:r>
      <m:oMath>
        <m:r>
          <w:rPr>
            <w:rFonts w:ascii="Cambria Math" w:hAnsi="Cambria Math"/>
          </w:rPr>
          <m:t>b</m:t>
        </m:r>
      </m:oMath>
      <w:r>
        <w:t xml:space="preserve"> (i.e., often the control arm treatment) and</w:t>
      </w:r>
      <w:r w:rsidRPr="00B2564F">
        <w:t xml:space="preserve"> </w:t>
      </w:r>
      <w:r>
        <w:t>the other treatment as t</w:t>
      </w:r>
      <w:r w:rsidRPr="00B2564F">
        <w:t xml:space="preserve">he </w:t>
      </w:r>
      <w:r>
        <w:t>non-base t</w:t>
      </w:r>
      <w:r w:rsidRPr="00B2564F">
        <w:t>reatment</w:t>
      </w:r>
      <w:r>
        <w:rPr>
          <w:noProof/>
          <w:position w:val="-4"/>
        </w:rPr>
        <w:drawing>
          <wp:inline distT="0" distB="0" distL="0" distR="0" wp14:anchorId="5DD4A994" wp14:editId="692DC3A3">
            <wp:extent cx="130810" cy="130810"/>
            <wp:effectExtent l="0" t="0" r="2540" b="2540"/>
            <wp:docPr id="46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(i.e., often the experimental arm treatment). The non-base </w:t>
      </w:r>
      <w:r w:rsidRPr="00B2564F">
        <w:t xml:space="preserve">treatments </w:t>
      </w:r>
      <w:r>
        <w:rPr>
          <w:noProof/>
          <w:position w:val="-4"/>
        </w:rPr>
        <w:drawing>
          <wp:inline distT="0" distB="0" distL="0" distR="0" wp14:anchorId="427A7EE3" wp14:editId="56A1E1C0">
            <wp:extent cx="130810" cy="130810"/>
            <wp:effectExtent l="0" t="0" r="2540" b="2540"/>
            <wp:docPr id="4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1E683D4A">
        <w:rPr>
          <w:i/>
          <w:iCs/>
        </w:rPr>
        <w:t xml:space="preserve"> </w:t>
      </w:r>
      <w:r w:rsidRPr="00B2564F">
        <w:t>follow all the b</w:t>
      </w:r>
      <w:r>
        <w:t xml:space="preserve">ase treatments </w:t>
      </w:r>
      <m:oMath>
        <m:r>
          <w:rPr>
            <w:rFonts w:ascii="Cambria Math" w:hAnsi="Cambria Math"/>
          </w:rPr>
          <m:t xml:space="preserve">b </m:t>
        </m:r>
      </m:oMath>
      <w:r>
        <w:t xml:space="preserve">in numerical order and therefore has indices running from 2 to </w:t>
      </w:r>
      <m:oMath>
        <m:r>
          <w:rPr>
            <w:rFonts w:ascii="Cambria Math" w:hAnsi="Cambria Math"/>
          </w:rPr>
          <m:t>tx</m:t>
        </m:r>
      </m:oMath>
      <w:r w:rsidRPr="00B2564F">
        <w:t xml:space="preserve">. </w:t>
      </w:r>
    </w:p>
    <w:p w14:paraId="2935A588" w14:textId="5B815234" w:rsidR="00DA3DDD" w:rsidRPr="00135A17" w:rsidRDefault="00DA3DDD" w:rsidP="003D60DC">
      <w:r>
        <w:t>Dexamethasone (treatment index=1)</w:t>
      </w:r>
      <w:r w:rsidRPr="00B2564F">
        <w:t xml:space="preserve"> is taken to be the reference treatment for </w:t>
      </w:r>
      <w:r>
        <w:t xml:space="preserve">the presented analysis results but note that </w:t>
      </w:r>
      <w:r>
        <w:rPr>
          <w:noProof/>
          <w:position w:val="-6"/>
        </w:rPr>
        <w:drawing>
          <wp:inline distT="0" distB="0" distL="0" distR="0" wp14:anchorId="7062A86C" wp14:editId="5E7577C9">
            <wp:extent cx="130810" cy="130810"/>
            <wp:effectExtent l="0" t="0" r="0" b="2540"/>
            <wp:docPr id="44" name="Afbeeld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</w:t>
      </w:r>
      <w:r>
        <w:t>is not necessarily dexamethasone in every trial</w:t>
      </w:r>
      <w:r w:rsidRPr="00B2564F">
        <w:t xml:space="preserve">. </w:t>
      </w:r>
      <w:r>
        <w:rPr>
          <w:noProof/>
          <w:position w:val="-12"/>
        </w:rPr>
        <w:drawing>
          <wp:inline distT="0" distB="0" distL="0" distR="0" wp14:anchorId="13E42EE6" wp14:editId="58139EF3">
            <wp:extent cx="267335" cy="267335"/>
            <wp:effectExtent l="0" t="0" r="0" b="0"/>
            <wp:docPr id="43" name="Afbeeld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64F">
        <w:t xml:space="preserve"> are the </w:t>
      </w:r>
      <w:r>
        <w:t>hazards</w:t>
      </w:r>
      <w:r w:rsidRPr="00B2564F">
        <w:t xml:space="preserve"> for </w:t>
      </w:r>
      <w:r>
        <w:t xml:space="preserve">response category </w:t>
      </w:r>
      <m:oMath>
        <m:r>
          <w:rPr>
            <w:rFonts w:ascii="Cambria Math" w:hAnsi="Cambria Math"/>
          </w:rPr>
          <m:t>k</m:t>
        </m:r>
      </m:oMath>
      <w:r w:rsidRPr="00B2564F">
        <w:t xml:space="preserve"> among all patients for treatment </w:t>
      </w:r>
      <w:r>
        <w:rPr>
          <w:i/>
        </w:rPr>
        <w:t>T</w:t>
      </w:r>
      <w:r w:rsidRPr="00B2564F">
        <w:t xml:space="preserve"> in study</w:t>
      </w:r>
      <w:r>
        <w:t xml:space="preserve"> </w:t>
      </w:r>
      <w:r>
        <w:rPr>
          <w:noProof/>
          <w:position w:val="-6"/>
        </w:rPr>
        <w:drawing>
          <wp:inline distT="0" distB="0" distL="0" distR="0" wp14:anchorId="33E7E42E" wp14:editId="0BADA854">
            <wp:extent cx="59690" cy="130810"/>
            <wp:effectExtent l="0" t="0" r="0" b="2540"/>
            <wp:docPr id="42" name="Afbeeld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64F">
        <w:t>.</w:t>
      </w:r>
      <w:r>
        <w:t xml:space="preserve"> The odds are only estimated for category </w:t>
      </w:r>
      <m:oMath>
        <m:r>
          <w:rPr>
            <w:rFonts w:ascii="Cambria Math" w:hAnsi="Cambria Math"/>
          </w:rPr>
          <m:t>k=2</m:t>
        </m:r>
      </m:oMath>
      <w:r>
        <w:t xml:space="preserve"> (PR-group) and </w:t>
      </w:r>
      <m:oMath>
        <m:r>
          <w:rPr>
            <w:rFonts w:ascii="Cambria Math" w:hAnsi="Cambria Math"/>
          </w:rPr>
          <m:t>k=3</m:t>
        </m:r>
      </m:oMath>
      <w:r>
        <w:t xml:space="preserve">  (&lt;PR-group), because the odds for category </w:t>
      </w:r>
      <m:oMath>
        <m:r>
          <w:rPr>
            <w:rFonts w:ascii="Cambria Math" w:hAnsi="Cambria Math"/>
          </w:rPr>
          <m:t>k=1</m:t>
        </m:r>
      </m:oMath>
      <w:r>
        <w:t xml:space="preserve"> </w:t>
      </w:r>
      <w:r>
        <w:rPr>
          <w:rFonts w:eastAsiaTheme="minorEastAsia"/>
        </w:rPr>
        <w:t>(CR-group)</w:t>
      </w:r>
      <w:r>
        <w:t xml:space="preserve"> is inherent for ordered categorical outcomes.</w:t>
      </w:r>
      <w:r w:rsidRPr="00B2564F">
        <w:t xml:space="preserve"> </w:t>
      </w:r>
      <w:r>
        <w:rPr>
          <w:noProof/>
          <w:position w:val="-12"/>
        </w:rPr>
        <w:drawing>
          <wp:inline distT="0" distB="0" distL="0" distR="0" wp14:anchorId="62297C25" wp14:editId="1FD3DFAA">
            <wp:extent cx="267335" cy="267335"/>
            <wp:effectExtent l="0" t="0" r="0" b="0"/>
            <wp:docPr id="41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are</w:t>
      </w:r>
      <w:r w:rsidRPr="00B2564F">
        <w:t xml:space="preserve"> the </w:t>
      </w:r>
      <w:r>
        <w:t xml:space="preserve">log </w:t>
      </w:r>
      <w:r w:rsidRPr="00B2564F">
        <w:t xml:space="preserve">odds for </w:t>
      </w:r>
      <w:r>
        <w:t xml:space="preserve">category </w:t>
      </w:r>
      <m:oMath>
        <m:r>
          <w:rPr>
            <w:rFonts w:ascii="Cambria Math" w:hAnsi="Cambria Math"/>
          </w:rPr>
          <m:t>k</m:t>
        </m:r>
      </m:oMath>
      <w:r>
        <w:t xml:space="preserve"> </w:t>
      </w:r>
      <w:r w:rsidRPr="00B2564F">
        <w:t xml:space="preserve">for </w:t>
      </w:r>
      <w:r>
        <w:t xml:space="preserve">base </w:t>
      </w:r>
      <w:r w:rsidRPr="00B2564F">
        <w:t xml:space="preserve">treatment </w:t>
      </w:r>
      <m:oMath>
        <m:r>
          <w:rPr>
            <w:rFonts w:ascii="Cambria Math" w:hAnsi="Cambria Math"/>
          </w:rPr>
          <m:t>b</m:t>
        </m:r>
      </m:oMath>
      <w:r w:rsidRPr="00B2564F">
        <w:t xml:space="preserve"> in study </w:t>
      </w:r>
      <m:oMath>
        <m:r>
          <w:rPr>
            <w:rFonts w:ascii="Cambria Math" w:hAnsi="Cambria Math"/>
          </w:rPr>
          <m:t>i</m:t>
        </m:r>
      </m:oMath>
      <w:r w:rsidRPr="00B2564F">
        <w:t xml:space="preserve">. </w:t>
      </w:r>
      <w:r>
        <w:rPr>
          <w:noProof/>
          <w:position w:val="-12"/>
        </w:rPr>
        <w:drawing>
          <wp:inline distT="0" distB="0" distL="0" distR="0" wp14:anchorId="6C8C838F" wp14:editId="1116248D">
            <wp:extent cx="332740" cy="267335"/>
            <wp:effectExtent l="0" t="0" r="0" b="0"/>
            <wp:docPr id="39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are</w:t>
      </w:r>
      <w:r w:rsidRPr="00B2564F">
        <w:t xml:space="preserve"> the relative effect</w:t>
      </w:r>
      <w:r>
        <w:t>s</w:t>
      </w:r>
      <w:r w:rsidRPr="00B2564F">
        <w:t xml:space="preserve"> for treatment </w:t>
      </w:r>
      <w:r>
        <w:rPr>
          <w:noProof/>
          <w:position w:val="-4"/>
        </w:rPr>
        <w:drawing>
          <wp:inline distT="0" distB="0" distL="0" distR="0" wp14:anchorId="65A00945" wp14:editId="186EF203">
            <wp:extent cx="130810" cy="130810"/>
            <wp:effectExtent l="0" t="0" r="2540" b="254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64F">
        <w:t xml:space="preserve"> versus</w:t>
      </w:r>
      <w:r>
        <w:t xml:space="preserve"> </w:t>
      </w:r>
      <w:r>
        <w:rPr>
          <w:noProof/>
          <w:position w:val="-6"/>
        </w:rPr>
        <w:drawing>
          <wp:inline distT="0" distB="0" distL="0" distR="0" wp14:anchorId="479093E0" wp14:editId="23B2D264">
            <wp:extent cx="130810" cy="130810"/>
            <wp:effectExtent l="0" t="0" r="0" b="254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and is estimated </w:t>
      </w:r>
      <w:r>
        <w:lastRenderedPageBreak/>
        <w:t>for PR and &lt;PR separately</w:t>
      </w:r>
      <w:r w:rsidRPr="00B2564F">
        <w:t>.</w:t>
      </w:r>
      <w:r>
        <w:t xml:space="preserve"> </w:t>
      </w:r>
      <w:r>
        <w:rPr>
          <w:noProof/>
          <w:position w:val="-12"/>
        </w:rPr>
        <w:drawing>
          <wp:inline distT="0" distB="0" distL="0" distR="0" wp14:anchorId="1085E33A" wp14:editId="6D9047E5">
            <wp:extent cx="332740" cy="267335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64F">
        <w:t xml:space="preserve"> </w:t>
      </w:r>
      <w:r>
        <w:t>are</w:t>
      </w:r>
      <w:r w:rsidRPr="00B2564F">
        <w:t xml:space="preserve"> identified by expressing </w:t>
      </w:r>
      <w:r>
        <w:t xml:space="preserve">them </w:t>
      </w:r>
      <w:r w:rsidRPr="00B2564F">
        <w:t xml:space="preserve">in terms of the reference treatment </w:t>
      </w:r>
      <w:r>
        <w:t>dexamethasone</w:t>
      </w:r>
      <w:r w:rsidRPr="00B2564F"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ibzk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zk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bk</m:t>
            </m:r>
          </m:sub>
        </m:sSub>
      </m:oMath>
      <w:r>
        <w:rPr>
          <w:rFonts w:eastAsiaTheme="minorEastAsia"/>
        </w:rPr>
        <w:t xml:space="preserve"> </w:t>
      </w:r>
      <w:r w:rsidRPr="00B2564F">
        <w:t xml:space="preserve">with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  <m:r>
          <w:rPr>
            <w:rFonts w:ascii="Cambria Math" w:hAnsi="Cambria Math"/>
          </w:rPr>
          <m:t>=0</m:t>
        </m:r>
      </m:oMath>
      <w:r w:rsidRPr="00B2564F">
        <w:t>.</w:t>
      </w:r>
    </w:p>
    <w:p w14:paraId="0A1C1552" w14:textId="77777777" w:rsidR="00DA3DDD" w:rsidRPr="000D375E" w:rsidRDefault="00DA3DDD" w:rsidP="003D60DC">
      <w:pPr>
        <w:rPr>
          <w:rFonts w:eastAsia="PMingLiU"/>
        </w:rPr>
      </w:pPr>
      <w:r w:rsidRPr="00B2564F">
        <w:t xml:space="preserve">The </w:t>
      </w:r>
      <w:r>
        <w:t xml:space="preserve">log odds </w:t>
      </w:r>
      <w:r w:rsidRPr="00B2564F">
        <w:t xml:space="preserve">were transformed to </w:t>
      </w:r>
      <w:r>
        <w:t>response</w:t>
      </w:r>
      <w:r w:rsidRPr="00B2564F">
        <w:t xml:space="preserve"> specific probabilities</w:t>
      </w:r>
      <w:r>
        <w:t xml:space="preserve"> for </w:t>
      </w:r>
      <m:oMath>
        <m:r>
          <w:rPr>
            <w:rFonts w:ascii="Cambria Math" w:hAnsi="Cambria Math"/>
          </w:rPr>
          <m:t>k=2</m:t>
        </m:r>
      </m:oMath>
      <w:r>
        <w:t xml:space="preserve"> (PR) and </w:t>
      </w:r>
      <m:oMath>
        <m:r>
          <w:rPr>
            <w:rFonts w:ascii="Cambria Math" w:hAnsi="Cambria Math"/>
          </w:rPr>
          <m:t>k</m:t>
        </m:r>
      </m:oMath>
      <w:r>
        <w:rPr>
          <w:rFonts w:eastAsiaTheme="minorEastAsia"/>
        </w:rPr>
        <w:t>=3 (&lt;</w:t>
      </w:r>
      <w:r>
        <w:t xml:space="preserve">PR) </w:t>
      </w:r>
      <w:r w:rsidRPr="00B2564F">
        <w:t>by</w:t>
      </w:r>
      <w:r>
        <w:t xml:space="preserve"> the following formula:</w:t>
      </w:r>
    </w:p>
    <w:p w14:paraId="726AA621" w14:textId="77777777" w:rsidR="00DA3DDD" w:rsidRPr="00B2564F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iTk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=2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iTm</m:t>
                      </m:r>
                    </m:sub>
                  </m:sSub>
                </m:e>
              </m:nary>
            </m:den>
          </m:f>
        </m:oMath>
      </m:oMathPara>
    </w:p>
    <w:p w14:paraId="00743ACD" w14:textId="77777777" w:rsidR="00DA3DDD" w:rsidRPr="00B2564F" w:rsidRDefault="00DA3DDD" w:rsidP="003D60DC">
      <w:r>
        <w:t>The probability of response category CR</w:t>
      </w:r>
      <w:r w:rsidRPr="00B2564F">
        <w:t>, corresponding to</w:t>
      </w:r>
      <w:r>
        <w:t xml:space="preserve"> </w:t>
      </w:r>
      <m:oMath>
        <m:r>
          <w:rPr>
            <w:rFonts w:ascii="Cambria Math" w:hAnsi="Cambria Math"/>
          </w:rPr>
          <m:t>k=1</m:t>
        </m:r>
      </m:oMath>
      <w:r w:rsidRPr="00B2564F">
        <w:t>, is inherent and calculated as</w:t>
      </w:r>
    </w:p>
    <w:p w14:paraId="060072DD" w14:textId="77777777" w:rsidR="00DA3DDD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=2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iTm</m:t>
                  </m:r>
                </m:sub>
              </m:sSub>
            </m:e>
          </m:nary>
        </m:oMath>
      </m:oMathPara>
    </w:p>
    <w:p w14:paraId="5A433817" w14:textId="77777777" w:rsidR="00DA3DDD" w:rsidRDefault="00DA3DDD" w:rsidP="003D60DC">
      <w:r>
        <w:t xml:space="preserve">The remaining </w:t>
      </w:r>
      <m:oMath>
        <m:r>
          <w:rPr>
            <w:rFonts w:ascii="Cambria Math" w:hAnsi="Cambria Math"/>
          </w:rPr>
          <m:t>d</m:t>
        </m:r>
      </m:oMath>
      <w:r>
        <w:t>’s (one for each treatment) were calculated based on the available direct RCT evidence and the requirement that the indirect evidence should generate similar results.</w:t>
      </w:r>
    </w:p>
    <w:p w14:paraId="5FCBAB58" w14:textId="77777777" w:rsidR="00DA3DDD" w:rsidRDefault="00DA3DDD" w:rsidP="003D60DC">
      <w:r>
        <w:t xml:space="preserve">A smaller network was used to show the step-by-step calculations of the multinomial network meta-analysis. For this network, data from two trials were synthesized: </w:t>
      </w:r>
    </w:p>
    <w:p w14:paraId="23793985" w14:textId="77777777" w:rsidR="00DA3DDD" w:rsidRDefault="00DA3DDD" w:rsidP="003D60DC">
      <w:pPr>
        <w:pStyle w:val="Lijstalinea"/>
        <w:numPr>
          <w:ilvl w:val="0"/>
          <w:numId w:val="2"/>
        </w:numPr>
      </w:pPr>
      <w:r>
        <w:t xml:space="preserve">POLLUX (comparing DaraLenDex and LenDex) and </w:t>
      </w:r>
    </w:p>
    <w:p w14:paraId="7CA06207" w14:textId="77777777" w:rsidR="00DA3DDD" w:rsidRDefault="00DA3DDD" w:rsidP="003D60DC">
      <w:pPr>
        <w:pStyle w:val="Lijstalinea"/>
        <w:numPr>
          <w:ilvl w:val="0"/>
          <w:numId w:val="2"/>
        </w:numPr>
      </w:pPr>
      <w:r>
        <w:t xml:space="preserve">ASPIRE (comparing CarLenDex and LenDex). </w:t>
      </w:r>
    </w:p>
    <w:p w14:paraId="2FDDA805" w14:textId="504AB3B8" w:rsidR="00DA3DDD" w:rsidRPr="006B783F" w:rsidRDefault="00DA3DDD" w:rsidP="003D60DC">
      <w:r>
        <w:t xml:space="preserve">LenDex is used as reference treatment in this network. In Figure </w:t>
      </w:r>
      <w:r w:rsidRPr="1E683D4A">
        <w:rPr>
          <w:noProof/>
        </w:rPr>
        <w:t>6</w:t>
      </w:r>
      <w:r>
        <w:t xml:space="preserve"> the network is presented with three treatment regimens: [1] LenDex, [2] DaraLenDex and [3] CarLenDex (the numbers between square brackets also correspond to their treatment index in the WinBUGS code file). The solid lines between the treatments indicate direct evidence available from a phase III RCT and the dotted line between the treatments indicate indirect evidence used in the NMA. Every white colored box represents a treatment regimen and is accompanied by a grey box. In the grey boxes the trial data and WinBUGS results are presented. The sources (i.e., POLLUX, ASPIRE or WinBUGS) are followed by three percentages (i.e., CR/PR/&lt;PR rates) and the number of patients (N) assigned to that specific treatment is presented.</w:t>
      </w:r>
    </w:p>
    <w:p w14:paraId="645632EB" w14:textId="5C3A1824" w:rsidR="00E15290" w:rsidRDefault="00E15290" w:rsidP="00E15290">
      <w:pPr>
        <w:keepNext/>
        <w:spacing w:line="240" w:lineRule="auto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3BBD120B" wp14:editId="53600F97">
            <wp:extent cx="5559552" cy="2731008"/>
            <wp:effectExtent l="0" t="0" r="317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6_Illustrative_example_network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273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05ADE" w14:textId="55CAE8EA" w:rsidR="00E15290" w:rsidRDefault="00E15290" w:rsidP="00E15290">
      <w:pPr>
        <w:rPr>
          <w:lang w:val="en-GB"/>
        </w:rPr>
      </w:pPr>
      <w:r w:rsidRPr="002233B4">
        <w:rPr>
          <w:lang w:val="en-GB"/>
        </w:rPr>
        <w:t>Fig.6 Illustrative example of the network meta-analysis (ASPIRE and POLLUX)</w:t>
      </w:r>
    </w:p>
    <w:p w14:paraId="38D1A3AC" w14:textId="77777777" w:rsidR="00E15290" w:rsidRDefault="00E15290" w:rsidP="003D60DC">
      <w:pPr>
        <w:rPr>
          <w:b/>
          <w:bCs/>
        </w:rPr>
      </w:pPr>
    </w:p>
    <w:p w14:paraId="49A7999A" w14:textId="108426D0" w:rsidR="00DA3DDD" w:rsidRPr="00E15290" w:rsidRDefault="00DA3DDD" w:rsidP="003D60DC">
      <w:pPr>
        <w:rPr>
          <w:b/>
          <w:bCs/>
        </w:rPr>
      </w:pPr>
      <w:r w:rsidRPr="00E15290">
        <w:rPr>
          <w:b/>
          <w:bCs/>
        </w:rPr>
        <w:t>The data</w:t>
      </w:r>
    </w:p>
    <w:p w14:paraId="3DBC961E" w14:textId="77777777" w:rsidR="00DA3DDD" w:rsidRDefault="00DA3DDD" w:rsidP="003D60DC">
      <w:r>
        <w:t>In order to populate the WinBUGS data code file, the following variables were used and explained here:</w:t>
      </w:r>
    </w:p>
    <w:p w14:paraId="06D7C954" w14:textId="77777777" w:rsidR="00DA3DDD" w:rsidRDefault="00DA3DDD" w:rsidP="003D60DC">
      <w:r>
        <w:rPr>
          <w:i/>
          <w:color w:val="FF0000"/>
        </w:rPr>
        <w:t>i</w:t>
      </w:r>
      <w:r>
        <w:t>=study index (1=POLLUX, 2=ASPIRE)</w:t>
      </w:r>
    </w:p>
    <w:p w14:paraId="1F53597C" w14:textId="77777777" w:rsidR="00DA3DDD" w:rsidRDefault="00DA3DDD" w:rsidP="003D60DC">
      <w:r w:rsidRPr="00570265">
        <w:rPr>
          <w:i/>
          <w:color w:val="FF0000"/>
        </w:rPr>
        <w:t>j</w:t>
      </w:r>
      <w:r>
        <w:t>=treatment index (1=LenDex, 2=DaraLenDex, 3=CarLenDex)</w:t>
      </w:r>
    </w:p>
    <w:p w14:paraId="5B9CA5D7" w14:textId="77777777" w:rsidR="00DA3DDD" w:rsidRPr="003C56EC" w:rsidRDefault="00DA3DDD" w:rsidP="003D60DC">
      <w:pPr>
        <w:rPr>
          <w:lang w:val="fr-CH"/>
        </w:rPr>
      </w:pPr>
      <w:r w:rsidRPr="003C56EC">
        <w:rPr>
          <w:i/>
          <w:color w:val="FF0000"/>
          <w:lang w:val="fr-CH"/>
        </w:rPr>
        <w:t>k</w:t>
      </w:r>
      <w:r w:rsidRPr="003C56EC">
        <w:rPr>
          <w:lang w:val="fr-CH"/>
        </w:rPr>
        <w:t>=outcome index (1=CR, 2=PR, 3=&lt;PR)</w:t>
      </w:r>
    </w:p>
    <w:p w14:paraId="23930100" w14:textId="77777777" w:rsidR="00DA3DDD" w:rsidRDefault="00DA3DDD" w:rsidP="003D60DC">
      <w:r w:rsidRPr="00570265">
        <w:rPr>
          <w:i/>
          <w:color w:val="FF0000"/>
        </w:rPr>
        <w:t>Tx[i,1]</w:t>
      </w:r>
      <w:r w:rsidRPr="00570265">
        <w:rPr>
          <w:color w:val="FF0000"/>
        </w:rPr>
        <w:t xml:space="preserve"> </w:t>
      </w:r>
      <w:r>
        <w:t>= control treatment index j (1=LenDex, 2=DaraLenDex, 3=CarLenDex)</w:t>
      </w:r>
    </w:p>
    <w:p w14:paraId="599A12F2" w14:textId="77777777" w:rsidR="00DA3DDD" w:rsidRDefault="00DA3DDD" w:rsidP="003D60DC">
      <w:r w:rsidRPr="00570265">
        <w:rPr>
          <w:i/>
          <w:color w:val="FF0000"/>
        </w:rPr>
        <w:t>Tx[</w:t>
      </w:r>
      <w:r>
        <w:rPr>
          <w:i/>
          <w:color w:val="FF0000"/>
        </w:rPr>
        <w:t>i</w:t>
      </w:r>
      <w:r w:rsidRPr="00570265">
        <w:rPr>
          <w:i/>
          <w:color w:val="FF0000"/>
        </w:rPr>
        <w:t>,2]</w:t>
      </w:r>
      <w:r>
        <w:t>=experimental treatment index j (1=LenDex, 2=DaraLenDex, 3=CarLenDex)</w:t>
      </w:r>
    </w:p>
    <w:p w14:paraId="06D5C5BA" w14:textId="28932811" w:rsidR="00DA3DDD" w:rsidRDefault="00DA3DDD" w:rsidP="003D60DC">
      <w:r w:rsidRPr="1E683D4A">
        <w:rPr>
          <w:color w:val="FF0000"/>
        </w:rPr>
        <w:t xml:space="preserve">na[i] </w:t>
      </w:r>
      <w:r>
        <w:t xml:space="preserve">= number of arms in study </w:t>
      </w:r>
      <w:r w:rsidRPr="1E683D4A">
        <w:rPr>
          <w:color w:val="FF0000"/>
        </w:rPr>
        <w:t xml:space="preserve">i </w:t>
      </w:r>
      <w:r>
        <w:t>(i.e., 2 in this example)</w:t>
      </w:r>
    </w:p>
    <w:p w14:paraId="520F350E" w14:textId="696DD473" w:rsidR="00DA3DDD" w:rsidRPr="001657C6" w:rsidRDefault="00DA3DDD" w:rsidP="003D60DC">
      <w:r>
        <w:t xml:space="preserve">The variable </w:t>
      </w:r>
      <w:r w:rsidRPr="1E683D4A">
        <w:rPr>
          <w:i/>
          <w:iCs/>
          <w:color w:val="FF0000"/>
        </w:rPr>
        <w:t>r[i,j,k]</w:t>
      </w:r>
      <w:r w:rsidRPr="1E683D4A">
        <w:rPr>
          <w:color w:val="FF0000"/>
        </w:rPr>
        <w:t xml:space="preserve"> </w:t>
      </w:r>
      <w:r>
        <w:t xml:space="preserve">is the number of patients in study </w:t>
      </w:r>
      <w:r w:rsidRPr="1E683D4A">
        <w:rPr>
          <w:i/>
          <w:iCs/>
          <w:color w:val="FF0000"/>
        </w:rPr>
        <w:t>i</w:t>
      </w:r>
      <w:r>
        <w:t xml:space="preserve"> for treatment </w:t>
      </w:r>
      <w:r w:rsidRPr="1E683D4A">
        <w:rPr>
          <w:i/>
          <w:iCs/>
          <w:color w:val="FF0000"/>
        </w:rPr>
        <w:t>j</w:t>
      </w:r>
      <w:r w:rsidRPr="1E683D4A">
        <w:rPr>
          <w:color w:val="FF0000"/>
        </w:rPr>
        <w:t xml:space="preserve"> </w:t>
      </w:r>
      <w:r>
        <w:t xml:space="preserve">and outcome </w:t>
      </w:r>
      <w:r w:rsidRPr="1E683D4A">
        <w:rPr>
          <w:i/>
          <w:iCs/>
          <w:color w:val="FF0000"/>
        </w:rPr>
        <w:t xml:space="preserve">k </w:t>
      </w:r>
      <w:r>
        <w:t>(i.e., 1 for CR, 2 for PR and 3 for &lt;PR).</w:t>
      </w:r>
    </w:p>
    <w:p w14:paraId="2C7334AD" w14:textId="77777777" w:rsidR="00DA3DDD" w:rsidRDefault="00DA3DDD" w:rsidP="003D60DC">
      <w:r>
        <w:t>The WinBUGS code for the data is:</w:t>
      </w:r>
    </w:p>
    <w:p w14:paraId="5AB89B7A" w14:textId="77777777" w:rsidR="00DA3DDD" w:rsidRDefault="00DA3DDD" w:rsidP="003D60DC">
      <w:r>
        <w:rPr>
          <w:noProof/>
        </w:rPr>
        <w:lastRenderedPageBreak/>
        <w:drawing>
          <wp:inline distT="0" distB="0" distL="0" distR="0" wp14:anchorId="1DADD886" wp14:editId="31585270">
            <wp:extent cx="5943600" cy="562610"/>
            <wp:effectExtent l="19050" t="19050" r="19050" b="279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6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7316DDC" w14:textId="77777777" w:rsidR="00DA3DDD" w:rsidRDefault="00DA3DDD" w:rsidP="003D60DC">
      <w:r>
        <w:t>The WinBUGS code for the initial values is:</w:t>
      </w:r>
    </w:p>
    <w:p w14:paraId="3E508942" w14:textId="77777777" w:rsidR="00DA3DDD" w:rsidRDefault="00DA3DDD" w:rsidP="003D60DC">
      <w:r>
        <w:rPr>
          <w:noProof/>
        </w:rPr>
        <w:drawing>
          <wp:inline distT="0" distB="0" distL="0" distR="0" wp14:anchorId="245F70A6" wp14:editId="7C716199">
            <wp:extent cx="5943600" cy="1419225"/>
            <wp:effectExtent l="19050" t="19050" r="19050" b="285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9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AE7807" w14:textId="0A363B6A" w:rsidR="00DA3DDD" w:rsidRDefault="00DA3DDD" w:rsidP="00DA3DDD">
      <w:pPr>
        <w:pStyle w:val="Geenafstand"/>
        <w:spacing w:line="480" w:lineRule="auto"/>
      </w:pPr>
      <w:r>
        <w:t xml:space="preserve">The model estimates based 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iTk</m:t>
            </m:r>
          </m:sub>
        </m:sSub>
      </m:oMath>
      <w:r>
        <w:t xml:space="preserve"> which is the </w:t>
      </w:r>
      <w:r w:rsidRPr="000D375E">
        <w:t xml:space="preserve">number of patients within each </w:t>
      </w:r>
      <w:r>
        <w:t>response</w:t>
      </w:r>
      <w:r w:rsidRPr="000D375E">
        <w:t xml:space="preserve"> category </w:t>
      </w:r>
      <m:oMath>
        <m:r>
          <w:rPr>
            <w:rFonts w:ascii="Cambria Math" w:hAnsi="Cambria Math"/>
          </w:rPr>
          <m:t xml:space="preserve">k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k=2=PR, k=3=&lt;PR</m:t>
            </m:r>
          </m:e>
        </m:d>
        <m:r>
          <w:rPr>
            <w:rFonts w:ascii="Cambria Math" w:hAnsi="Cambria Math"/>
          </w:rPr>
          <m:t>.</m:t>
        </m:r>
      </m:oMath>
      <w:r>
        <w:t xml:space="preserve"> And of course, the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iT1</m:t>
            </m:r>
          </m:sub>
        </m:sSub>
      </m:oMath>
      <w:r>
        <w:t xml:space="preserve"> which is the number of CR patients with treatment </w:t>
      </w:r>
      <w:r>
        <w:rPr>
          <w:noProof/>
          <w:position w:val="-4"/>
        </w:rPr>
        <w:drawing>
          <wp:inline distT="0" distB="0" distL="0" distR="0" wp14:anchorId="7B6ADC4B" wp14:editId="7E196A67">
            <wp:extent cx="130810" cy="130810"/>
            <wp:effectExtent l="0" t="0" r="2540" b="254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in study </w:t>
      </w:r>
      <w:r>
        <w:rPr>
          <w:noProof/>
          <w:position w:val="-6"/>
        </w:rPr>
        <w:drawing>
          <wp:inline distT="0" distB="0" distL="0" distR="0" wp14:anchorId="4D921A3D" wp14:editId="362B2BAE">
            <wp:extent cx="59690" cy="130810"/>
            <wp:effectExtent l="0" t="0" r="0" b="254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is calculated using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1-r</m:t>
            </m:r>
          </m:e>
          <m:sub>
            <m:r>
              <w:rPr>
                <w:rFonts w:ascii="Cambria Math" w:hAnsi="Cambria Math"/>
              </w:rPr>
              <m:t>iT2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iT3</m:t>
            </m:r>
          </m:sub>
        </m:sSub>
      </m:oMath>
      <w:r w:rsidRPr="000D375E">
        <w:t>.</w:t>
      </w:r>
      <w:r>
        <w:t xml:space="preserve"> </w:t>
      </w:r>
    </w:p>
    <w:p w14:paraId="6A3F7038" w14:textId="5CD24F57" w:rsidR="00DA3DDD" w:rsidRDefault="00DA3DDD" w:rsidP="00DA3DDD">
      <w:pPr>
        <w:pStyle w:val="Geenafstand"/>
        <w:spacing w:line="480" w:lineRule="auto"/>
      </w:pPr>
      <w:r>
        <w:t>T</w:t>
      </w:r>
      <w:r w:rsidRPr="000D375E">
        <w:t xml:space="preserve">he likelihood </w:t>
      </w:r>
      <w:r>
        <w:t>which r</w:t>
      </w:r>
      <w:r w:rsidRPr="00B2564F">
        <w:rPr>
          <w:rFonts w:cs="Arial"/>
        </w:rPr>
        <w:t>elate</w:t>
      </w:r>
      <w:r>
        <w:rPr>
          <w:rFonts w:cs="Arial"/>
        </w:rPr>
        <w:t>s</w:t>
      </w:r>
      <w:r w:rsidRPr="00B2564F">
        <w:rPr>
          <w:rFonts w:cs="Arial"/>
        </w:rPr>
        <w:t xml:space="preserve"> the data to the parameters of the models</w:t>
      </w:r>
      <w:r>
        <w:rPr>
          <w:rFonts w:cs="Arial"/>
        </w:rPr>
        <w:t>,</w:t>
      </w:r>
      <w:r>
        <w:t xml:space="preserve"> </w:t>
      </w:r>
      <w:r w:rsidRPr="000D375E">
        <w:t>was specified as</w:t>
      </w:r>
      <w:r>
        <w:t xml:space="preserve"> multinomial distribution with two parameters representing the proportion of PR patients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iT2</m:t>
            </m:r>
          </m:sub>
        </m:sSub>
      </m:oMath>
      <w:r>
        <w:t>) or &lt;PR patients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iT3</m:t>
            </m:r>
          </m:sub>
        </m:sSub>
      </m:oMath>
      <w:r>
        <w:t xml:space="preserve">) with treatment </w:t>
      </w:r>
      <w:r>
        <w:rPr>
          <w:noProof/>
          <w:position w:val="-4"/>
        </w:rPr>
        <w:drawing>
          <wp:inline distT="0" distB="0" distL="0" distR="0" wp14:anchorId="79056CB3" wp14:editId="116EA590">
            <wp:extent cx="130810" cy="130810"/>
            <wp:effectExtent l="0" t="0" r="2540" b="254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in study </w:t>
      </w:r>
      <w:r>
        <w:rPr>
          <w:noProof/>
          <w:position w:val="-6"/>
        </w:rPr>
        <w:drawing>
          <wp:inline distT="0" distB="0" distL="0" distR="0" wp14:anchorId="6028075C" wp14:editId="23964CE3">
            <wp:extent cx="59690" cy="130810"/>
            <wp:effectExtent l="0" t="0" r="0" b="254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and the total number of patients with treatment </w:t>
      </w:r>
      <w:r>
        <w:rPr>
          <w:noProof/>
          <w:position w:val="-4"/>
        </w:rPr>
        <w:drawing>
          <wp:inline distT="0" distB="0" distL="0" distR="0" wp14:anchorId="7AAF49D5" wp14:editId="47B58C70">
            <wp:extent cx="130810" cy="130810"/>
            <wp:effectExtent l="0" t="0" r="2540" b="254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in study </w:t>
      </w:r>
      <w:r>
        <w:rPr>
          <w:noProof/>
          <w:position w:val="-6"/>
        </w:rPr>
        <w:drawing>
          <wp:inline distT="0" distB="0" distL="0" distR="0" wp14:anchorId="31B0626C" wp14:editId="0F2A7263">
            <wp:extent cx="59690" cy="130810"/>
            <wp:effectExtent l="0" t="0" r="0" b="254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iTk</m:t>
            </m:r>
          </m:sub>
        </m:sSub>
        <m:r>
          <w:rPr>
            <w:rFonts w:ascii="Cambria Math" w:hAnsi="Cambria Math"/>
          </w:rPr>
          <m:t>~multinomial(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iTk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)</m:t>
        </m:r>
      </m:oMath>
      <w:r>
        <w:rPr>
          <w:rFonts w:eastAsia="Times New Roman"/>
          <w:lang w:eastAsia="en-GB"/>
        </w:rPr>
        <w:t>.</w:t>
      </w:r>
      <w:r w:rsidRPr="00842A76">
        <w:t xml:space="preserve"> </w:t>
      </w:r>
    </w:p>
    <w:p w14:paraId="1EC0FFB8" w14:textId="4FD21490" w:rsidR="00DA3DDD" w:rsidRDefault="00DA3DDD" w:rsidP="003D60DC">
      <w:r>
        <w:t>And so, the fixed effect ordered categorical model was specified as</w:t>
      </w:r>
      <w:r w:rsidRPr="1E683D4A">
        <w:rPr>
          <w:noProof/>
          <w:vertAlign w:val="superscript"/>
        </w:rPr>
        <w:t>12, 33</w:t>
      </w:r>
      <w:r>
        <w:t>:</w:t>
      </w:r>
    </w:p>
    <w:p w14:paraId="6D1EF47B" w14:textId="77777777" w:rsidR="00DA3DDD" w:rsidRPr="00B0253D" w:rsidRDefault="00DA3DDD" w:rsidP="003D60DC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24BA2DDC" wp14:editId="157E0D64">
            <wp:extent cx="5928360" cy="733425"/>
            <wp:effectExtent l="19050" t="19050" r="15240" b="285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733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960D31" w14:textId="77777777" w:rsidR="00DA3DDD" w:rsidRDefault="00DA3DDD" w:rsidP="003D60DC">
      <w:r>
        <w:t xml:space="preserve">In this smaller network this means that for every iteration the model calculates the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</m:oMath>
      <w:r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t>,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t xml:space="preserve">for POLLUX and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</m:oMath>
      <w:r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</m:oMath>
      <w:r>
        <w:t>,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33</m:t>
            </m:r>
          </m:sub>
        </m:sSub>
      </m:oMath>
      <w:r>
        <w:t xml:space="preserve"> for ASPIRE after drawing new numbers for the different response categories PR and &lt;PR from the multinomial distribution. </w:t>
      </w:r>
    </w:p>
    <w:p w14:paraId="3284EA0B" w14:textId="77777777" w:rsidR="00DA3DDD" w:rsidRPr="001919AE" w:rsidRDefault="00DA3DDD" w:rsidP="003D60DC">
      <w:r w:rsidRPr="001919AE">
        <w:t>The following steps are done in the model for each study and every treatment arm</w:t>
      </w:r>
      <w:r>
        <w:t>.</w:t>
      </w:r>
    </w:p>
    <w:p w14:paraId="30136849" w14:textId="77777777" w:rsidR="00DA3DDD" w:rsidRDefault="00DA3DDD" w:rsidP="003D60DC">
      <w:r w:rsidRPr="001919AE">
        <w:lastRenderedPageBreak/>
        <w:t>Step 1:</w:t>
      </w:r>
      <w:r>
        <w:t xml:space="preserve"> Calculate all the proportions per response category </w:t>
      </w:r>
    </w:p>
    <w:p w14:paraId="73948C83" w14:textId="77777777" w:rsidR="00DA3DDD" w:rsidRDefault="00DA3DDD" w:rsidP="003D60DC">
      <w:r>
        <w:t xml:space="preserve">Calculate the proportions per response category by dividing the number of patients in the response category by the number of intention-to-treat patients in the specific arm. For example, there were 396 LenDex ITT patients in the ASPIRE trial of which were 37 CR, 227 PR and 132 &lt;PR patients. Therefore, the proportion of CR LenDex ASPIRE patients is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iTk</m:t>
            </m:r>
          </m:sub>
        </m:sSub>
      </m:oMath>
      <w:r>
        <w:t xml:space="preserve"> =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211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</m:t>
            </m:r>
          </m:num>
          <m:den>
            <m:r>
              <w:rPr>
                <w:rFonts w:ascii="Cambria Math" w:hAnsi="Cambria Math"/>
              </w:rPr>
              <m:t>396</m:t>
            </m:r>
          </m:den>
        </m:f>
        <m:r>
          <w:rPr>
            <w:rFonts w:ascii="Cambria Math" w:hAnsi="Cambria Math"/>
          </w:rPr>
          <m:t>=9%</m:t>
        </m:r>
      </m:oMath>
      <w:r>
        <w:t xml:space="preserve">, PR LenDex patients is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212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227</m:t>
            </m:r>
          </m:num>
          <m:den>
            <m:r>
              <w:rPr>
                <w:rFonts w:ascii="Cambria Math" w:hAnsi="Cambria Math"/>
              </w:rPr>
              <m:t>396</m:t>
            </m:r>
          </m:den>
        </m:f>
        <m:r>
          <w:rPr>
            <w:rFonts w:ascii="Cambria Math" w:hAnsi="Cambria Math"/>
          </w:rPr>
          <m:t>=57%</m:t>
        </m:r>
      </m:oMath>
      <w:r>
        <w:t xml:space="preserve"> and &lt;PR LenDex patients is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213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132</m:t>
            </m:r>
          </m:num>
          <m:den>
            <m:r>
              <w:rPr>
                <w:rFonts w:ascii="Cambria Math" w:hAnsi="Cambria Math"/>
              </w:rPr>
              <m:t>396</m:t>
            </m:r>
          </m:den>
        </m:f>
        <m:r>
          <w:rPr>
            <w:rFonts w:ascii="Cambria Math" w:hAnsi="Cambria Math"/>
          </w:rPr>
          <m:t>=33%</m:t>
        </m:r>
      </m:oMath>
      <w: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418"/>
        <w:gridCol w:w="1843"/>
        <w:gridCol w:w="708"/>
        <w:gridCol w:w="1560"/>
        <w:gridCol w:w="2125"/>
      </w:tblGrid>
      <w:tr w:rsidR="00DA3DDD" w14:paraId="05B98730" w14:textId="77777777" w:rsidTr="1E683D4A">
        <w:tc>
          <w:tcPr>
            <w:tcW w:w="562" w:type="dxa"/>
          </w:tcPr>
          <w:p w14:paraId="24DF6F2F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AB91FA3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1AFF8795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 = 1 = POLLUX</w:t>
            </w:r>
          </w:p>
        </w:tc>
        <w:tc>
          <w:tcPr>
            <w:tcW w:w="708" w:type="dxa"/>
          </w:tcPr>
          <w:p w14:paraId="58013106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40C2A179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 = 2 = ASPIRE</w:t>
            </w:r>
          </w:p>
        </w:tc>
      </w:tr>
      <w:tr w:rsidR="00DA3DDD" w14:paraId="0180861C" w14:textId="77777777" w:rsidTr="1E683D4A">
        <w:tc>
          <w:tcPr>
            <w:tcW w:w="562" w:type="dxa"/>
          </w:tcPr>
          <w:p w14:paraId="3983E2F4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3A66C0E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28C1E83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 =1=LenDex</w:t>
            </w:r>
          </w:p>
        </w:tc>
        <w:tc>
          <w:tcPr>
            <w:tcW w:w="1843" w:type="dxa"/>
          </w:tcPr>
          <w:p w14:paraId="047B8819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T=2=DaralenDex</w:t>
            </w:r>
          </w:p>
        </w:tc>
        <w:tc>
          <w:tcPr>
            <w:tcW w:w="708" w:type="dxa"/>
          </w:tcPr>
          <w:p w14:paraId="1220C7FB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EA491B2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T=1=LenDex</w:t>
            </w:r>
          </w:p>
        </w:tc>
        <w:tc>
          <w:tcPr>
            <w:tcW w:w="2125" w:type="dxa"/>
          </w:tcPr>
          <w:p w14:paraId="5A762544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T=3=CarLenDex</w:t>
            </w:r>
          </w:p>
        </w:tc>
      </w:tr>
      <w:tr w:rsidR="00DA3DDD" w14:paraId="2A7FCF8B" w14:textId="77777777" w:rsidTr="1E683D4A">
        <w:tc>
          <w:tcPr>
            <w:tcW w:w="562" w:type="dxa"/>
          </w:tcPr>
          <w:p w14:paraId="3AA5A2EF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F687E97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response</w:t>
            </w:r>
          </w:p>
        </w:tc>
        <w:tc>
          <w:tcPr>
            <w:tcW w:w="1418" w:type="dxa"/>
          </w:tcPr>
          <w:p w14:paraId="66CD755E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1843" w:type="dxa"/>
          </w:tcPr>
          <w:p w14:paraId="731C8391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12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27F04B83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88DA18D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21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2125" w:type="dxa"/>
          </w:tcPr>
          <w:p w14:paraId="7C7B8A91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</w:tr>
      <w:tr w:rsidR="00DA3DDD" w14:paraId="6E836AE9" w14:textId="77777777" w:rsidTr="1E683D4A">
        <w:tc>
          <w:tcPr>
            <w:tcW w:w="562" w:type="dxa"/>
          </w:tcPr>
          <w:p w14:paraId="0449CC82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k=1</w:t>
            </w:r>
          </w:p>
        </w:tc>
        <w:tc>
          <w:tcPr>
            <w:tcW w:w="1134" w:type="dxa"/>
          </w:tcPr>
          <w:p w14:paraId="1E3755DE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CR</w:t>
            </w:r>
          </w:p>
        </w:tc>
        <w:tc>
          <w:tcPr>
            <w:tcW w:w="1418" w:type="dxa"/>
          </w:tcPr>
          <w:p w14:paraId="4BE5F9CB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19%</w:t>
            </w:r>
          </w:p>
        </w:tc>
        <w:tc>
          <w:tcPr>
            <w:tcW w:w="1843" w:type="dxa"/>
          </w:tcPr>
          <w:p w14:paraId="50ACB9E9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43%</w:t>
            </w:r>
          </w:p>
        </w:tc>
        <w:tc>
          <w:tcPr>
            <w:tcW w:w="708" w:type="dxa"/>
          </w:tcPr>
          <w:p w14:paraId="0D64FF55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6A411A1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9%</w:t>
            </w:r>
          </w:p>
        </w:tc>
        <w:tc>
          <w:tcPr>
            <w:tcW w:w="2125" w:type="dxa"/>
          </w:tcPr>
          <w:p w14:paraId="0F453EB5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32%</w:t>
            </w:r>
          </w:p>
        </w:tc>
      </w:tr>
      <w:tr w:rsidR="00DA3DDD" w14:paraId="57146C1B" w14:textId="77777777" w:rsidTr="1E683D4A">
        <w:tc>
          <w:tcPr>
            <w:tcW w:w="562" w:type="dxa"/>
          </w:tcPr>
          <w:p w14:paraId="42A95F96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k=2</w:t>
            </w:r>
          </w:p>
        </w:tc>
        <w:tc>
          <w:tcPr>
            <w:tcW w:w="1134" w:type="dxa"/>
          </w:tcPr>
          <w:p w14:paraId="76C4C98B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PR</w:t>
            </w:r>
          </w:p>
        </w:tc>
        <w:tc>
          <w:tcPr>
            <w:tcW w:w="1418" w:type="dxa"/>
          </w:tcPr>
          <w:p w14:paraId="7674C158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57%</w:t>
            </w:r>
          </w:p>
        </w:tc>
        <w:tc>
          <w:tcPr>
            <w:tcW w:w="1843" w:type="dxa"/>
          </w:tcPr>
          <w:p w14:paraId="782A43E0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50%</w:t>
            </w:r>
          </w:p>
        </w:tc>
        <w:tc>
          <w:tcPr>
            <w:tcW w:w="708" w:type="dxa"/>
          </w:tcPr>
          <w:p w14:paraId="087AF2C5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C035EC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57%</w:t>
            </w:r>
          </w:p>
        </w:tc>
        <w:tc>
          <w:tcPr>
            <w:tcW w:w="2125" w:type="dxa"/>
          </w:tcPr>
          <w:p w14:paraId="3BE18E14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55%</w:t>
            </w:r>
          </w:p>
        </w:tc>
      </w:tr>
      <w:tr w:rsidR="00DA3DDD" w14:paraId="0682847F" w14:textId="77777777" w:rsidTr="1E683D4A">
        <w:tc>
          <w:tcPr>
            <w:tcW w:w="562" w:type="dxa"/>
          </w:tcPr>
          <w:p w14:paraId="458435A7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k=3</w:t>
            </w:r>
          </w:p>
        </w:tc>
        <w:tc>
          <w:tcPr>
            <w:tcW w:w="1134" w:type="dxa"/>
          </w:tcPr>
          <w:p w14:paraId="7C0B2C71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&lt;PR</w:t>
            </w:r>
          </w:p>
        </w:tc>
        <w:tc>
          <w:tcPr>
            <w:tcW w:w="1418" w:type="dxa"/>
          </w:tcPr>
          <w:p w14:paraId="53B4F704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24%</w:t>
            </w:r>
          </w:p>
        </w:tc>
        <w:tc>
          <w:tcPr>
            <w:tcW w:w="1843" w:type="dxa"/>
          </w:tcPr>
          <w:p w14:paraId="607539FB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7%</w:t>
            </w:r>
          </w:p>
        </w:tc>
        <w:tc>
          <w:tcPr>
            <w:tcW w:w="708" w:type="dxa"/>
          </w:tcPr>
          <w:p w14:paraId="0C3E30BF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48E0CBB4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33%</w:t>
            </w:r>
          </w:p>
        </w:tc>
        <w:tc>
          <w:tcPr>
            <w:tcW w:w="2125" w:type="dxa"/>
          </w:tcPr>
          <w:p w14:paraId="72F39AB2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13%</w:t>
            </w:r>
          </w:p>
        </w:tc>
      </w:tr>
    </w:tbl>
    <w:p w14:paraId="7FB307FE" w14:textId="534C0F21" w:rsidR="1E683D4A" w:rsidRDefault="1E683D4A"/>
    <w:p w14:paraId="4129E874" w14:textId="77777777" w:rsidR="00DA3DDD" w:rsidRDefault="00DA3DDD" w:rsidP="003D60DC">
      <w:r>
        <w:t>Step 2: Calculate (</w:t>
      </w:r>
      <w:r>
        <w:rPr>
          <w:rFonts w:cstheme="minorHAnsi"/>
        </w:rPr>
        <w:t>Y</w:t>
      </w:r>
      <w:r>
        <w:t xml:space="preserve">) the hazards of the &lt;PR category </w:t>
      </w:r>
    </w:p>
    <w:p w14:paraId="7FC78241" w14:textId="2FF4F77A" w:rsidR="00DA3DDD" w:rsidRDefault="00DA3DDD" w:rsidP="003D60DC">
      <w:r w:rsidRPr="00A32798">
        <w:t>The haz</w:t>
      </w:r>
      <w:r>
        <w:t>ards of the &lt;PR category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iT3</m:t>
            </m:r>
          </m:sub>
        </m:sSub>
      </m:oMath>
      <w:r>
        <w:t xml:space="preserve">) is calculated using both the proportion of PR and &lt;PR patients calculated in step 1. The formula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iT3</m:t>
            </m:r>
          </m:sub>
        </m:sSub>
      </m:oMath>
      <w:r>
        <w:t xml:space="preserve"> can be deduced from the formula:</w:t>
      </w:r>
    </w:p>
    <w:p w14:paraId="23DCE8D5" w14:textId="77777777" w:rsidR="00DA3DDD" w:rsidRPr="001C69BB" w:rsidRDefault="00780FFC" w:rsidP="003D60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=2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iTm</m:t>
                      </m:r>
                    </m:sub>
                  </m:sSub>
                </m:e>
              </m:nary>
            </m:den>
          </m:f>
        </m:oMath>
      </m:oMathPara>
    </w:p>
    <w:p w14:paraId="6CDCF889" w14:textId="77777777" w:rsidR="00DA3DDD" w:rsidRDefault="00DA3DDD" w:rsidP="003D60DC">
      <w:r>
        <w:t>Which gives us</w:t>
      </w:r>
    </w:p>
    <w:p w14:paraId="743792B5" w14:textId="77777777" w:rsidR="00DA3DDD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(1-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den>
          </m:f>
        </m:oMath>
      </m:oMathPara>
    </w:p>
    <w:p w14:paraId="13041C2C" w14:textId="77777777" w:rsidR="00DA3DDD" w:rsidRDefault="00DA3DDD" w:rsidP="003D60DC"/>
    <w:p w14:paraId="1FB9858D" w14:textId="5C38D6B9" w:rsidR="00DA3DDD" w:rsidRPr="00A32798" w:rsidRDefault="00DA3DDD" w:rsidP="003D60DC">
      <w:r>
        <w:t xml:space="preserve">So, for the LenDex arm in POLLUX the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113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113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113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24%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1-57%-24%</m:t>
            </m:r>
          </m:den>
        </m:f>
        <m:r>
          <m:rPr>
            <m:sty m:val="p"/>
          </m:rPr>
          <w:rPr>
            <w:rFonts w:ascii="Cambria Math" w:hAnsi="Cambria Math"/>
          </w:rPr>
          <m:t>=1.24</m:t>
        </m:r>
      </m:oMath>
      <w:r>
        <w:t xml:space="preserve"> and for DaraLenDex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123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123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122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123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7%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1-50%-7%</m:t>
            </m:r>
          </m:den>
        </m:f>
        <m:r>
          <m:rPr>
            <m:sty m:val="p"/>
          </m:rPr>
          <w:rPr>
            <w:rFonts w:ascii="Cambria Math" w:hAnsi="Cambria Math"/>
          </w:rPr>
          <m:t>=0.16</m:t>
        </m:r>
      </m:oMath>
      <w: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418"/>
        <w:gridCol w:w="1843"/>
        <w:gridCol w:w="708"/>
        <w:gridCol w:w="1560"/>
        <w:gridCol w:w="2125"/>
      </w:tblGrid>
      <w:tr w:rsidR="00DA3DDD" w14:paraId="718AAFCE" w14:textId="77777777" w:rsidTr="1E683D4A">
        <w:tc>
          <w:tcPr>
            <w:tcW w:w="562" w:type="dxa"/>
          </w:tcPr>
          <w:p w14:paraId="2B45233A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6539F8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446DA706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 = 1 = POLLUX</w:t>
            </w:r>
          </w:p>
        </w:tc>
        <w:tc>
          <w:tcPr>
            <w:tcW w:w="708" w:type="dxa"/>
          </w:tcPr>
          <w:p w14:paraId="3DAD7968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2"/>
          </w:tcPr>
          <w:p w14:paraId="431757A8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 = 2 = ASPIRE</w:t>
            </w:r>
          </w:p>
        </w:tc>
      </w:tr>
      <w:tr w:rsidR="00DA3DDD" w14:paraId="00843CBD" w14:textId="77777777" w:rsidTr="1E683D4A">
        <w:tc>
          <w:tcPr>
            <w:tcW w:w="562" w:type="dxa"/>
          </w:tcPr>
          <w:p w14:paraId="708761A0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4B937A1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097E2BF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 =1=LenDex</w:t>
            </w:r>
          </w:p>
        </w:tc>
        <w:tc>
          <w:tcPr>
            <w:tcW w:w="1843" w:type="dxa"/>
          </w:tcPr>
          <w:p w14:paraId="7DE28942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T=2=DaralenDex</w:t>
            </w:r>
          </w:p>
        </w:tc>
        <w:tc>
          <w:tcPr>
            <w:tcW w:w="708" w:type="dxa"/>
          </w:tcPr>
          <w:p w14:paraId="76B89AF1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31CF408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 =1=LenDex</w:t>
            </w:r>
          </w:p>
        </w:tc>
        <w:tc>
          <w:tcPr>
            <w:tcW w:w="2125" w:type="dxa"/>
          </w:tcPr>
          <w:p w14:paraId="28CAA0B6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T=3=CarLenDex</w:t>
            </w:r>
          </w:p>
        </w:tc>
      </w:tr>
      <w:tr w:rsidR="00DA3DDD" w14:paraId="34445BDE" w14:textId="77777777" w:rsidTr="1E683D4A">
        <w:tc>
          <w:tcPr>
            <w:tcW w:w="562" w:type="dxa"/>
          </w:tcPr>
          <w:p w14:paraId="6C1AD13C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D9DBF0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response</w:t>
            </w:r>
          </w:p>
        </w:tc>
        <w:tc>
          <w:tcPr>
            <w:tcW w:w="1418" w:type="dxa"/>
          </w:tcPr>
          <w:p w14:paraId="4FD77634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113</m:t>
                    </m:r>
                  </m:sub>
                </m:sSub>
              </m:oMath>
            </m:oMathPara>
          </w:p>
        </w:tc>
        <w:tc>
          <w:tcPr>
            <w:tcW w:w="1843" w:type="dxa"/>
          </w:tcPr>
          <w:p w14:paraId="17DE97F0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123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51778D01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2694FC1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213</m:t>
                    </m:r>
                  </m:sub>
                </m:sSub>
              </m:oMath>
            </m:oMathPara>
          </w:p>
        </w:tc>
        <w:tc>
          <w:tcPr>
            <w:tcW w:w="2125" w:type="dxa"/>
          </w:tcPr>
          <w:p w14:paraId="4D258AA3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233</m:t>
                    </m:r>
                  </m:sub>
                </m:sSub>
              </m:oMath>
            </m:oMathPara>
          </w:p>
        </w:tc>
      </w:tr>
      <w:tr w:rsidR="00DA3DDD" w14:paraId="7DB4A9CF" w14:textId="77777777" w:rsidTr="1E683D4A">
        <w:tc>
          <w:tcPr>
            <w:tcW w:w="562" w:type="dxa"/>
          </w:tcPr>
          <w:p w14:paraId="3D852685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k=3</w:t>
            </w:r>
          </w:p>
        </w:tc>
        <w:tc>
          <w:tcPr>
            <w:tcW w:w="1134" w:type="dxa"/>
          </w:tcPr>
          <w:p w14:paraId="3823921C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&lt;PR</w:t>
            </w:r>
          </w:p>
        </w:tc>
        <w:tc>
          <w:tcPr>
            <w:tcW w:w="1418" w:type="dxa"/>
          </w:tcPr>
          <w:p w14:paraId="47A91530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1.24</w:t>
            </w:r>
          </w:p>
        </w:tc>
        <w:tc>
          <w:tcPr>
            <w:tcW w:w="1843" w:type="dxa"/>
          </w:tcPr>
          <w:p w14:paraId="3C9EA42F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0.16</w:t>
            </w:r>
          </w:p>
        </w:tc>
        <w:tc>
          <w:tcPr>
            <w:tcW w:w="708" w:type="dxa"/>
          </w:tcPr>
          <w:p w14:paraId="2D0D7F6F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DE8F6D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3.57</w:t>
            </w:r>
          </w:p>
        </w:tc>
        <w:tc>
          <w:tcPr>
            <w:tcW w:w="2125" w:type="dxa"/>
          </w:tcPr>
          <w:p w14:paraId="6A313B16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0.40</w:t>
            </w:r>
          </w:p>
        </w:tc>
      </w:tr>
    </w:tbl>
    <w:p w14:paraId="16E35CD8" w14:textId="77777777" w:rsidR="00DA3DDD" w:rsidRDefault="00DA3DDD" w:rsidP="003D60DC"/>
    <w:p w14:paraId="2B6D7AA6" w14:textId="77777777" w:rsidR="00DA3DDD" w:rsidRDefault="00DA3DDD" w:rsidP="003D60DC">
      <w:r>
        <w:t>Step 3: Calculate the hazards (</w:t>
      </w:r>
      <w:r>
        <w:rPr>
          <w:rFonts w:cstheme="minorHAnsi"/>
        </w:rPr>
        <w:t>Y</w:t>
      </w:r>
      <w:r>
        <w:t>) of the PR category</w:t>
      </w:r>
    </w:p>
    <w:p w14:paraId="22070447" w14:textId="2348921B" w:rsidR="00DA3DDD" w:rsidRDefault="00DA3DDD" w:rsidP="003D60DC">
      <w:r w:rsidRPr="00A32798">
        <w:t>The haz</w:t>
      </w:r>
      <w:r>
        <w:t>ards of the PR category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iT2</m:t>
            </m:r>
          </m:sub>
        </m:sSub>
      </m:oMath>
      <w:r>
        <w:t xml:space="preserve">) is calculated using both the proportion of PR and the hazards of the &lt;PR category. The formula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iT2</m:t>
            </m:r>
          </m:sub>
        </m:sSub>
      </m:oMath>
      <w:r>
        <w:t xml:space="preserve"> can be deduced from the formula:</w:t>
      </w:r>
    </w:p>
    <w:p w14:paraId="023BE6B2" w14:textId="77777777" w:rsidR="00DA3DDD" w:rsidRPr="00F01E7B" w:rsidRDefault="00780FFC" w:rsidP="003D60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=2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iTm</m:t>
                      </m:r>
                    </m:sub>
                  </m:sSub>
                </m:e>
              </m:nary>
            </m:den>
          </m:f>
        </m:oMath>
      </m:oMathPara>
    </w:p>
    <w:p w14:paraId="4F0DF868" w14:textId="77777777" w:rsidR="00DA3DDD" w:rsidRDefault="00DA3DDD" w:rsidP="003D60DC">
      <w:r>
        <w:t xml:space="preserve">Which gives us </w:t>
      </w:r>
    </w:p>
    <w:p w14:paraId="65FF7B08" w14:textId="77777777" w:rsidR="00DA3DDD" w:rsidRPr="000C3674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iT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iT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den>
          </m:f>
        </m:oMath>
      </m:oMathPara>
    </w:p>
    <w:p w14:paraId="151FDD2B" w14:textId="3A136EE1" w:rsidR="00DA3DDD" w:rsidRPr="000C3674" w:rsidRDefault="00DA3DDD" w:rsidP="003D60DC">
      <w:r>
        <w:t xml:space="preserve">So, for the LenDex arm in POLLUX the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112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(1+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112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112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1+1.24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*57%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1-57%</m:t>
            </m:r>
          </m:den>
        </m:f>
        <m:r>
          <m:rPr>
            <m:sty m:val="p"/>
          </m:rPr>
          <w:rPr>
            <w:rFonts w:ascii="Cambria Math" w:hAnsi="Cambria Math"/>
          </w:rPr>
          <m:t>=3.00.</m:t>
        </m:r>
      </m:oMath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418"/>
        <w:gridCol w:w="1843"/>
        <w:gridCol w:w="708"/>
        <w:gridCol w:w="1560"/>
        <w:gridCol w:w="2125"/>
      </w:tblGrid>
      <w:tr w:rsidR="00DA3DDD" w14:paraId="6F4A4F4B" w14:textId="77777777" w:rsidTr="007F6F00">
        <w:tc>
          <w:tcPr>
            <w:tcW w:w="562" w:type="dxa"/>
          </w:tcPr>
          <w:p w14:paraId="02746662" w14:textId="77777777" w:rsidR="00DA3DDD" w:rsidRDefault="00DA3DDD" w:rsidP="003D60DC"/>
        </w:tc>
        <w:tc>
          <w:tcPr>
            <w:tcW w:w="1134" w:type="dxa"/>
          </w:tcPr>
          <w:p w14:paraId="46887413" w14:textId="77777777" w:rsidR="00DA3DDD" w:rsidRDefault="00DA3DDD" w:rsidP="003D60DC"/>
        </w:tc>
        <w:tc>
          <w:tcPr>
            <w:tcW w:w="3261" w:type="dxa"/>
            <w:gridSpan w:val="2"/>
          </w:tcPr>
          <w:p w14:paraId="7BD9D8C3" w14:textId="77777777" w:rsidR="00DA3DDD" w:rsidRDefault="00DA3DDD" w:rsidP="003D60DC">
            <w:r>
              <w:t>i = 1 = POLLUX</w:t>
            </w:r>
          </w:p>
        </w:tc>
        <w:tc>
          <w:tcPr>
            <w:tcW w:w="708" w:type="dxa"/>
          </w:tcPr>
          <w:p w14:paraId="6F5DBC34" w14:textId="77777777" w:rsidR="00DA3DDD" w:rsidRDefault="00DA3DDD" w:rsidP="003D60DC"/>
        </w:tc>
        <w:tc>
          <w:tcPr>
            <w:tcW w:w="3685" w:type="dxa"/>
            <w:gridSpan w:val="2"/>
          </w:tcPr>
          <w:p w14:paraId="7A0A1165" w14:textId="77777777" w:rsidR="00DA3DDD" w:rsidRDefault="00DA3DDD" w:rsidP="003D60DC">
            <w:r>
              <w:t>i = 2 = ASPIRE</w:t>
            </w:r>
          </w:p>
        </w:tc>
      </w:tr>
      <w:tr w:rsidR="00DA3DDD" w14:paraId="2756CA58" w14:textId="77777777" w:rsidTr="007F6F00">
        <w:tc>
          <w:tcPr>
            <w:tcW w:w="562" w:type="dxa"/>
          </w:tcPr>
          <w:p w14:paraId="10D0D6FA" w14:textId="77777777" w:rsidR="00DA3DDD" w:rsidRDefault="00DA3DDD" w:rsidP="003D60DC"/>
        </w:tc>
        <w:tc>
          <w:tcPr>
            <w:tcW w:w="1134" w:type="dxa"/>
          </w:tcPr>
          <w:p w14:paraId="36D3E97F" w14:textId="77777777" w:rsidR="00DA3DDD" w:rsidRDefault="00DA3DDD" w:rsidP="003D60DC"/>
        </w:tc>
        <w:tc>
          <w:tcPr>
            <w:tcW w:w="1418" w:type="dxa"/>
          </w:tcPr>
          <w:p w14:paraId="7AB17B35" w14:textId="77777777" w:rsidR="00DA3DDD" w:rsidRDefault="00DA3DDD" w:rsidP="003D60DC">
            <w:r>
              <w:t>T =1=LenDex</w:t>
            </w:r>
          </w:p>
        </w:tc>
        <w:tc>
          <w:tcPr>
            <w:tcW w:w="1843" w:type="dxa"/>
          </w:tcPr>
          <w:p w14:paraId="05D0AACD" w14:textId="77777777" w:rsidR="00DA3DDD" w:rsidRDefault="00DA3DDD" w:rsidP="003D60DC">
            <w:r>
              <w:t>T=2=DaralenDex</w:t>
            </w:r>
          </w:p>
        </w:tc>
        <w:tc>
          <w:tcPr>
            <w:tcW w:w="708" w:type="dxa"/>
          </w:tcPr>
          <w:p w14:paraId="31352868" w14:textId="77777777" w:rsidR="00DA3DDD" w:rsidRDefault="00DA3DDD" w:rsidP="003D60DC"/>
        </w:tc>
        <w:tc>
          <w:tcPr>
            <w:tcW w:w="1560" w:type="dxa"/>
          </w:tcPr>
          <w:p w14:paraId="5F5BDE85" w14:textId="77777777" w:rsidR="00DA3DDD" w:rsidRDefault="00DA3DDD" w:rsidP="003D60DC">
            <w:r>
              <w:t>T =1=LenDex</w:t>
            </w:r>
          </w:p>
        </w:tc>
        <w:tc>
          <w:tcPr>
            <w:tcW w:w="2125" w:type="dxa"/>
          </w:tcPr>
          <w:p w14:paraId="62746BC2" w14:textId="77777777" w:rsidR="00DA3DDD" w:rsidRDefault="00DA3DDD" w:rsidP="003D60DC">
            <w:r>
              <w:t>T=3=CarLenDex</w:t>
            </w:r>
          </w:p>
        </w:tc>
      </w:tr>
      <w:tr w:rsidR="00DA3DDD" w14:paraId="0BCBFA26" w14:textId="77777777" w:rsidTr="007F6F00">
        <w:tc>
          <w:tcPr>
            <w:tcW w:w="562" w:type="dxa"/>
          </w:tcPr>
          <w:p w14:paraId="479D55C7" w14:textId="77777777" w:rsidR="00DA3DDD" w:rsidRDefault="00DA3DDD" w:rsidP="003D60DC"/>
        </w:tc>
        <w:tc>
          <w:tcPr>
            <w:tcW w:w="1134" w:type="dxa"/>
          </w:tcPr>
          <w:p w14:paraId="79F09BE4" w14:textId="77777777" w:rsidR="00DA3DDD" w:rsidRDefault="00DA3DDD" w:rsidP="003D60DC">
            <w:r>
              <w:t>response</w:t>
            </w:r>
          </w:p>
        </w:tc>
        <w:tc>
          <w:tcPr>
            <w:tcW w:w="1418" w:type="dxa"/>
          </w:tcPr>
          <w:p w14:paraId="1E99698C" w14:textId="77777777" w:rsidR="00DA3DDD" w:rsidRDefault="00780FFC" w:rsidP="003D60D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112</m:t>
                    </m:r>
                  </m:sub>
                </m:sSub>
              </m:oMath>
            </m:oMathPara>
          </w:p>
        </w:tc>
        <w:tc>
          <w:tcPr>
            <w:tcW w:w="1843" w:type="dxa"/>
          </w:tcPr>
          <w:p w14:paraId="7E72F31A" w14:textId="77777777" w:rsidR="00DA3DDD" w:rsidRDefault="00780FFC" w:rsidP="003D60D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122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1AE52515" w14:textId="77777777" w:rsidR="00DA3DDD" w:rsidRDefault="00DA3DDD" w:rsidP="003D60DC"/>
        </w:tc>
        <w:tc>
          <w:tcPr>
            <w:tcW w:w="1560" w:type="dxa"/>
          </w:tcPr>
          <w:p w14:paraId="63CC5B30" w14:textId="77777777" w:rsidR="00DA3DDD" w:rsidRDefault="00780FFC" w:rsidP="003D60D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212</m:t>
                    </m:r>
                  </m:sub>
                </m:sSub>
              </m:oMath>
            </m:oMathPara>
          </w:p>
        </w:tc>
        <w:tc>
          <w:tcPr>
            <w:tcW w:w="2125" w:type="dxa"/>
          </w:tcPr>
          <w:p w14:paraId="31D321FF" w14:textId="77777777" w:rsidR="00DA3DDD" w:rsidRDefault="00780FFC" w:rsidP="003D60DC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232</m:t>
                    </m:r>
                  </m:sub>
                </m:sSub>
              </m:oMath>
            </m:oMathPara>
          </w:p>
        </w:tc>
      </w:tr>
      <w:tr w:rsidR="00DA3DDD" w14:paraId="6FD4E683" w14:textId="77777777" w:rsidTr="007F6F00">
        <w:tc>
          <w:tcPr>
            <w:tcW w:w="562" w:type="dxa"/>
          </w:tcPr>
          <w:p w14:paraId="2B48345C" w14:textId="77777777" w:rsidR="00DA3DDD" w:rsidRDefault="00DA3DDD" w:rsidP="003D60DC">
            <w:r>
              <w:t>k=2</w:t>
            </w:r>
          </w:p>
        </w:tc>
        <w:tc>
          <w:tcPr>
            <w:tcW w:w="1134" w:type="dxa"/>
          </w:tcPr>
          <w:p w14:paraId="0C0D7BE0" w14:textId="77777777" w:rsidR="00DA3DDD" w:rsidRDefault="00DA3DDD" w:rsidP="003D60DC">
            <w:r>
              <w:t>PR</w:t>
            </w:r>
          </w:p>
        </w:tc>
        <w:tc>
          <w:tcPr>
            <w:tcW w:w="1418" w:type="dxa"/>
          </w:tcPr>
          <w:p w14:paraId="7C55FAAA" w14:textId="77777777" w:rsidR="00DA3DDD" w:rsidRDefault="00DA3DDD" w:rsidP="003D60DC">
            <w:pPr>
              <w:rPr>
                <w:rFonts w:eastAsiaTheme="minorEastAsia"/>
              </w:rPr>
            </w:pPr>
            <w:r w:rsidRPr="006339DC">
              <w:t>3.00</w:t>
            </w:r>
          </w:p>
        </w:tc>
        <w:tc>
          <w:tcPr>
            <w:tcW w:w="1843" w:type="dxa"/>
          </w:tcPr>
          <w:p w14:paraId="097E581A" w14:textId="77777777" w:rsidR="00DA3DDD" w:rsidRDefault="00DA3DDD" w:rsidP="003D60DC">
            <w:pPr>
              <w:rPr>
                <w:rFonts w:eastAsiaTheme="minorEastAsia"/>
              </w:rPr>
            </w:pPr>
            <w:r w:rsidRPr="006339DC">
              <w:t>1.16</w:t>
            </w:r>
          </w:p>
        </w:tc>
        <w:tc>
          <w:tcPr>
            <w:tcW w:w="708" w:type="dxa"/>
          </w:tcPr>
          <w:p w14:paraId="4F06992A" w14:textId="77777777" w:rsidR="00DA3DDD" w:rsidRDefault="00DA3DDD" w:rsidP="003D60DC"/>
        </w:tc>
        <w:tc>
          <w:tcPr>
            <w:tcW w:w="1560" w:type="dxa"/>
          </w:tcPr>
          <w:p w14:paraId="4B2EB12E" w14:textId="77777777" w:rsidR="00DA3DDD" w:rsidRDefault="00DA3DDD" w:rsidP="003D60DC">
            <w:pPr>
              <w:rPr>
                <w:rFonts w:eastAsiaTheme="minorEastAsia"/>
              </w:rPr>
            </w:pPr>
            <w:r w:rsidRPr="006339DC">
              <w:t>6.14</w:t>
            </w:r>
          </w:p>
        </w:tc>
        <w:tc>
          <w:tcPr>
            <w:tcW w:w="2125" w:type="dxa"/>
          </w:tcPr>
          <w:p w14:paraId="59501224" w14:textId="77777777" w:rsidR="00DA3DDD" w:rsidRDefault="00DA3DDD" w:rsidP="003D60DC">
            <w:pPr>
              <w:rPr>
                <w:rFonts w:eastAsiaTheme="minorEastAsia"/>
              </w:rPr>
            </w:pPr>
            <w:r w:rsidRPr="006339DC">
              <w:t>1.74</w:t>
            </w:r>
          </w:p>
        </w:tc>
      </w:tr>
    </w:tbl>
    <w:p w14:paraId="559C1DF5" w14:textId="77777777" w:rsidR="00DA3DDD" w:rsidRDefault="00DA3DDD" w:rsidP="003D60DC"/>
    <w:p w14:paraId="61362F45" w14:textId="77777777" w:rsidR="00DA3DDD" w:rsidRDefault="00DA3DDD" w:rsidP="003D60DC">
      <w:r>
        <w:t>Step 4: Calculate the log hazards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</m:t>
            </m:r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</m:oMath>
      <w:r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</m:t>
            </m:r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</m:oMath>
      <w:r>
        <w:t>) for PR and &lt;PR categories</w:t>
      </w:r>
    </w:p>
    <w:p w14:paraId="76C06026" w14:textId="77777777" w:rsidR="00DA3DDD" w:rsidRPr="00875FB1" w:rsidRDefault="00DA3DDD" w:rsidP="003D60DC">
      <w:r w:rsidRPr="00875FB1">
        <w:t xml:space="preserve">Take </w:t>
      </w:r>
      <w:r>
        <w:t xml:space="preserve">the log of the hazards for PR and &lt;PR categories. So, for LenDex in the POLLUX trial the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112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</m:t>
                </m:r>
              </m:e>
            </m:d>
          </m:e>
        </m:func>
        <m:r>
          <w:rPr>
            <w:rFonts w:ascii="Cambria Math" w:hAnsi="Cambria Math"/>
          </w:rPr>
          <m:t>=</m:t>
        </m:r>
      </m:oMath>
      <w:r>
        <w:t xml:space="preserve"> 1.10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626"/>
        <w:gridCol w:w="708"/>
        <w:gridCol w:w="1560"/>
      </w:tblGrid>
      <w:tr w:rsidR="00DA3DDD" w14:paraId="6B7DFB80" w14:textId="77777777" w:rsidTr="1E683D4A">
        <w:tc>
          <w:tcPr>
            <w:tcW w:w="562" w:type="dxa"/>
          </w:tcPr>
          <w:p w14:paraId="4D359C32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CB616E3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</w:tcPr>
          <w:p w14:paraId="1098CB73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 =1=POLLUX</w:t>
            </w:r>
          </w:p>
        </w:tc>
        <w:tc>
          <w:tcPr>
            <w:tcW w:w="708" w:type="dxa"/>
          </w:tcPr>
          <w:p w14:paraId="50C1AB1B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0CE0AB8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i=2=ASPIRE</w:t>
            </w:r>
          </w:p>
        </w:tc>
      </w:tr>
      <w:tr w:rsidR="00DA3DDD" w14:paraId="24800E7B" w14:textId="77777777" w:rsidTr="1E683D4A">
        <w:tc>
          <w:tcPr>
            <w:tcW w:w="562" w:type="dxa"/>
          </w:tcPr>
          <w:p w14:paraId="5B26425A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CC636A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response</w:t>
            </w:r>
          </w:p>
        </w:tc>
        <w:tc>
          <w:tcPr>
            <w:tcW w:w="1626" w:type="dxa"/>
          </w:tcPr>
          <w:p w14:paraId="6D0EC8D9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6B3C29E3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E1FC972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</w:tr>
      <w:tr w:rsidR="00DA3DDD" w14:paraId="7350AB8F" w14:textId="77777777" w:rsidTr="1E683D4A">
        <w:tc>
          <w:tcPr>
            <w:tcW w:w="562" w:type="dxa"/>
          </w:tcPr>
          <w:p w14:paraId="5FB84618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k=2</w:t>
            </w:r>
          </w:p>
        </w:tc>
        <w:tc>
          <w:tcPr>
            <w:tcW w:w="1134" w:type="dxa"/>
          </w:tcPr>
          <w:p w14:paraId="3B65F683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PR</w:t>
            </w:r>
          </w:p>
        </w:tc>
        <w:tc>
          <w:tcPr>
            <w:tcW w:w="1626" w:type="dxa"/>
          </w:tcPr>
          <w:p w14:paraId="51AED9BA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1.10</w:t>
            </w:r>
          </w:p>
        </w:tc>
        <w:tc>
          <w:tcPr>
            <w:tcW w:w="708" w:type="dxa"/>
          </w:tcPr>
          <w:p w14:paraId="3BE3A21E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6CF21CE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1.81</w:t>
            </w:r>
          </w:p>
        </w:tc>
      </w:tr>
      <w:tr w:rsidR="00DA3DDD" w14:paraId="632E28EF" w14:textId="77777777" w:rsidTr="1E683D4A">
        <w:tc>
          <w:tcPr>
            <w:tcW w:w="562" w:type="dxa"/>
          </w:tcPr>
          <w:p w14:paraId="78D270FA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lastRenderedPageBreak/>
              <w:t>k=3</w:t>
            </w:r>
          </w:p>
        </w:tc>
        <w:tc>
          <w:tcPr>
            <w:tcW w:w="1134" w:type="dxa"/>
          </w:tcPr>
          <w:p w14:paraId="3C45138B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&lt;PR</w:t>
            </w:r>
          </w:p>
        </w:tc>
        <w:tc>
          <w:tcPr>
            <w:tcW w:w="1626" w:type="dxa"/>
          </w:tcPr>
          <w:p w14:paraId="410B848D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0.22</w:t>
            </w:r>
          </w:p>
        </w:tc>
        <w:tc>
          <w:tcPr>
            <w:tcW w:w="708" w:type="dxa"/>
          </w:tcPr>
          <w:p w14:paraId="71E8F2E1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10BAA3E4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1.27</w:t>
            </w:r>
          </w:p>
        </w:tc>
      </w:tr>
    </w:tbl>
    <w:p w14:paraId="7CE5411F" w14:textId="77777777" w:rsidR="00DA3DDD" w:rsidRDefault="00DA3DDD" w:rsidP="003D60DC"/>
    <w:p w14:paraId="02003C79" w14:textId="77777777" w:rsidR="00DA3DDD" w:rsidRPr="001919AE" w:rsidRDefault="00DA3DDD" w:rsidP="003D60DC">
      <w:r>
        <w:t>Step 5: Calculate the relative difference in hazards for PR and &lt;PR categories for the non-reference treatments (d’s)</w:t>
      </w:r>
    </w:p>
    <w:p w14:paraId="5E1CAB52" w14:textId="77777777" w:rsidR="00DA3DDD" w:rsidRDefault="00DA3DDD" w:rsidP="003D60DC">
      <w:r>
        <w:t>So, using the following formula we can calculate the d’s:</w:t>
      </w:r>
    </w:p>
    <w:p w14:paraId="0CE55FEE" w14:textId="77777777" w:rsidR="00DA3DDD" w:rsidRDefault="00DA3DDD" w:rsidP="003D60DC">
      <w:r>
        <w:rPr>
          <w:noProof/>
        </w:rPr>
        <w:drawing>
          <wp:inline distT="0" distB="0" distL="0" distR="0" wp14:anchorId="1FD47F36" wp14:editId="3620F1D7">
            <wp:extent cx="5928360" cy="733425"/>
            <wp:effectExtent l="19050" t="19050" r="15240" b="28575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733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69DF098" w14:textId="77777777" w:rsidR="00DA3DDD" w:rsidRDefault="00DA3DDD" w:rsidP="003D60DC">
      <w:r>
        <w:t>Which gives us</w:t>
      </w:r>
    </w:p>
    <w:p w14:paraId="0423EDD6" w14:textId="77777777" w:rsidR="00DA3DDD" w:rsidRPr="00B0253D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ik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iTk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α</m:t>
              </m:r>
            </m:e>
            <m:sub>
              <m:r>
                <w:rPr>
                  <w:rFonts w:ascii="Cambria Math" w:hAnsi="Cambria Math"/>
                </w:rPr>
                <m:t>ik</m:t>
              </m:r>
            </m:sub>
          </m:sSub>
        </m:oMath>
      </m:oMathPara>
    </w:p>
    <w:p w14:paraId="7167CC75" w14:textId="77777777" w:rsidR="00DA3DDD" w:rsidRDefault="00DA3DDD" w:rsidP="003D60DC">
      <w:pPr>
        <w:rPr>
          <w:rFonts w:eastAsiaTheme="minorEastAsia"/>
        </w:rPr>
      </w:pPr>
      <w:r>
        <w:t xml:space="preserve">Then for DaraLenDex we get for PR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122</m:t>
                    </m:r>
                  </m:sub>
                </m:sSub>
              </m:e>
            </m:d>
          </m:e>
        </m:func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  <m:ctrlPr>
              <w:rPr>
                <w:rFonts w:ascii="Cambria Math" w:hAnsi="Cambria Math"/>
                <w:i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3.00</m:t>
                </m:r>
              </m:e>
            </m:d>
          </m:e>
        </m:func>
        <m:r>
          <w:rPr>
            <w:rFonts w:ascii="Cambria Math" w:hAnsi="Cambria Math"/>
          </w:rPr>
          <m:t>-1.10=-0.95</m:t>
        </m:r>
      </m:oMath>
      <w:r>
        <w:rPr>
          <w:rFonts w:eastAsiaTheme="minorEastAsia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626"/>
        <w:gridCol w:w="708"/>
        <w:gridCol w:w="1560"/>
      </w:tblGrid>
      <w:tr w:rsidR="00DA3DDD" w14:paraId="4B0B0E6C" w14:textId="77777777" w:rsidTr="1E683D4A">
        <w:tc>
          <w:tcPr>
            <w:tcW w:w="562" w:type="dxa"/>
          </w:tcPr>
          <w:p w14:paraId="361B9AAB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C0956D4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</w:tcPr>
          <w:p w14:paraId="6D54F282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 =1=POLLUX</w:t>
            </w:r>
          </w:p>
        </w:tc>
        <w:tc>
          <w:tcPr>
            <w:tcW w:w="708" w:type="dxa"/>
          </w:tcPr>
          <w:p w14:paraId="6EE849DA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0662E4C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i=2=ASPIRE</w:t>
            </w:r>
          </w:p>
        </w:tc>
      </w:tr>
      <w:tr w:rsidR="00DA3DDD" w14:paraId="58107283" w14:textId="77777777" w:rsidTr="1E683D4A">
        <w:tc>
          <w:tcPr>
            <w:tcW w:w="562" w:type="dxa"/>
          </w:tcPr>
          <w:p w14:paraId="023525E5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BFB81CE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response</w:t>
            </w:r>
          </w:p>
        </w:tc>
        <w:tc>
          <w:tcPr>
            <w:tcW w:w="1626" w:type="dxa"/>
          </w:tcPr>
          <w:p w14:paraId="0AAF9DD9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708" w:type="dxa"/>
          </w:tcPr>
          <w:p w14:paraId="0E47486E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5FB25915" w14:textId="77777777" w:rsidR="00DA3DDD" w:rsidRDefault="00780FFC" w:rsidP="1E683D4A">
            <w:pPr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</w:tr>
      <w:tr w:rsidR="00DA3DDD" w14:paraId="57E5C5E7" w14:textId="77777777" w:rsidTr="1E683D4A">
        <w:tc>
          <w:tcPr>
            <w:tcW w:w="562" w:type="dxa"/>
          </w:tcPr>
          <w:p w14:paraId="0A05FD69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k=2</w:t>
            </w:r>
          </w:p>
        </w:tc>
        <w:tc>
          <w:tcPr>
            <w:tcW w:w="1134" w:type="dxa"/>
          </w:tcPr>
          <w:p w14:paraId="22D75540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PR</w:t>
            </w:r>
          </w:p>
        </w:tc>
        <w:tc>
          <w:tcPr>
            <w:tcW w:w="1626" w:type="dxa"/>
          </w:tcPr>
          <w:p w14:paraId="39EE4341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-0.95</w:t>
            </w:r>
          </w:p>
        </w:tc>
        <w:tc>
          <w:tcPr>
            <w:tcW w:w="708" w:type="dxa"/>
          </w:tcPr>
          <w:p w14:paraId="0496E7A3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C411595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-1.26</w:t>
            </w:r>
          </w:p>
        </w:tc>
      </w:tr>
      <w:tr w:rsidR="00DA3DDD" w14:paraId="7376EBC6" w14:textId="77777777" w:rsidTr="1E683D4A">
        <w:tc>
          <w:tcPr>
            <w:tcW w:w="562" w:type="dxa"/>
          </w:tcPr>
          <w:p w14:paraId="24E6016A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k=3</w:t>
            </w:r>
          </w:p>
        </w:tc>
        <w:tc>
          <w:tcPr>
            <w:tcW w:w="1134" w:type="dxa"/>
          </w:tcPr>
          <w:p w14:paraId="26D118D3" w14:textId="77777777" w:rsidR="00DA3DDD" w:rsidRDefault="00DA3DDD" w:rsidP="1E683D4A">
            <w:pPr>
              <w:rPr>
                <w:sz w:val="16"/>
                <w:szCs w:val="16"/>
              </w:rPr>
            </w:pPr>
            <w:r w:rsidRPr="1E683D4A">
              <w:rPr>
                <w:sz w:val="18"/>
                <w:szCs w:val="18"/>
              </w:rPr>
              <w:t>&lt;PR</w:t>
            </w:r>
          </w:p>
        </w:tc>
        <w:tc>
          <w:tcPr>
            <w:tcW w:w="1626" w:type="dxa"/>
          </w:tcPr>
          <w:p w14:paraId="3EB21DE9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-2.03</w:t>
            </w:r>
          </w:p>
        </w:tc>
        <w:tc>
          <w:tcPr>
            <w:tcW w:w="708" w:type="dxa"/>
          </w:tcPr>
          <w:p w14:paraId="52324384" w14:textId="77777777" w:rsidR="00DA3DDD" w:rsidRDefault="00DA3DDD" w:rsidP="1E683D4A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5510EB" w14:textId="77777777" w:rsidR="00DA3DDD" w:rsidRDefault="00DA3DDD" w:rsidP="1E683D4A">
            <w:pPr>
              <w:rPr>
                <w:rFonts w:eastAsiaTheme="minorEastAsia"/>
                <w:sz w:val="18"/>
                <w:szCs w:val="18"/>
              </w:rPr>
            </w:pPr>
            <w:r w:rsidRPr="1E683D4A">
              <w:rPr>
                <w:sz w:val="18"/>
                <w:szCs w:val="18"/>
              </w:rPr>
              <w:t>-2.18</w:t>
            </w:r>
          </w:p>
        </w:tc>
      </w:tr>
    </w:tbl>
    <w:p w14:paraId="343FF40E" w14:textId="77777777" w:rsidR="00DA3DDD" w:rsidRDefault="00DA3DDD" w:rsidP="003D60DC"/>
    <w:p w14:paraId="148290EF" w14:textId="77777777" w:rsidR="00DA3DDD" w:rsidRDefault="00DA3DDD" w:rsidP="003D60DC">
      <w:r>
        <w:t>Step 6:  Calculate the proportion of patients for the reference treatment (LenDex) combining LenDex data from both trials</w:t>
      </w:r>
    </w:p>
    <w:p w14:paraId="6FFEDE1D" w14:textId="77777777" w:rsidR="00DA3DDD" w:rsidRDefault="00DA3DDD" w:rsidP="003D60DC">
      <w:r w:rsidRPr="00A93993">
        <w:t>The model</w:t>
      </w:r>
      <w:r>
        <w:t xml:space="preserve"> uses the average of the proportions of LenDex for PR and &lt;PR. This means for PR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avg</m:t>
            </m:r>
            <m:r>
              <m:rPr>
                <m:sty m:val="p"/>
              </m:rPr>
              <w:rPr>
                <w:rFonts w:ascii="Cambria Math" w:hAnsi="Cambria Math"/>
              </w:rPr>
              <m:t>,2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average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22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(1.10+1.81)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=1.46</m:t>
        </m:r>
      </m:oMath>
      <w:r>
        <w:t xml:space="preserve"> and &lt;PR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avg</m:t>
            </m:r>
            <m:r>
              <m:rPr>
                <m:sty m:val="p"/>
              </m:rPr>
              <w:rPr>
                <w:rFonts w:ascii="Cambria Math" w:hAnsi="Cambria Math"/>
              </w:rPr>
              <m:t>,3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average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23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0.21, 1.27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=0.74</m:t>
        </m:r>
      </m:oMath>
      <w:r>
        <w:t>.</w:t>
      </w:r>
    </w:p>
    <w:p w14:paraId="1F9BEEB5" w14:textId="77777777" w:rsidR="00DA3DDD" w:rsidRPr="00A93993" w:rsidRDefault="00DA3DDD" w:rsidP="003D60DC"/>
    <w:p w14:paraId="3C214615" w14:textId="77777777" w:rsidR="00DA3DDD" w:rsidRDefault="00DA3DDD" w:rsidP="003D60DC">
      <w:r>
        <w:t xml:space="preserve">Step 7: Calculate the proportion of CR patients </w:t>
      </w:r>
    </w:p>
    <w:p w14:paraId="638A7389" w14:textId="77777777" w:rsidR="00DA3DDD" w:rsidRPr="00143F0C" w:rsidRDefault="00780FFC" w:rsidP="003D60D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1+exp⁡(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</w:rPr>
                    <m:t>avg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)+exp⁡(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</w:rPr>
                    <m:t>avg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den>
          </m:f>
        </m:oMath>
      </m:oMathPara>
    </w:p>
    <w:p w14:paraId="517F3BCA" w14:textId="77777777" w:rsidR="00DA3DDD" w:rsidRDefault="00DA3DDD" w:rsidP="003D60DC"/>
    <w:p w14:paraId="1925993D" w14:textId="77777777" w:rsidR="00DA3DDD" w:rsidRDefault="00DA3DDD" w:rsidP="003D60DC">
      <w:r>
        <w:lastRenderedPageBreak/>
        <w:t>Therefore, for LenDex the proportion of CR patients becomes</w:t>
      </w:r>
    </w:p>
    <w:p w14:paraId="52747F5E" w14:textId="77777777" w:rsidR="00DA3DDD" w:rsidRPr="00143F0C" w:rsidRDefault="00780FFC" w:rsidP="003D60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1+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1.46+0</m:t>
                      </m:r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hAnsi="Cambria Math"/>
                </w:rPr>
                <m:t>+exp⁡(0.74+0)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=13%</m:t>
          </m:r>
        </m:oMath>
      </m:oMathPara>
    </w:p>
    <w:p w14:paraId="5A471A8E" w14:textId="77777777" w:rsidR="00DA3DDD" w:rsidRDefault="00DA3DDD" w:rsidP="003D60DC"/>
    <w:p w14:paraId="74D29884" w14:textId="77777777" w:rsidR="00DA3DDD" w:rsidRPr="00143F0C" w:rsidRDefault="00DA3DDD" w:rsidP="003D60DC">
      <w:r>
        <w:t>The CR proportions for DaraLendex and CarLendex are presented in the table below.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A3DDD" w14:paraId="4B70A2B3" w14:textId="77777777" w:rsidTr="007F6F00">
        <w:tc>
          <w:tcPr>
            <w:tcW w:w="2337" w:type="dxa"/>
          </w:tcPr>
          <w:p w14:paraId="4E32057A" w14:textId="77777777" w:rsidR="00DA3DDD" w:rsidRDefault="00DA3DDD" w:rsidP="003D60DC">
            <w:r>
              <w:t>Response</w:t>
            </w:r>
          </w:p>
        </w:tc>
        <w:tc>
          <w:tcPr>
            <w:tcW w:w="2337" w:type="dxa"/>
          </w:tcPr>
          <w:p w14:paraId="7008E72B" w14:textId="77777777" w:rsidR="00DA3DDD" w:rsidRDefault="00DA3DDD" w:rsidP="003D60DC">
            <w:r>
              <w:t>LenDex</w:t>
            </w:r>
          </w:p>
        </w:tc>
        <w:tc>
          <w:tcPr>
            <w:tcW w:w="2338" w:type="dxa"/>
          </w:tcPr>
          <w:p w14:paraId="20995243" w14:textId="77777777" w:rsidR="00DA3DDD" w:rsidRDefault="00DA3DDD" w:rsidP="003D60DC">
            <w:r>
              <w:t>DaraLenDex</w:t>
            </w:r>
          </w:p>
        </w:tc>
        <w:tc>
          <w:tcPr>
            <w:tcW w:w="2338" w:type="dxa"/>
          </w:tcPr>
          <w:p w14:paraId="34F58EB6" w14:textId="77777777" w:rsidR="00DA3DDD" w:rsidRDefault="00DA3DDD" w:rsidP="003D60DC">
            <w:r>
              <w:t>CarLenDex</w:t>
            </w:r>
          </w:p>
        </w:tc>
      </w:tr>
      <w:tr w:rsidR="00DA3DDD" w14:paraId="2D3129DF" w14:textId="77777777" w:rsidTr="007F6F00">
        <w:tc>
          <w:tcPr>
            <w:tcW w:w="2337" w:type="dxa"/>
          </w:tcPr>
          <w:p w14:paraId="3B1E8AEA" w14:textId="77777777" w:rsidR="00DA3DDD" w:rsidRDefault="00DA3DDD" w:rsidP="003D60DC">
            <w:r>
              <w:t>CR</w:t>
            </w:r>
          </w:p>
        </w:tc>
        <w:tc>
          <w:tcPr>
            <w:tcW w:w="2337" w:type="dxa"/>
          </w:tcPr>
          <w:p w14:paraId="1DC3FD57" w14:textId="77777777" w:rsidR="00DA3DDD" w:rsidRDefault="00DA3DDD" w:rsidP="003D60DC">
            <w:r w:rsidRPr="004F125D">
              <w:t>13%</w:t>
            </w:r>
          </w:p>
        </w:tc>
        <w:tc>
          <w:tcPr>
            <w:tcW w:w="2338" w:type="dxa"/>
          </w:tcPr>
          <w:p w14:paraId="02DAAD47" w14:textId="77777777" w:rsidR="00DA3DDD" w:rsidRDefault="00DA3DDD" w:rsidP="003D60DC">
            <w:r w:rsidRPr="004F125D">
              <w:t>34%</w:t>
            </w:r>
          </w:p>
        </w:tc>
        <w:tc>
          <w:tcPr>
            <w:tcW w:w="2338" w:type="dxa"/>
          </w:tcPr>
          <w:p w14:paraId="1A3638E3" w14:textId="77777777" w:rsidR="00DA3DDD" w:rsidRDefault="00DA3DDD" w:rsidP="003D60DC">
            <w:r w:rsidRPr="004F125D">
              <w:t>41%</w:t>
            </w:r>
          </w:p>
        </w:tc>
      </w:tr>
    </w:tbl>
    <w:p w14:paraId="52200C7A" w14:textId="77777777" w:rsidR="00DA3DDD" w:rsidRDefault="00DA3DDD" w:rsidP="003D60DC"/>
    <w:p w14:paraId="328B9490" w14:textId="14B2C4CE" w:rsidR="00DA3DDD" w:rsidRDefault="00DA3DDD" w:rsidP="003D60DC">
      <w:r>
        <w:t xml:space="preserve">Step 7: Calculate the proportion of PR and &lt;PR patients </w:t>
      </w:r>
    </w:p>
    <w:p w14:paraId="2FCF35E6" w14:textId="77777777" w:rsidR="00DA3DDD" w:rsidRDefault="00DA3DDD" w:rsidP="003D60DC"/>
    <w:p w14:paraId="3B538D60" w14:textId="77777777" w:rsidR="00DA3DDD" w:rsidRPr="009B0C59" w:rsidRDefault="00780FFC" w:rsidP="003D60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Tk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avg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Tk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, </m:t>
          </m:r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=2,3</m:t>
          </m:r>
        </m:oMath>
      </m:oMathPara>
    </w:p>
    <w:p w14:paraId="0F636708" w14:textId="77777777" w:rsidR="00DA3DDD" w:rsidRDefault="00DA3DDD" w:rsidP="003D60DC"/>
    <w:p w14:paraId="7374587F" w14:textId="77777777" w:rsidR="00DA3DDD" w:rsidRDefault="00DA3DDD" w:rsidP="003D60DC">
      <w:r>
        <w:t>Subsequently, for LenDex the proportion of PR patients is</w:t>
      </w:r>
    </w:p>
    <w:p w14:paraId="517401FD" w14:textId="77777777" w:rsidR="00DA3DDD" w:rsidRPr="002D2ECC" w:rsidRDefault="00780FFC" w:rsidP="003D60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π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avg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=13%*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1.46+0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/>
            </w:rPr>
            <m:t>=58%</m:t>
          </m:r>
        </m:oMath>
      </m:oMathPara>
    </w:p>
    <w:p w14:paraId="6A7D1881" w14:textId="77777777" w:rsidR="00DA3DDD" w:rsidRDefault="00DA3DDD" w:rsidP="003D60DC">
      <w:r>
        <w:t>For all the other proportions please see table below.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A3DDD" w14:paraId="3DCF870C" w14:textId="77777777" w:rsidTr="007F6F00">
        <w:tc>
          <w:tcPr>
            <w:tcW w:w="2337" w:type="dxa"/>
          </w:tcPr>
          <w:p w14:paraId="5C2205A5" w14:textId="77777777" w:rsidR="00DA3DDD" w:rsidRDefault="00DA3DDD" w:rsidP="003D60DC">
            <w:r>
              <w:t>Response</w:t>
            </w:r>
          </w:p>
        </w:tc>
        <w:tc>
          <w:tcPr>
            <w:tcW w:w="2337" w:type="dxa"/>
          </w:tcPr>
          <w:p w14:paraId="203F83A7" w14:textId="77777777" w:rsidR="00DA3DDD" w:rsidRDefault="00DA3DDD" w:rsidP="003D60DC">
            <w:r>
              <w:t>LenDex</w:t>
            </w:r>
          </w:p>
        </w:tc>
        <w:tc>
          <w:tcPr>
            <w:tcW w:w="2338" w:type="dxa"/>
          </w:tcPr>
          <w:p w14:paraId="3FAA690C" w14:textId="77777777" w:rsidR="00DA3DDD" w:rsidRDefault="00DA3DDD" w:rsidP="003D60DC">
            <w:r>
              <w:t>DaraLenDex</w:t>
            </w:r>
          </w:p>
        </w:tc>
        <w:tc>
          <w:tcPr>
            <w:tcW w:w="2338" w:type="dxa"/>
          </w:tcPr>
          <w:p w14:paraId="078CC0DD" w14:textId="77777777" w:rsidR="00DA3DDD" w:rsidRDefault="00DA3DDD" w:rsidP="003D60DC">
            <w:r>
              <w:t>CarLenDex</w:t>
            </w:r>
          </w:p>
        </w:tc>
      </w:tr>
      <w:tr w:rsidR="00DA3DDD" w14:paraId="29FBBAEA" w14:textId="77777777" w:rsidTr="007F6F00">
        <w:tc>
          <w:tcPr>
            <w:tcW w:w="2337" w:type="dxa"/>
          </w:tcPr>
          <w:p w14:paraId="5D7CAA01" w14:textId="77777777" w:rsidR="00DA3DDD" w:rsidRDefault="00DA3DDD" w:rsidP="003D60DC">
            <w:r>
              <w:t>PR</w:t>
            </w:r>
          </w:p>
        </w:tc>
        <w:tc>
          <w:tcPr>
            <w:tcW w:w="2337" w:type="dxa"/>
          </w:tcPr>
          <w:p w14:paraId="1292CF9E" w14:textId="77777777" w:rsidR="00DA3DDD" w:rsidRDefault="00DA3DDD" w:rsidP="003D60DC">
            <w:r w:rsidRPr="004F125D">
              <w:t>58%</w:t>
            </w:r>
          </w:p>
        </w:tc>
        <w:tc>
          <w:tcPr>
            <w:tcW w:w="2338" w:type="dxa"/>
          </w:tcPr>
          <w:p w14:paraId="25339F6A" w14:textId="77777777" w:rsidR="00DA3DDD" w:rsidRDefault="00DA3DDD" w:rsidP="003D60DC">
            <w:r w:rsidRPr="004F125D">
              <w:t>57%</w:t>
            </w:r>
          </w:p>
        </w:tc>
        <w:tc>
          <w:tcPr>
            <w:tcW w:w="2338" w:type="dxa"/>
          </w:tcPr>
          <w:p w14:paraId="48777621" w14:textId="77777777" w:rsidR="00DA3DDD" w:rsidRDefault="00DA3DDD" w:rsidP="003D60DC">
            <w:r w:rsidRPr="004F125D">
              <w:t>50%</w:t>
            </w:r>
          </w:p>
        </w:tc>
      </w:tr>
      <w:tr w:rsidR="00DA3DDD" w14:paraId="493B74F0" w14:textId="77777777" w:rsidTr="007F6F00">
        <w:tc>
          <w:tcPr>
            <w:tcW w:w="2337" w:type="dxa"/>
          </w:tcPr>
          <w:p w14:paraId="393E5E34" w14:textId="77777777" w:rsidR="00DA3DDD" w:rsidRDefault="00DA3DDD" w:rsidP="003D60DC">
            <w:r>
              <w:t>&lt;PR</w:t>
            </w:r>
          </w:p>
        </w:tc>
        <w:tc>
          <w:tcPr>
            <w:tcW w:w="2337" w:type="dxa"/>
          </w:tcPr>
          <w:p w14:paraId="28B0B766" w14:textId="77777777" w:rsidR="00DA3DDD" w:rsidRDefault="00DA3DDD" w:rsidP="003D60DC">
            <w:r w:rsidRPr="004F125D">
              <w:t>28%</w:t>
            </w:r>
          </w:p>
        </w:tc>
        <w:tc>
          <w:tcPr>
            <w:tcW w:w="2338" w:type="dxa"/>
          </w:tcPr>
          <w:p w14:paraId="1E789AF9" w14:textId="77777777" w:rsidR="00DA3DDD" w:rsidRDefault="00DA3DDD" w:rsidP="003D60DC">
            <w:r w:rsidRPr="004F125D">
              <w:t>9%</w:t>
            </w:r>
          </w:p>
        </w:tc>
        <w:tc>
          <w:tcPr>
            <w:tcW w:w="2338" w:type="dxa"/>
          </w:tcPr>
          <w:p w14:paraId="13DE10E9" w14:textId="77777777" w:rsidR="00DA3DDD" w:rsidRDefault="00DA3DDD" w:rsidP="003D60DC">
            <w:r w:rsidRPr="004F125D">
              <w:t>10%</w:t>
            </w:r>
          </w:p>
        </w:tc>
      </w:tr>
    </w:tbl>
    <w:p w14:paraId="6BFFC097" w14:textId="77777777" w:rsidR="00B4260D" w:rsidRDefault="00B4260D" w:rsidP="003D60DC">
      <w:bookmarkStart w:id="2" w:name="_Ref8919389"/>
    </w:p>
    <w:bookmarkEnd w:id="2"/>
    <w:p w14:paraId="2DEB95E7" w14:textId="77777777" w:rsidR="002233B4" w:rsidRPr="002233B4" w:rsidRDefault="002233B4" w:rsidP="003D60DC"/>
    <w:p w14:paraId="72381833" w14:textId="74561F33" w:rsidR="002233B4" w:rsidRPr="002233B4" w:rsidRDefault="002233B4" w:rsidP="003D60DC"/>
    <w:sectPr w:rsidR="002233B4" w:rsidRPr="002233B4" w:rsidSect="00351B34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620E1" w14:textId="77777777" w:rsidR="00780FFC" w:rsidRDefault="00780FFC" w:rsidP="003D60DC">
      <w:r>
        <w:separator/>
      </w:r>
    </w:p>
  </w:endnote>
  <w:endnote w:type="continuationSeparator" w:id="0">
    <w:p w14:paraId="3EEB4CD8" w14:textId="77777777" w:rsidR="00780FFC" w:rsidRDefault="00780FFC" w:rsidP="003D60DC">
      <w:r>
        <w:continuationSeparator/>
      </w:r>
    </w:p>
  </w:endnote>
  <w:endnote w:type="continuationNotice" w:id="1">
    <w:p w14:paraId="7FB9CE82" w14:textId="77777777" w:rsidR="00780FFC" w:rsidRDefault="00780FFC" w:rsidP="003D60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4413188"/>
      <w:docPartObj>
        <w:docPartGallery w:val="Page Numbers (Bottom of Page)"/>
        <w:docPartUnique/>
      </w:docPartObj>
    </w:sdtPr>
    <w:sdtEndPr/>
    <w:sdtContent>
      <w:p w14:paraId="2BE9D474" w14:textId="77777777" w:rsidR="002A1C4D" w:rsidRDefault="002A1C4D" w:rsidP="003D60D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146E8">
          <w:rPr>
            <w:noProof/>
            <w:lang w:val="nl-NL"/>
          </w:rPr>
          <w:t>16</w:t>
        </w:r>
        <w:r>
          <w:fldChar w:fldCharType="end"/>
        </w:r>
        <w: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448837AA" w14:textId="77777777" w:rsidR="002A1C4D" w:rsidRDefault="002A1C4D" w:rsidP="003D60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4A3D8" w14:textId="77777777" w:rsidR="00780FFC" w:rsidRDefault="00780FFC" w:rsidP="003D60DC">
      <w:r>
        <w:separator/>
      </w:r>
    </w:p>
  </w:footnote>
  <w:footnote w:type="continuationSeparator" w:id="0">
    <w:p w14:paraId="00BAFFB8" w14:textId="77777777" w:rsidR="00780FFC" w:rsidRDefault="00780FFC" w:rsidP="003D60DC">
      <w:r>
        <w:continuationSeparator/>
      </w:r>
    </w:p>
  </w:footnote>
  <w:footnote w:type="continuationNotice" w:id="1">
    <w:p w14:paraId="56AC4F85" w14:textId="77777777" w:rsidR="00780FFC" w:rsidRDefault="00780FFC" w:rsidP="003D60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46DC6"/>
    <w:multiLevelType w:val="multilevel"/>
    <w:tmpl w:val="2186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613CAB"/>
    <w:multiLevelType w:val="hybridMultilevel"/>
    <w:tmpl w:val="60C4B7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73B25"/>
    <w:multiLevelType w:val="hybridMultilevel"/>
    <w:tmpl w:val="F1FA9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1040D"/>
    <w:multiLevelType w:val="hybridMultilevel"/>
    <w:tmpl w:val="35F4448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31397"/>
    <w:multiLevelType w:val="multilevel"/>
    <w:tmpl w:val="84F63D0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wzvdfe1a95zxep92upwetu2vrr00et5dtx&quot;&gt;My MM EndNote Library&lt;record-ids&gt;&lt;item&gt;3&lt;/item&gt;&lt;item&gt;4&lt;/item&gt;&lt;item&gt;23&lt;/item&gt;&lt;item&gt;24&lt;/item&gt;&lt;item&gt;27&lt;/item&gt;&lt;item&gt;993&lt;/item&gt;&lt;item&gt;1445&lt;/item&gt;&lt;item&gt;1446&lt;/item&gt;&lt;item&gt;1463&lt;/item&gt;&lt;item&gt;1969&lt;/item&gt;&lt;item&gt;2491&lt;/item&gt;&lt;item&gt;3617&lt;/item&gt;&lt;item&gt;3670&lt;/item&gt;&lt;item&gt;4077&lt;/item&gt;&lt;item&gt;4238&lt;/item&gt;&lt;item&gt;4720&lt;/item&gt;&lt;item&gt;5312&lt;/item&gt;&lt;item&gt;5369&lt;/item&gt;&lt;item&gt;5588&lt;/item&gt;&lt;item&gt;6028&lt;/item&gt;&lt;item&gt;6524&lt;/item&gt;&lt;item&gt;6761&lt;/item&gt;&lt;item&gt;7176&lt;/item&gt;&lt;item&gt;7183&lt;/item&gt;&lt;item&gt;7184&lt;/item&gt;&lt;/record-ids&gt;&lt;/item&gt;&lt;/Libraries&gt;"/>
  </w:docVars>
  <w:rsids>
    <w:rsidRoot w:val="004C6334"/>
    <w:rsid w:val="00003550"/>
    <w:rsid w:val="00010A6A"/>
    <w:rsid w:val="0002059E"/>
    <w:rsid w:val="00020D66"/>
    <w:rsid w:val="00023A00"/>
    <w:rsid w:val="00024634"/>
    <w:rsid w:val="00024A18"/>
    <w:rsid w:val="0003796D"/>
    <w:rsid w:val="000400FD"/>
    <w:rsid w:val="0004534E"/>
    <w:rsid w:val="00057BB6"/>
    <w:rsid w:val="00063DAC"/>
    <w:rsid w:val="00064FEC"/>
    <w:rsid w:val="000665B9"/>
    <w:rsid w:val="00071D14"/>
    <w:rsid w:val="000756C5"/>
    <w:rsid w:val="0008127E"/>
    <w:rsid w:val="00090D7F"/>
    <w:rsid w:val="00094081"/>
    <w:rsid w:val="000A6E5D"/>
    <w:rsid w:val="000B3317"/>
    <w:rsid w:val="000C1C4C"/>
    <w:rsid w:val="000C54AC"/>
    <w:rsid w:val="000E01B3"/>
    <w:rsid w:val="000E1ED4"/>
    <w:rsid w:val="000F3799"/>
    <w:rsid w:val="000F3825"/>
    <w:rsid w:val="000F7CEE"/>
    <w:rsid w:val="001068E3"/>
    <w:rsid w:val="0011514A"/>
    <w:rsid w:val="001245E6"/>
    <w:rsid w:val="00124B62"/>
    <w:rsid w:val="001253E3"/>
    <w:rsid w:val="00126FAF"/>
    <w:rsid w:val="00127650"/>
    <w:rsid w:val="00131167"/>
    <w:rsid w:val="00144905"/>
    <w:rsid w:val="001449AC"/>
    <w:rsid w:val="001512A7"/>
    <w:rsid w:val="00154998"/>
    <w:rsid w:val="001562B6"/>
    <w:rsid w:val="00156B77"/>
    <w:rsid w:val="00157440"/>
    <w:rsid w:val="0017168C"/>
    <w:rsid w:val="00174752"/>
    <w:rsid w:val="00176645"/>
    <w:rsid w:val="00180E1C"/>
    <w:rsid w:val="00183947"/>
    <w:rsid w:val="001A320D"/>
    <w:rsid w:val="001B18B6"/>
    <w:rsid w:val="001B363E"/>
    <w:rsid w:val="001B6F98"/>
    <w:rsid w:val="001C4C7F"/>
    <w:rsid w:val="001D2D4C"/>
    <w:rsid w:val="001D58A0"/>
    <w:rsid w:val="001E7783"/>
    <w:rsid w:val="00202313"/>
    <w:rsid w:val="00202A82"/>
    <w:rsid w:val="0020410C"/>
    <w:rsid w:val="002139AA"/>
    <w:rsid w:val="00216DB7"/>
    <w:rsid w:val="002233B4"/>
    <w:rsid w:val="002260DE"/>
    <w:rsid w:val="00226E67"/>
    <w:rsid w:val="00230C26"/>
    <w:rsid w:val="00231F58"/>
    <w:rsid w:val="00236252"/>
    <w:rsid w:val="00241D3B"/>
    <w:rsid w:val="00273BED"/>
    <w:rsid w:val="00276B62"/>
    <w:rsid w:val="00281A43"/>
    <w:rsid w:val="002905FC"/>
    <w:rsid w:val="00290912"/>
    <w:rsid w:val="002914A0"/>
    <w:rsid w:val="00291C8A"/>
    <w:rsid w:val="002A1C4D"/>
    <w:rsid w:val="002A710D"/>
    <w:rsid w:val="002C05B4"/>
    <w:rsid w:val="002C79B5"/>
    <w:rsid w:val="002D2B49"/>
    <w:rsid w:val="002D76E9"/>
    <w:rsid w:val="002E6D0E"/>
    <w:rsid w:val="002F1DE7"/>
    <w:rsid w:val="00301693"/>
    <w:rsid w:val="0030193B"/>
    <w:rsid w:val="00304F11"/>
    <w:rsid w:val="00305FD7"/>
    <w:rsid w:val="0031052C"/>
    <w:rsid w:val="00316D6F"/>
    <w:rsid w:val="003326DB"/>
    <w:rsid w:val="003374B1"/>
    <w:rsid w:val="00337AE6"/>
    <w:rsid w:val="00340223"/>
    <w:rsid w:val="003422A9"/>
    <w:rsid w:val="0034257C"/>
    <w:rsid w:val="00347DF9"/>
    <w:rsid w:val="00351B34"/>
    <w:rsid w:val="00355C5E"/>
    <w:rsid w:val="0035634A"/>
    <w:rsid w:val="0036078A"/>
    <w:rsid w:val="00363CB8"/>
    <w:rsid w:val="003647A8"/>
    <w:rsid w:val="00367C5A"/>
    <w:rsid w:val="00382658"/>
    <w:rsid w:val="003A0C6E"/>
    <w:rsid w:val="003A28EB"/>
    <w:rsid w:val="003A3EB5"/>
    <w:rsid w:val="003A7D2D"/>
    <w:rsid w:val="003B4304"/>
    <w:rsid w:val="003B5B9C"/>
    <w:rsid w:val="003B7402"/>
    <w:rsid w:val="003C2371"/>
    <w:rsid w:val="003D60DC"/>
    <w:rsid w:val="003D66CA"/>
    <w:rsid w:val="003D6779"/>
    <w:rsid w:val="003E72D6"/>
    <w:rsid w:val="003F1242"/>
    <w:rsid w:val="003F72CA"/>
    <w:rsid w:val="003F74FB"/>
    <w:rsid w:val="004009C2"/>
    <w:rsid w:val="0040416E"/>
    <w:rsid w:val="00425D36"/>
    <w:rsid w:val="00426EE1"/>
    <w:rsid w:val="00432E83"/>
    <w:rsid w:val="00436463"/>
    <w:rsid w:val="00437E52"/>
    <w:rsid w:val="00451F91"/>
    <w:rsid w:val="00455C02"/>
    <w:rsid w:val="00461FC2"/>
    <w:rsid w:val="00473859"/>
    <w:rsid w:val="004779BE"/>
    <w:rsid w:val="0048147B"/>
    <w:rsid w:val="00484D69"/>
    <w:rsid w:val="004906BB"/>
    <w:rsid w:val="00492721"/>
    <w:rsid w:val="00495485"/>
    <w:rsid w:val="00495552"/>
    <w:rsid w:val="00495C81"/>
    <w:rsid w:val="004A10D8"/>
    <w:rsid w:val="004A4D8C"/>
    <w:rsid w:val="004A5B5E"/>
    <w:rsid w:val="004C5A56"/>
    <w:rsid w:val="004C6334"/>
    <w:rsid w:val="004C79DE"/>
    <w:rsid w:val="004D484E"/>
    <w:rsid w:val="004E18BC"/>
    <w:rsid w:val="004E59F4"/>
    <w:rsid w:val="004E6124"/>
    <w:rsid w:val="004E6A9E"/>
    <w:rsid w:val="004F206F"/>
    <w:rsid w:val="004F212D"/>
    <w:rsid w:val="004F5B21"/>
    <w:rsid w:val="004F6A2D"/>
    <w:rsid w:val="004F7708"/>
    <w:rsid w:val="005067A5"/>
    <w:rsid w:val="00512E75"/>
    <w:rsid w:val="005159D6"/>
    <w:rsid w:val="00542B26"/>
    <w:rsid w:val="00543E6C"/>
    <w:rsid w:val="00554822"/>
    <w:rsid w:val="00554EB9"/>
    <w:rsid w:val="0055513B"/>
    <w:rsid w:val="005650FC"/>
    <w:rsid w:val="00575A8A"/>
    <w:rsid w:val="0058182B"/>
    <w:rsid w:val="005827E7"/>
    <w:rsid w:val="0058455F"/>
    <w:rsid w:val="00592BF9"/>
    <w:rsid w:val="00595292"/>
    <w:rsid w:val="00597A47"/>
    <w:rsid w:val="00597CA7"/>
    <w:rsid w:val="005A497A"/>
    <w:rsid w:val="005A6653"/>
    <w:rsid w:val="005B626D"/>
    <w:rsid w:val="005C59CB"/>
    <w:rsid w:val="005C72B1"/>
    <w:rsid w:val="005D471C"/>
    <w:rsid w:val="005E7ADF"/>
    <w:rsid w:val="005F60A2"/>
    <w:rsid w:val="0060397F"/>
    <w:rsid w:val="00605C31"/>
    <w:rsid w:val="006108C3"/>
    <w:rsid w:val="006140D4"/>
    <w:rsid w:val="006226A3"/>
    <w:rsid w:val="0062276D"/>
    <w:rsid w:val="0062526A"/>
    <w:rsid w:val="00630637"/>
    <w:rsid w:val="00631458"/>
    <w:rsid w:val="00632F84"/>
    <w:rsid w:val="00633A40"/>
    <w:rsid w:val="00636026"/>
    <w:rsid w:val="00636AAD"/>
    <w:rsid w:val="006547E9"/>
    <w:rsid w:val="00663BFF"/>
    <w:rsid w:val="00671053"/>
    <w:rsid w:val="00672788"/>
    <w:rsid w:val="006743B5"/>
    <w:rsid w:val="00682EF1"/>
    <w:rsid w:val="00684764"/>
    <w:rsid w:val="00694915"/>
    <w:rsid w:val="00694DF0"/>
    <w:rsid w:val="0069535C"/>
    <w:rsid w:val="00695410"/>
    <w:rsid w:val="006B62D2"/>
    <w:rsid w:val="006B7348"/>
    <w:rsid w:val="006C061F"/>
    <w:rsid w:val="006C17CD"/>
    <w:rsid w:val="006C2360"/>
    <w:rsid w:val="006C4A20"/>
    <w:rsid w:val="006C7D64"/>
    <w:rsid w:val="006D06FC"/>
    <w:rsid w:val="006D087D"/>
    <w:rsid w:val="006D1719"/>
    <w:rsid w:val="006D5DA6"/>
    <w:rsid w:val="006E7746"/>
    <w:rsid w:val="006F4442"/>
    <w:rsid w:val="007175D9"/>
    <w:rsid w:val="007244EC"/>
    <w:rsid w:val="00724AD1"/>
    <w:rsid w:val="00725F88"/>
    <w:rsid w:val="00730AD1"/>
    <w:rsid w:val="0073189C"/>
    <w:rsid w:val="00731C71"/>
    <w:rsid w:val="007346FD"/>
    <w:rsid w:val="00740DB2"/>
    <w:rsid w:val="00746B3D"/>
    <w:rsid w:val="007571E6"/>
    <w:rsid w:val="00760595"/>
    <w:rsid w:val="00763C4D"/>
    <w:rsid w:val="00771478"/>
    <w:rsid w:val="00776A93"/>
    <w:rsid w:val="00780FFC"/>
    <w:rsid w:val="0078132E"/>
    <w:rsid w:val="00781D4C"/>
    <w:rsid w:val="00785C85"/>
    <w:rsid w:val="007961F3"/>
    <w:rsid w:val="00796800"/>
    <w:rsid w:val="007A1A70"/>
    <w:rsid w:val="007A28A4"/>
    <w:rsid w:val="007B08D4"/>
    <w:rsid w:val="007B2063"/>
    <w:rsid w:val="007C6C74"/>
    <w:rsid w:val="007C73EB"/>
    <w:rsid w:val="007D1D5C"/>
    <w:rsid w:val="007D3B53"/>
    <w:rsid w:val="007D446A"/>
    <w:rsid w:val="007D48D0"/>
    <w:rsid w:val="007E055D"/>
    <w:rsid w:val="007E1BC3"/>
    <w:rsid w:val="007F6F00"/>
    <w:rsid w:val="008015C2"/>
    <w:rsid w:val="00812A94"/>
    <w:rsid w:val="00820C9C"/>
    <w:rsid w:val="00842735"/>
    <w:rsid w:val="00845DE2"/>
    <w:rsid w:val="008505A8"/>
    <w:rsid w:val="00852FE9"/>
    <w:rsid w:val="00854030"/>
    <w:rsid w:val="00856C9A"/>
    <w:rsid w:val="00860357"/>
    <w:rsid w:val="00870329"/>
    <w:rsid w:val="00870B51"/>
    <w:rsid w:val="0087133D"/>
    <w:rsid w:val="00871454"/>
    <w:rsid w:val="0087713F"/>
    <w:rsid w:val="008858E4"/>
    <w:rsid w:val="0088624A"/>
    <w:rsid w:val="0088636C"/>
    <w:rsid w:val="008868B4"/>
    <w:rsid w:val="008870EA"/>
    <w:rsid w:val="00892DBF"/>
    <w:rsid w:val="008B56F1"/>
    <w:rsid w:val="008B7F07"/>
    <w:rsid w:val="008C064D"/>
    <w:rsid w:val="008C4CF1"/>
    <w:rsid w:val="008D2C33"/>
    <w:rsid w:val="008D48CB"/>
    <w:rsid w:val="008E4737"/>
    <w:rsid w:val="008E4E3C"/>
    <w:rsid w:val="008F4557"/>
    <w:rsid w:val="00912A13"/>
    <w:rsid w:val="00920F37"/>
    <w:rsid w:val="009221C5"/>
    <w:rsid w:val="00930373"/>
    <w:rsid w:val="00933E82"/>
    <w:rsid w:val="00936A90"/>
    <w:rsid w:val="00940FE5"/>
    <w:rsid w:val="00942F20"/>
    <w:rsid w:val="009435D2"/>
    <w:rsid w:val="00945566"/>
    <w:rsid w:val="00950593"/>
    <w:rsid w:val="00951551"/>
    <w:rsid w:val="00953198"/>
    <w:rsid w:val="0096152D"/>
    <w:rsid w:val="009622A6"/>
    <w:rsid w:val="00963F02"/>
    <w:rsid w:val="00965FDD"/>
    <w:rsid w:val="00971EDA"/>
    <w:rsid w:val="00974BB0"/>
    <w:rsid w:val="00995234"/>
    <w:rsid w:val="009B29C9"/>
    <w:rsid w:val="009B4151"/>
    <w:rsid w:val="009D5DF1"/>
    <w:rsid w:val="009E0EFF"/>
    <w:rsid w:val="009E6465"/>
    <w:rsid w:val="009F04E7"/>
    <w:rsid w:val="009F41A5"/>
    <w:rsid w:val="009F77BD"/>
    <w:rsid w:val="009F7B8E"/>
    <w:rsid w:val="00A0670B"/>
    <w:rsid w:val="00A2024D"/>
    <w:rsid w:val="00A27A36"/>
    <w:rsid w:val="00A332E7"/>
    <w:rsid w:val="00A348F1"/>
    <w:rsid w:val="00A35F82"/>
    <w:rsid w:val="00A45F7F"/>
    <w:rsid w:val="00A61AB0"/>
    <w:rsid w:val="00A6350D"/>
    <w:rsid w:val="00A65B70"/>
    <w:rsid w:val="00A66AFB"/>
    <w:rsid w:val="00A71E8E"/>
    <w:rsid w:val="00A72DF1"/>
    <w:rsid w:val="00A75BA6"/>
    <w:rsid w:val="00A82820"/>
    <w:rsid w:val="00A870EF"/>
    <w:rsid w:val="00A95F67"/>
    <w:rsid w:val="00AA0A37"/>
    <w:rsid w:val="00AA3A34"/>
    <w:rsid w:val="00AA4BF4"/>
    <w:rsid w:val="00AA5102"/>
    <w:rsid w:val="00AB45BF"/>
    <w:rsid w:val="00AB67BF"/>
    <w:rsid w:val="00AB7100"/>
    <w:rsid w:val="00AC48D1"/>
    <w:rsid w:val="00AC797C"/>
    <w:rsid w:val="00AD426E"/>
    <w:rsid w:val="00AD6FDB"/>
    <w:rsid w:val="00AE2BC0"/>
    <w:rsid w:val="00AE65F6"/>
    <w:rsid w:val="00AF03C7"/>
    <w:rsid w:val="00AF2EFD"/>
    <w:rsid w:val="00AF3D65"/>
    <w:rsid w:val="00B03293"/>
    <w:rsid w:val="00B044C2"/>
    <w:rsid w:val="00B1003C"/>
    <w:rsid w:val="00B15B38"/>
    <w:rsid w:val="00B2175B"/>
    <w:rsid w:val="00B244B7"/>
    <w:rsid w:val="00B31505"/>
    <w:rsid w:val="00B341F9"/>
    <w:rsid w:val="00B4260D"/>
    <w:rsid w:val="00B42D2A"/>
    <w:rsid w:val="00B46061"/>
    <w:rsid w:val="00B52004"/>
    <w:rsid w:val="00B5225E"/>
    <w:rsid w:val="00B54675"/>
    <w:rsid w:val="00B624F2"/>
    <w:rsid w:val="00B64979"/>
    <w:rsid w:val="00B657AD"/>
    <w:rsid w:val="00B715EF"/>
    <w:rsid w:val="00B723CB"/>
    <w:rsid w:val="00B73D5A"/>
    <w:rsid w:val="00B82E1B"/>
    <w:rsid w:val="00B85906"/>
    <w:rsid w:val="00BA1C2A"/>
    <w:rsid w:val="00BA3695"/>
    <w:rsid w:val="00BB54B8"/>
    <w:rsid w:val="00BB687B"/>
    <w:rsid w:val="00BC1C4F"/>
    <w:rsid w:val="00BC34AF"/>
    <w:rsid w:val="00BD3830"/>
    <w:rsid w:val="00BD5D5C"/>
    <w:rsid w:val="00BD6CE0"/>
    <w:rsid w:val="00BE0D49"/>
    <w:rsid w:val="00BE38AA"/>
    <w:rsid w:val="00BF3892"/>
    <w:rsid w:val="00BF5482"/>
    <w:rsid w:val="00C02C6C"/>
    <w:rsid w:val="00C03A66"/>
    <w:rsid w:val="00C06213"/>
    <w:rsid w:val="00C131F9"/>
    <w:rsid w:val="00C14385"/>
    <w:rsid w:val="00C219CA"/>
    <w:rsid w:val="00C24163"/>
    <w:rsid w:val="00C266EE"/>
    <w:rsid w:val="00C32E47"/>
    <w:rsid w:val="00C4255E"/>
    <w:rsid w:val="00C46BCF"/>
    <w:rsid w:val="00C471C1"/>
    <w:rsid w:val="00C50DFE"/>
    <w:rsid w:val="00C648DC"/>
    <w:rsid w:val="00C7351B"/>
    <w:rsid w:val="00C7579C"/>
    <w:rsid w:val="00C76FF1"/>
    <w:rsid w:val="00C775CD"/>
    <w:rsid w:val="00C77814"/>
    <w:rsid w:val="00C9154F"/>
    <w:rsid w:val="00C933AA"/>
    <w:rsid w:val="00CA23F8"/>
    <w:rsid w:val="00CC4CF2"/>
    <w:rsid w:val="00CD05AC"/>
    <w:rsid w:val="00CD4CBE"/>
    <w:rsid w:val="00CD68EA"/>
    <w:rsid w:val="00CD6F3B"/>
    <w:rsid w:val="00CE4E00"/>
    <w:rsid w:val="00CF05DF"/>
    <w:rsid w:val="00CF7424"/>
    <w:rsid w:val="00D01756"/>
    <w:rsid w:val="00D10F73"/>
    <w:rsid w:val="00D12031"/>
    <w:rsid w:val="00D12E82"/>
    <w:rsid w:val="00D16F8D"/>
    <w:rsid w:val="00D22657"/>
    <w:rsid w:val="00D2396D"/>
    <w:rsid w:val="00D2520D"/>
    <w:rsid w:val="00D36515"/>
    <w:rsid w:val="00D37AFD"/>
    <w:rsid w:val="00D41A3B"/>
    <w:rsid w:val="00D47429"/>
    <w:rsid w:val="00D504B2"/>
    <w:rsid w:val="00D56C87"/>
    <w:rsid w:val="00D67CB3"/>
    <w:rsid w:val="00D72401"/>
    <w:rsid w:val="00D72A28"/>
    <w:rsid w:val="00D742E1"/>
    <w:rsid w:val="00D74AC2"/>
    <w:rsid w:val="00D82CC7"/>
    <w:rsid w:val="00D83698"/>
    <w:rsid w:val="00D842E7"/>
    <w:rsid w:val="00D873AD"/>
    <w:rsid w:val="00D87852"/>
    <w:rsid w:val="00D92D98"/>
    <w:rsid w:val="00D94118"/>
    <w:rsid w:val="00DA3DDD"/>
    <w:rsid w:val="00DB133B"/>
    <w:rsid w:val="00DB30DA"/>
    <w:rsid w:val="00DC60C8"/>
    <w:rsid w:val="00DD0CA6"/>
    <w:rsid w:val="00DD5279"/>
    <w:rsid w:val="00DE1600"/>
    <w:rsid w:val="00DE38B8"/>
    <w:rsid w:val="00DE4785"/>
    <w:rsid w:val="00DF297D"/>
    <w:rsid w:val="00DF7665"/>
    <w:rsid w:val="00E10E02"/>
    <w:rsid w:val="00E15290"/>
    <w:rsid w:val="00E1532B"/>
    <w:rsid w:val="00E170B7"/>
    <w:rsid w:val="00E22961"/>
    <w:rsid w:val="00E27F0F"/>
    <w:rsid w:val="00E34F56"/>
    <w:rsid w:val="00E55425"/>
    <w:rsid w:val="00E62658"/>
    <w:rsid w:val="00E64FB7"/>
    <w:rsid w:val="00E665CF"/>
    <w:rsid w:val="00E74B7A"/>
    <w:rsid w:val="00E8644A"/>
    <w:rsid w:val="00E92211"/>
    <w:rsid w:val="00E95396"/>
    <w:rsid w:val="00EA2A89"/>
    <w:rsid w:val="00EA3C8B"/>
    <w:rsid w:val="00EB42C6"/>
    <w:rsid w:val="00EB6A34"/>
    <w:rsid w:val="00EB7887"/>
    <w:rsid w:val="00EC4700"/>
    <w:rsid w:val="00ED3410"/>
    <w:rsid w:val="00ED3554"/>
    <w:rsid w:val="00ED61F3"/>
    <w:rsid w:val="00ED6864"/>
    <w:rsid w:val="00EF2305"/>
    <w:rsid w:val="00F05A67"/>
    <w:rsid w:val="00F07126"/>
    <w:rsid w:val="00F12E34"/>
    <w:rsid w:val="00F16297"/>
    <w:rsid w:val="00F23B8F"/>
    <w:rsid w:val="00F2642A"/>
    <w:rsid w:val="00F33337"/>
    <w:rsid w:val="00F3488C"/>
    <w:rsid w:val="00F35444"/>
    <w:rsid w:val="00F37674"/>
    <w:rsid w:val="00F4692A"/>
    <w:rsid w:val="00F50953"/>
    <w:rsid w:val="00F5219F"/>
    <w:rsid w:val="00F61A27"/>
    <w:rsid w:val="00F76375"/>
    <w:rsid w:val="00F8286D"/>
    <w:rsid w:val="00F838C4"/>
    <w:rsid w:val="00F84204"/>
    <w:rsid w:val="00F8523C"/>
    <w:rsid w:val="00FA1EC9"/>
    <w:rsid w:val="00FA6D1D"/>
    <w:rsid w:val="00FB3155"/>
    <w:rsid w:val="00FC18B3"/>
    <w:rsid w:val="00FC7EF5"/>
    <w:rsid w:val="00FD02BA"/>
    <w:rsid w:val="00FE31D4"/>
    <w:rsid w:val="00FE7FC7"/>
    <w:rsid w:val="00FF4919"/>
    <w:rsid w:val="00FF5E43"/>
    <w:rsid w:val="0A75F725"/>
    <w:rsid w:val="1281090A"/>
    <w:rsid w:val="1AD02A53"/>
    <w:rsid w:val="1AE952B0"/>
    <w:rsid w:val="1E07CB15"/>
    <w:rsid w:val="1E683D4A"/>
    <w:rsid w:val="1F3C194A"/>
    <w:rsid w:val="1FA39B76"/>
    <w:rsid w:val="21D5F709"/>
    <w:rsid w:val="22DB3C38"/>
    <w:rsid w:val="250D97CB"/>
    <w:rsid w:val="2544F547"/>
    <w:rsid w:val="26A9682C"/>
    <w:rsid w:val="2845388D"/>
    <w:rsid w:val="292C90FD"/>
    <w:rsid w:val="294A7DBC"/>
    <w:rsid w:val="296C1F25"/>
    <w:rsid w:val="29E108EE"/>
    <w:rsid w:val="2C310D1F"/>
    <w:rsid w:val="36FED5FD"/>
    <w:rsid w:val="37F42190"/>
    <w:rsid w:val="39D3B9F0"/>
    <w:rsid w:val="433A10F4"/>
    <w:rsid w:val="43EA0BE8"/>
    <w:rsid w:val="4585DC49"/>
    <w:rsid w:val="48205180"/>
    <w:rsid w:val="4A7275C9"/>
    <w:rsid w:val="4B8D9BA1"/>
    <w:rsid w:val="4F2CBE8F"/>
    <w:rsid w:val="52645F51"/>
    <w:rsid w:val="55285E8B"/>
    <w:rsid w:val="5D26676F"/>
    <w:rsid w:val="6247EAFC"/>
    <w:rsid w:val="65877944"/>
    <w:rsid w:val="65D66118"/>
    <w:rsid w:val="67CB5713"/>
    <w:rsid w:val="6A5F2343"/>
    <w:rsid w:val="6F15332D"/>
    <w:rsid w:val="7151EEBA"/>
    <w:rsid w:val="750EFF62"/>
    <w:rsid w:val="75BBD22D"/>
    <w:rsid w:val="7B59899F"/>
    <w:rsid w:val="7F2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82A1C"/>
  <w15:chartTrackingRefBased/>
  <w15:docId w15:val="{CE1477D1-D6FC-48C8-8B77-94104DE5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60DC"/>
    <w:pPr>
      <w:spacing w:line="480" w:lineRule="auto"/>
      <w:jc w:val="both"/>
    </w:pPr>
    <w:rPr>
      <w:rFonts w:ascii="Times New Roman" w:hAnsi="Times New Roman" w:cs="Times New Roman"/>
      <w:sz w:val="20"/>
      <w:szCs w:val="20"/>
      <w:lang w:eastAsia="de-CH"/>
    </w:rPr>
  </w:style>
  <w:style w:type="paragraph" w:styleId="Kop1">
    <w:name w:val="heading 1"/>
    <w:basedOn w:val="Standaard"/>
    <w:next w:val="Standaard"/>
    <w:link w:val="Kop1Char"/>
    <w:uiPriority w:val="9"/>
    <w:qFormat/>
    <w:rsid w:val="004C6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C6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C63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6334"/>
  </w:style>
  <w:style w:type="paragraph" w:styleId="Voettekst">
    <w:name w:val="footer"/>
    <w:basedOn w:val="Standaard"/>
    <w:link w:val="Voet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6334"/>
  </w:style>
  <w:style w:type="character" w:customStyle="1" w:styleId="Kop1Char">
    <w:name w:val="Kop 1 Char"/>
    <w:basedOn w:val="Standaardalinea-lettertype"/>
    <w:link w:val="Kop1"/>
    <w:uiPriority w:val="9"/>
    <w:rsid w:val="004C6334"/>
    <w:rPr>
      <w:rFonts w:asciiTheme="majorHAnsi" w:eastAsiaTheme="majorEastAsia" w:hAnsiTheme="majorHAnsi" w:cstheme="majorBidi"/>
      <w:b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4C63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C63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4C63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6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C6334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4C633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C6334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4C6334"/>
    <w:rPr>
      <w:color w:val="0563C1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4C633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raster">
    <w:name w:val="Table Grid"/>
    <w:basedOn w:val="Standaardtabel"/>
    <w:uiPriority w:val="39"/>
    <w:rsid w:val="004C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C6334"/>
    <w:pPr>
      <w:ind w:left="720"/>
      <w:contextualSpacing/>
    </w:pPr>
  </w:style>
  <w:style w:type="character" w:styleId="Regelnummer">
    <w:name w:val="line number"/>
    <w:basedOn w:val="Standaardalinea-lettertype"/>
    <w:uiPriority w:val="99"/>
    <w:semiHidden/>
    <w:unhideWhenUsed/>
    <w:rsid w:val="004C6334"/>
  </w:style>
  <w:style w:type="character" w:styleId="Tekstvantijdelijkeaanduiding">
    <w:name w:val="Placeholder Text"/>
    <w:basedOn w:val="Standaardalinea-lettertype"/>
    <w:uiPriority w:val="99"/>
    <w:semiHidden/>
    <w:rsid w:val="004C6334"/>
    <w:rPr>
      <w:color w:val="808080"/>
    </w:rPr>
  </w:style>
  <w:style w:type="paragraph" w:customStyle="1" w:styleId="EndNoteBibliographyTitle">
    <w:name w:val="EndNote Bibliography Title"/>
    <w:basedOn w:val="Standaard"/>
    <w:link w:val="EndNoteBibliographyTitleChar"/>
    <w:rsid w:val="004C633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4C6334"/>
    <w:rPr>
      <w:rFonts w:ascii="Calibri" w:hAnsi="Calibri" w:cs="Calibri"/>
      <w:noProof/>
    </w:rPr>
  </w:style>
  <w:style w:type="paragraph" w:customStyle="1" w:styleId="EndNoteBibliography">
    <w:name w:val="EndNote Bibliography"/>
    <w:basedOn w:val="Standaard"/>
    <w:link w:val="EndNoteBibliographyChar"/>
    <w:rsid w:val="004C633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4C6334"/>
    <w:rPr>
      <w:rFonts w:ascii="Calibri" w:hAnsi="Calibri" w:cs="Calibri"/>
      <w:noProof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C633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C633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C633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63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633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633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4C6334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4C6334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de-CH"/>
    </w:rPr>
  </w:style>
  <w:style w:type="paragraph" w:styleId="Geenafstand">
    <w:name w:val="No Spacing"/>
    <w:uiPriority w:val="1"/>
    <w:qFormat/>
    <w:rsid w:val="004C6334"/>
    <w:pPr>
      <w:spacing w:after="0" w:line="240" w:lineRule="auto"/>
    </w:pPr>
  </w:style>
  <w:style w:type="paragraph" w:customStyle="1" w:styleId="BodyTextItalic">
    <w:name w:val="Body Text Italic"/>
    <w:basedOn w:val="Plattetekst"/>
    <w:next w:val="Plattetekst"/>
    <w:qFormat/>
    <w:rsid w:val="004C6334"/>
    <w:pPr>
      <w:keepLines/>
      <w:widowControl w:val="0"/>
      <w:spacing w:before="240" w:line="240" w:lineRule="auto"/>
      <w:ind w:left="567"/>
    </w:pPr>
    <w:rPr>
      <w:rFonts w:ascii="Tahoma" w:eastAsia="Times New Roman" w:hAnsi="Tahoma"/>
      <w:i/>
      <w:szCs w:val="24"/>
      <w:lang w:val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C633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C6334"/>
  </w:style>
  <w:style w:type="character" w:styleId="Onopgelostemelding">
    <w:name w:val="Unresolved Mention"/>
    <w:basedOn w:val="Standaardalinea-lettertype"/>
    <w:uiPriority w:val="99"/>
    <w:semiHidden/>
    <w:unhideWhenUsed/>
    <w:rsid w:val="00730AD1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951551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12031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963F02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normaltextrun1">
    <w:name w:val="normaltextrun1"/>
    <w:basedOn w:val="Standaardalinea-lettertype"/>
    <w:rsid w:val="00963F02"/>
  </w:style>
  <w:style w:type="character" w:customStyle="1" w:styleId="eop">
    <w:name w:val="eop"/>
    <w:basedOn w:val="Standaardalinea-lettertype"/>
    <w:rsid w:val="0096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3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9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39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443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423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35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2051224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25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57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94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584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4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412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079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9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26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0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6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wmf"/><Relationship Id="rId23" Type="http://schemas.openxmlformats.org/officeDocument/2006/relationships/image" Target="media/image15.png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ad3a63-90ad-4a46-a3cb-757f4658e205" origin="userSelected">
  <element uid="768aceb2-b366-4b48-827b-e820edc548bd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BA17-817F-4D66-A7F9-A059032456C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685DB60-2885-4889-9236-806B7FCC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1431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Beurden-Tan, Chrissy</dc:creator>
  <cp:keywords>*$%NAB</cp:keywords>
  <dc:description/>
  <cp:lastModifiedBy>Chrissy van Beurden - Tan</cp:lastModifiedBy>
  <cp:revision>399</cp:revision>
  <cp:lastPrinted>2020-07-02T18:54:00Z</cp:lastPrinted>
  <dcterms:created xsi:type="dcterms:W3CDTF">2020-08-29T08:08:00Z</dcterms:created>
  <dcterms:modified xsi:type="dcterms:W3CDTF">2022-04-15T09:46:00Z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cde49d7f-ea5e-46cd-9a9e-892dfd5b9385</vt:lpwstr>
  </property>
  <property fmtid="{D5CDD505-2E9C-101B-9397-08002B2CF9AE}" pid="3" name="bjSaver">
    <vt:lpwstr>RHwfB0Gg2CcfKmrPioFGSYxhvlAnWhCD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policy="82ad3a63-90ad-4a46-a3cb-757f4658e205" origin="userSelected" xmlns="http://www.boldonj</vt:lpwstr>
  </property>
  <property fmtid="{D5CDD505-2E9C-101B-9397-08002B2CF9AE}" pid="5" name="bjDocumentLabelXML-0">
    <vt:lpwstr>ames.com/2008/01/sie/internal/label"&gt;&lt;element uid="768aceb2-b366-4b48-827b-e820edc548bd" value="" /&gt;&lt;/sisl&gt;</vt:lpwstr>
  </property>
  <property fmtid="{D5CDD505-2E9C-101B-9397-08002B2CF9AE}" pid="6" name="bjDocumentSecurityLabel">
    <vt:lpwstr>Non-Amgen Business</vt:lpwstr>
  </property>
</Properties>
</file>