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Table S1 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  <w:t>Literature search criteria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Hans"/>
        </w:rPr>
        <w:t>for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Hans"/>
        </w:rPr>
        <w:t xml:space="preserve"> PubMed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169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(((((((((((((((((Carcinoma, Non-Small-Cell Lung[MeSH Terms]) OR (non-small-cell lung cancer[Title/Abstract])) OR (non-small cell lung cancer[Title/Abstract])) OR (non small-cell lung cancer[Title/Abstract])) OR (non small cell lung cancer[Title/Abstract])) OR (non-small-cell lung carcinoma[Title/Abstract])) OR (non-small cell lung carcinoma[Title/Abstract])) OR (non small-cell lung carcinoma[Title/Abstract])) OR (non small cell lung carcinoma[Title/Abstract])) OR (nsclc[Title/Abstract])) OR (lung non-squamous[Title/Abstract])) OR (lung nonsquamous[Title/Abstract])) OR (lung adenocarcinoma[Title/Abstract])) AND ((epidermal growth factor receptor[Title/Abstract]) OR (EGFR[Title/Abstract]))) AND (((((((((((treatment[Title/Abstract]) OR (therapy[Title/Abstract])) OR (tyrosine kinase inhibitor[Title/Abstract])) OR (TKI[Title/Abstract])) OR (osimertinib[Title/Abstract])) OR (dacomitinib[Title/Abstract])) OR (afatinib[Title/Abstract])) OR (erlotinib[Title/Abstract])) OR (gefitinib[Title/Abstract])) OR (icotinib[Title/Abstract])) OR (chemotherapy[Title/Abstract]) OR ((((first-line[Title/Abstract]) OR (first line[Title/Abstract])) OR (treatment-naive[Title/Abstract])) OR (treatment-naïve[Title/Abstract])) OR (untreated[Title/Abstract]))) AND ((((((((OS[Title/Abstract]) OR (overall survival[Title/Abstract])) OR (overall-survival[Title/Abstract]) ) OR (MST[Title/Abstract])) OR (progression-free survival[Title/Abstract])) OR (progression free survival[Title/Abstract])) OR (PFS[Title/Abstract])) OR (iPFS[Title/Abstract]))) AND (((((((Randomized Controlled Trial[Publication Type]) OR (controlled clinical trial[Publication Type])) OR (randomized[Title/Abstract])) OR (randomised[Title/Abstract])) OR (randomly[Title/Abstract])) OR (trial*[Title/Abstract])) OR (phase[Title/Abstract]))) AND (("0001/01/01"[Date - Publication] : "2020/09/30"[Date - Publication]))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>Table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S2 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  <w:t>Literature search criteria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Hans"/>
        </w:rPr>
        <w:t>for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Hans"/>
        </w:rPr>
        <w:t xml:space="preserve"> Embase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169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('lung tumor'/exp OR 'non-small-cell lung cancer':ti OR 'non-small cell lung cancer':ti OR 'non small-cell lung cancer':ti OR 'non small cell lung cancer':ti OR 'non-small-cell lung carcinoma':ti OR 'non-small cell lung carcinoma':ti OR 'non small-cell lung carcinoma':ti OR 'non small cell lung carcinoma':ti OR 'nsclc':ti OR 'lung non-squamous':ti OR 'lung nonsquamous':ti OR 'lung adenocarcinoma':ti) AND ('epidermal growth factor receptor':ab,ti OR 'EGFR':ab,ti ) AND ('treatment':ab,ti OR 'therapy':ab,ti OR 'tyrosine kinase inhibitor':ab,ti OR 'TKI':ab,ti OR 'osimertinib':ab,ti OR 'dacomitinib':ab,ti OR 'afatinib':ab,ti OR 'erlotinib':ab,ti OR 'gefitinib':ab,ti OR 'icotinib':ab,ti OR 'chemotherapy':ab,ti OR 'first-line':ab,ti OR 'first line':ab,ti OR 'treatment-naive':ab,ti OR 'treatment-naïve':ab,ti OR 'untreated':ab,ti ) AND ('OS':ab,ti OR 'overall survival':ab,ti OR 'overall-survival':ab,ti OR 'MST':ab,ti OR 'progression-free survival':ab,ti OR 'progression free survival':ab,ti OR 'PFS':ab,ti) AND ('Randomized Controlled Trial':it OR 'controlled clinical trial':it OR 'randomized':ab,ti OR 'randomised':ab,ti OR 'randomly':ab,ti OR 'trial':ab,ti OR 'phase':ab,ti) AND [1966-2020]/py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>Table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S3 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CN"/>
        </w:rPr>
        <w:t>Literature search criteria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val="en-US" w:eastAsia="zh-Hans"/>
        </w:rPr>
        <w:t>for</w:t>
      </w:r>
      <w:r>
        <w:rPr>
          <w:rFonts w:hint="default" w:ascii="Times New Roman Bold" w:hAnsi="Times New Roman Bold" w:cs="Times New Roman Bold"/>
          <w:b/>
          <w:bCs/>
          <w:color w:val="auto"/>
          <w:sz w:val="20"/>
          <w:szCs w:val="20"/>
          <w:highlight w:val="none"/>
          <w:lang w:eastAsia="zh-Hans"/>
        </w:rPr>
        <w:t xml:space="preserve"> Cochrane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1699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((non-small-cell lung cancer):ti OR (non-small cell lung cancer):ti OR (non small-cell lung cancer):ti OR (non small cell lung cancer):ti OR (non-small-cell lung carcinoma):ti OR (non-small cell lung carcinoma):ti OR (non small-cell lung carcinoma):ti OR (non small cell lung carcinoma):ti OR (nsclc):ti OR (lung non-squamous):ti OR (lung nonsquamous):ti OR (lung adenocarcinoma):ti) AND ((epidermal growth factor receptor):ti,ab,kw OR (EGFR):ti,ab,kw ) AND ((treatment):ti,ab,kw OR (therapy):ti,ab,kw OR (tyrosine kinase inhibitor):ti,ab,kw OR (TKI):ti,ab,kw OR (osimertinib):ti,ab,kw OR (dacomitinib):ti,ab,kw OR (afatinib):ti,ab,kw OR (erlotinib):ti,ab,kw OR (gefitinib):ti,ab,kw OR (icotinib):ti,ab,kw OR (chemotherapy):ti,ab,kw OR (first-line):ti,ab,kw OR (first line):ti,ab,kw OR (treatment-naive):ti,ab,kw OR (treatment-naïve):ti,ab,kw OR (untreated):ti,ab,kw ) AND ((OS):ti,ab,kw OR (overall survival):ti,ab,kw OR (overall-survival):ti,ab,kw OR (MST):ti,ab,kw OR (progression-free survival):ti,ab,kw OR (progression free survival):ti,ab,kw OR (PFS):ti,ab,kw) AND ((Randomized Controlled Trial):pt OR (controlled clinical trial):pt OR (randomized):ti,ab,kw OR (randomised):ti,ab,kw OR (randomly):ti,ab,kw OR (trial):ti,ab,kw OR (phase):ti,ab,kw)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Table S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4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Comparisions of the fit of consistency and inconsistency models using deviance information criteria (DIC)</w:t>
      </w:r>
    </w:p>
    <w:tbl>
      <w:tblPr>
        <w:tblStyle w:val="3"/>
        <w:tblW w:w="73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0"/>
        <w:gridCol w:w="728"/>
        <w:gridCol w:w="1079"/>
        <w:gridCol w:w="1177"/>
        <w:gridCol w:w="171"/>
        <w:gridCol w:w="728"/>
        <w:gridCol w:w="1079"/>
        <w:gridCol w:w="11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258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PFS</w:t>
            </w:r>
          </w:p>
        </w:tc>
        <w:tc>
          <w:tcPr>
            <w:tcW w:w="1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All 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65 years old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 65 years old</w:t>
            </w:r>
          </w:p>
        </w:tc>
        <w:tc>
          <w:tcPr>
            <w:tcW w:w="1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All 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65 years old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 65 years old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Consistency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43.171 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23.992 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23.851 </w:t>
            </w:r>
          </w:p>
        </w:tc>
        <w:tc>
          <w:tcPr>
            <w:tcW w:w="180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23.946 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12.597 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23.851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Inconsistency</w:t>
            </w:r>
          </w:p>
        </w:tc>
        <w:tc>
          <w:tcPr>
            <w:tcW w:w="7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41.634 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23.802 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24.082 </w:t>
            </w:r>
          </w:p>
        </w:tc>
        <w:tc>
          <w:tcPr>
            <w:tcW w:w="1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24.325 </w:t>
            </w:r>
          </w:p>
        </w:tc>
        <w:tc>
          <w:tcPr>
            <w:tcW w:w="111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14.038 </w:t>
            </w:r>
          </w:p>
        </w:tc>
        <w:tc>
          <w:tcPr>
            <w:tcW w:w="121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24.082 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PFS: progression free survival, OS: overall survival.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The DIC is a Bayesian model evaluation criteria that measures model fit adjusted with complexity of the model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fldChar w:fldCharType="begin"/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instrText xml:space="preserve"> ADDIN  EN.CITE &lt;EndNote&gt;&lt;Cite&gt;&lt;Author&gt;Spiegelhalter,Best et al.&lt;/Author&gt;&lt;Year&gt;2002&lt;/Year&gt;&lt;RecNum&gt;1052&lt;/RecNum&gt;&lt;formattype&gt;0&lt;/formattype&gt;&lt;excludeauth&gt;0&lt;/excludeauth&gt;&lt;excludeyear&gt;0&lt;/excludeyear&gt;&lt;record&gt;&lt;rec-number&gt;1052&lt;/rec-number&gt;&lt;foreign-keys&gt;&lt;key app="EN" db-id="fr25xtrw2zsd9pezpxpvxvtsxwxdp2x995xr"&gt;1052&lt;/key&gt;&lt;/foreign-keys&gt;Journal Article&lt;contributors&gt;&lt;authors&gt;&lt;author&gt;Spiegelhalter, D. J.&lt;/author&gt;&lt;author&gt;Best, N. G.&lt;/author&gt;&lt;author&gt;Linde, Cavd&lt;/author&gt;&lt;/authors&gt;&lt;/contributors&gt;&lt;titles&gt;&lt;title&gt;Bayesian measures of model complexity and fit&lt;/title&gt;&lt;/titles&gt;&lt;dates&gt;&lt;year&gt;2002&lt;/year&gt;&lt;/dates&gt;&lt;urls&gt;&lt;/urls&gt;&lt;/record&gt;&lt;/Cite&gt;&lt;/EndNote&gt;</w:instrTex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fldChar w:fldCharType="separate"/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1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fldChar w:fldCharType="end"/>
      </w:r>
      <w:r>
        <w:rPr>
          <w:rFonts w:hint="default" w:ascii="Times New Roman Regular" w:hAnsi="Times New Roman Regular" w:cs="Times New Roman Regular"/>
          <w:sz w:val="24"/>
          <w:szCs w:val="24"/>
        </w:rPr>
        <w:t>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Smaller DIC value correspond to more preferable models. Difference between DIC from different models below 5 could be accepted. 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R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eferences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:</w:t>
      </w:r>
      <w:r>
        <w:rPr>
          <w:rFonts w:hint="default" w:ascii="Times New Roman Regular" w:hAnsi="Times New Roman Regular" w:cs="Times New Roman Regular"/>
          <w:sz w:val="24"/>
          <w:szCs w:val="24"/>
        </w:rPr>
        <w:fldChar w:fldCharType="begin"/>
      </w:r>
      <w:r>
        <w:rPr>
          <w:rFonts w:hint="default" w:ascii="Times New Roman Regular" w:hAnsi="Times New Roman Regular" w:cs="Times New Roman Regular"/>
          <w:sz w:val="24"/>
          <w:szCs w:val="24"/>
        </w:rPr>
        <w:instrText xml:space="preserve"> ADDIN  EN.REFLIST </w:instrText>
      </w:r>
      <w:r>
        <w:rPr>
          <w:rFonts w:hint="default" w:ascii="Times New Roman Regular" w:hAnsi="Times New Roman Regular" w:cs="Times New Roman Regular"/>
          <w:sz w:val="24"/>
          <w:szCs w:val="24"/>
        </w:rPr>
        <w:fldChar w:fldCharType="separate"/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Spiegelhalter DJ, Best NG, Linde C. Bayesian measures of model complexity and fit. Journal of the Royal Statistical Society: Series B (Statistical Methodology) 2002;64:583-639.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fldChar w:fldCharType="end"/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Table S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5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Node-splitting analysis of inconsistency.</w:t>
      </w: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All P value was below 0.05, indicating no significant inconsistencies between the direct effect and indirect effects.</w:t>
      </w:r>
    </w:p>
    <w:tbl>
      <w:tblPr>
        <w:tblStyle w:val="3"/>
        <w:tblW w:w="82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3"/>
        <w:gridCol w:w="1644"/>
        <w:gridCol w:w="1644"/>
        <w:gridCol w:w="1646"/>
        <w:gridCol w:w="1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Nodes</w:t>
            </w:r>
          </w:p>
        </w:tc>
        <w:tc>
          <w:tcPr>
            <w:tcW w:w="164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Direct effect</w:t>
            </w:r>
          </w:p>
        </w:tc>
        <w:tc>
          <w:tcPr>
            <w:tcW w:w="1644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Indirect effect</w:t>
            </w:r>
          </w:p>
        </w:tc>
        <w:tc>
          <w:tcPr>
            <w:tcW w:w="164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</w:t>
            </w:r>
          </w:p>
        </w:tc>
        <w:tc>
          <w:tcPr>
            <w:tcW w:w="104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PFS: Overall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2.30(1.70-3.20)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5.00(2.90-8.40)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2.90(2.10-4.10)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1.30(0.90-2.00)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0.61(0.39-1.00)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0.97(0.66-1.40)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0.27(0.18-0.38)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0.57(0.34-0.92)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0.34(0.23-0.47)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PFS: &lt;65 years old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2.30(0.95-5.70)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5.20(1.10-27.00)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2.80(1.30-6.20)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1.50(0.40-5.20)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0.65(0.17-2.50)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1.00(0.39-2.60)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0.29(0.11-0.81)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0.64(0.12-0.36)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0.36(0.15-0.84)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PFS: &gt;= 65 years old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2.70(0.78-11.00)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5.20(0.56-49.00)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3.20(1.30-10.00)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1.20(0.18-7.30)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0.60(0.10-4.00)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0.91(0.27-3.00)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0.23(0.06-0.79)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0.45(0.04-3.50)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0.28(0.09-0.76)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OS: Overall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1.30(0.97-1.70)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0.92(0.50-1.70)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1.20(0.94-1.60)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1.10(0.76-1.70)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1.60(0.89-2.80)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1.30(0.94-1.70)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1.20(0.79-2.00)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0.90(0.55-1.40)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1.00(0.76-1.50)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OS: &lt;65 years old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1.20(0.69-2.00)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1.30(0.42-4.40)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1.20(0.82-1.80)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1.50(0.69-3.40)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1.30(0.49-3.70)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1.40(0.88-2.30)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1.10(0.51-2.40)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1.30(0.51-3.20)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1.20(0.72-2.00)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OS: &gt;= 65 years old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2.70(0.78-11.00)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5.20(0.56-49.00)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3.20(1.30-10.00)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Afatinib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1.20(0.18-7.30)</w:t>
            </w:r>
          </w:p>
        </w:tc>
        <w:tc>
          <w:tcPr>
            <w:tcW w:w="16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0.60(0.10-4.10)</w:t>
            </w:r>
          </w:p>
        </w:tc>
        <w:tc>
          <w:tcPr>
            <w:tcW w:w="16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0.91(0.27-3.00)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</w:trPr>
        <w:tc>
          <w:tcPr>
            <w:tcW w:w="225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SoC, Chemotherapy</w:t>
            </w:r>
          </w:p>
        </w:tc>
        <w:tc>
          <w:tcPr>
            <w:tcW w:w="164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0.23(0.06-0.79)</w:t>
            </w:r>
          </w:p>
        </w:tc>
        <w:tc>
          <w:tcPr>
            <w:tcW w:w="1644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0.45(0.04-3.50)</w:t>
            </w:r>
          </w:p>
        </w:tc>
        <w:tc>
          <w:tcPr>
            <w:tcW w:w="164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0.28(0.09-0.76)</w:t>
            </w:r>
          </w:p>
        </w:tc>
        <w:tc>
          <w:tcPr>
            <w:tcW w:w="104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0.488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PFS: progression free survival, OS: overall survival.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Figure S1 Density plot for progression-free survival (PFS) and overall survival (OS) in all included patients, in elderly patients and in non-elderly patients.</w:t>
      </w:r>
    </w:p>
    <w:p>
      <w:pPr>
        <w:numPr>
          <w:ilvl w:val="0"/>
          <w:numId w:val="2"/>
        </w:numPr>
        <w:rPr>
          <w:rFonts w:hint="default" w:ascii="Times New Roman Regular" w:hAnsi="Times New Roman Regular" w:cs="Times New Roman Regular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2907030</wp:posOffset>
            </wp:positionH>
            <wp:positionV relativeFrom="paragraph">
              <wp:posOffset>221615</wp:posOffset>
            </wp:positionV>
            <wp:extent cx="2660650" cy="2546350"/>
            <wp:effectExtent l="0" t="0" r="6350" b="19050"/>
            <wp:wrapSquare wrapText="bothSides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Density plot for PFS in all patients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8255</wp:posOffset>
            </wp:positionV>
            <wp:extent cx="2661285" cy="2570480"/>
            <wp:effectExtent l="0" t="0" r="5715" b="20320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B)Density plot for PFS in patients below 65 years old</w:t>
      </w:r>
    </w:p>
    <w:p>
      <w:pPr>
        <w:widowControl w:val="0"/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2907665</wp:posOffset>
            </wp:positionH>
            <wp:positionV relativeFrom="paragraph">
              <wp:posOffset>110490</wp:posOffset>
            </wp:positionV>
            <wp:extent cx="2660650" cy="2576195"/>
            <wp:effectExtent l="0" t="0" r="6350" b="14605"/>
            <wp:wrapSquare wrapText="bothSides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60650" cy="2566035"/>
            <wp:effectExtent l="0" t="0" r="6350" b="2476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660650" cy="2556510"/>
            <wp:effectExtent l="0" t="0" r="6350" b="889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C) Density plot for PFS in patients over 65 years old</w:t>
      </w:r>
    </w:p>
    <w:p>
      <w:pPr>
        <w:widowControl w:val="0"/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109855</wp:posOffset>
            </wp:positionV>
            <wp:extent cx="2675255" cy="2570480"/>
            <wp:effectExtent l="0" t="0" r="17145" b="20320"/>
            <wp:wrapSquare wrapText="bothSides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60650" cy="2575560"/>
            <wp:effectExtent l="0" t="0" r="6350" b="1524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2660650" cy="2555875"/>
            <wp:effectExtent l="0" t="0" r="6350" b="952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D) Density plot for OS in all patients</w:t>
      </w:r>
    </w:p>
    <w:p>
      <w:pPr>
        <w:widowControl w:val="0"/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85725</wp:posOffset>
            </wp:positionV>
            <wp:extent cx="2660650" cy="2576830"/>
            <wp:effectExtent l="0" t="0" r="6350" b="13970"/>
            <wp:wrapSquare wrapText="bothSides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60650" cy="2578735"/>
            <wp:effectExtent l="0" t="0" r="6350" b="12065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E) Density plot for OS in patients below 65 years old</w:t>
      </w:r>
    </w:p>
    <w:p>
      <w:pPr>
        <w:widowControl w:val="0"/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109220</wp:posOffset>
            </wp:positionV>
            <wp:extent cx="2660650" cy="2566035"/>
            <wp:effectExtent l="0" t="0" r="6350" b="24765"/>
            <wp:wrapSquare wrapText="bothSides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60650" cy="2566035"/>
            <wp:effectExtent l="0" t="0" r="6350" b="24765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F) Density plot for OS in patients over 65 years old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2778125</wp:posOffset>
            </wp:positionH>
            <wp:positionV relativeFrom="paragraph">
              <wp:posOffset>92710</wp:posOffset>
            </wp:positionV>
            <wp:extent cx="2660650" cy="2621915"/>
            <wp:effectExtent l="0" t="0" r="6350" b="19685"/>
            <wp:wrapSquare wrapText="bothSides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60650" cy="2616200"/>
            <wp:effectExtent l="0" t="0" r="6350" b="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MetaProMedium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等线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altName w:val="苹方-简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 Bold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等线 Light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Robo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BlinkMacSystem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-Black">
    <w:altName w:val="苹方-简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Times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AdvGulliv-R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d710a12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liverR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romeSansM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96495f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96495f2 + f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Italic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PlantinSt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0B7D"/>
    <w:multiLevelType w:val="singleLevel"/>
    <w:tmpl w:val="61D40B7D"/>
    <w:lvl w:ilvl="0" w:tentative="0">
      <w:start w:val="1"/>
      <w:numFmt w:val="decimal"/>
      <w:lvlText w:val="%1."/>
      <w:lvlJc w:val="left"/>
    </w:lvl>
  </w:abstractNum>
  <w:abstractNum w:abstractNumId="1">
    <w:nsid w:val="61D40CDE"/>
    <w:multiLevelType w:val="singleLevel"/>
    <w:tmpl w:val="61D40CDE"/>
    <w:lvl w:ilvl="0" w:tentative="0">
      <w:start w:val="1"/>
      <w:numFmt w:val="upperLetter"/>
      <w:suff w:val="nothing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4A23"/>
    <w:rsid w:val="73AF7B32"/>
    <w:rsid w:val="7EB74A23"/>
    <w:rsid w:val="DD97E668"/>
    <w:rsid w:val="E57FF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2022-01-05T14:57:00Z</dcterms:created>
  <dc:creator>Dr.X</dc:creator>
  <cp:lastModifiedBy>Dr.X</cp:lastModifiedBy>
  <dcterms:modified xsi:type="dcterms:W3CDTF">2022-03-14T16:01:59Z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