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28930" w14:textId="13EA7A93" w:rsidR="00286032" w:rsidRPr="003C056D" w:rsidRDefault="00286032" w:rsidP="00286032">
      <w:r w:rsidRPr="003C056D">
        <w:rPr>
          <w:rFonts w:hint="eastAsia"/>
        </w:rPr>
        <w:t>S</w:t>
      </w:r>
      <w:r w:rsidRPr="003C056D">
        <w:t>upplementary File</w:t>
      </w:r>
      <w:r>
        <w:t>(s)</w:t>
      </w:r>
    </w:p>
    <w:p w14:paraId="7FA5BF30" w14:textId="77777777" w:rsidR="00286032" w:rsidRPr="003C056D" w:rsidRDefault="00286032" w:rsidP="00286032"/>
    <w:p w14:paraId="30B063D6" w14:textId="1A792F7F" w:rsidR="00286032" w:rsidRDefault="00286032" w:rsidP="00286032">
      <w:pPr>
        <w:widowControl/>
        <w:spacing w:line="480" w:lineRule="auto"/>
        <w:rPr>
          <w:rFonts w:eastAsia="標楷體"/>
        </w:rPr>
      </w:pPr>
      <w:r w:rsidRPr="003C056D">
        <w:rPr>
          <w:rFonts w:hint="eastAsia"/>
        </w:rPr>
        <w:t>A</w:t>
      </w:r>
      <w:r w:rsidRPr="003C056D">
        <w:t xml:space="preserve">dditional File 2. </w:t>
      </w:r>
      <w:r w:rsidRPr="003C056D">
        <w:rPr>
          <w:rFonts w:eastAsia="標楷體" w:hint="eastAsia"/>
        </w:rPr>
        <w:t>Su</w:t>
      </w:r>
      <w:r w:rsidRPr="003C056D">
        <w:rPr>
          <w:rFonts w:eastAsia="標楷體"/>
        </w:rPr>
        <w:t>pplementary Figure 1</w:t>
      </w:r>
      <w:r w:rsidR="00C60BF6">
        <w:rPr>
          <w:rFonts w:eastAsia="標楷體"/>
        </w:rPr>
        <w:t xml:space="preserve"> and Supplementary Figure 2</w:t>
      </w:r>
    </w:p>
    <w:p w14:paraId="02C54A94" w14:textId="2D1BA56F" w:rsidR="00286032" w:rsidRPr="00286032" w:rsidRDefault="00286032" w:rsidP="00286032">
      <w:pPr>
        <w:widowControl/>
        <w:spacing w:line="480" w:lineRule="auto"/>
        <w:rPr>
          <w:rFonts w:eastAsia="標楷體"/>
        </w:rPr>
      </w:pPr>
    </w:p>
    <w:p w14:paraId="0B0C30B4" w14:textId="6B4A6A12" w:rsidR="00286032" w:rsidRPr="003C056D" w:rsidRDefault="00286032" w:rsidP="00286032">
      <w:pPr>
        <w:widowControl/>
        <w:spacing w:line="480" w:lineRule="auto"/>
        <w:rPr>
          <w:rFonts w:eastAsia="標楷體"/>
        </w:rPr>
      </w:pPr>
      <w:r>
        <w:rPr>
          <w:rFonts w:eastAsia="標楷體" w:hint="eastAsia"/>
          <w:noProof/>
        </w:rPr>
        <w:drawing>
          <wp:inline distT="0" distB="0" distL="0" distR="0" wp14:anchorId="1A0A442B" wp14:editId="3073342B">
            <wp:extent cx="5274310" cy="3232150"/>
            <wp:effectExtent l="0" t="0" r="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6A4EB" w14:textId="77777777" w:rsidR="00286032" w:rsidRPr="003C056D" w:rsidRDefault="00286032" w:rsidP="00286032">
      <w:pPr>
        <w:widowControl/>
        <w:spacing w:line="480" w:lineRule="auto"/>
        <w:rPr>
          <w:rFonts w:eastAsia="標楷體"/>
        </w:rPr>
      </w:pPr>
      <w:r w:rsidRPr="003C056D">
        <w:rPr>
          <w:rFonts w:eastAsia="標楷體" w:hint="eastAsia"/>
        </w:rPr>
        <w:t>Su</w:t>
      </w:r>
      <w:r w:rsidRPr="003C056D">
        <w:rPr>
          <w:rFonts w:eastAsia="標楷體"/>
        </w:rPr>
        <w:t>pplementary Figure 1. Gain-loss plot of the genome of 32 Taiwanese CRC SNP microarrays (CRC: colorectal cancer SNP: single nucleotide polymorphism).</w:t>
      </w:r>
    </w:p>
    <w:p w14:paraId="79E11445" w14:textId="5A14721E" w:rsidR="00C60BF6" w:rsidRPr="00C60BF6" w:rsidRDefault="00C60BF6" w:rsidP="00C60BF6">
      <w:pPr>
        <w:widowControl/>
        <w:rPr>
          <w:rFonts w:hint="eastAsia"/>
        </w:rPr>
      </w:pPr>
      <w:r>
        <w:br w:type="page"/>
      </w:r>
    </w:p>
    <w:p w14:paraId="4AD38BE8" w14:textId="77777777" w:rsidR="00C60BF6" w:rsidRDefault="00C60BF6" w:rsidP="00C60BF6">
      <w:pPr>
        <w:widowControl/>
        <w:spacing w:line="480" w:lineRule="auto"/>
        <w:jc w:val="both"/>
        <w:rPr>
          <w:rFonts w:eastAsia="標楷體"/>
          <w:szCs w:val="28"/>
        </w:rPr>
      </w:pPr>
      <w:r>
        <w:rPr>
          <w:rFonts w:eastAsia="標楷體"/>
          <w:noProof/>
          <w:szCs w:val="28"/>
        </w:rPr>
        <w:lastRenderedPageBreak/>
        <w:drawing>
          <wp:inline distT="0" distB="0" distL="0" distR="0" wp14:anchorId="157AFECB" wp14:editId="2A8D7ACE">
            <wp:extent cx="2422769" cy="2422769"/>
            <wp:effectExtent l="0" t="0" r="3175" b="317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143" cy="243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6181">
        <w:rPr>
          <w:noProof/>
        </w:rPr>
        <w:t xml:space="preserve"> </w:t>
      </w:r>
      <w:r w:rsidRPr="00621BC6">
        <w:rPr>
          <w:noProof/>
        </w:rPr>
        <w:drawing>
          <wp:inline distT="0" distB="0" distL="0" distR="0" wp14:anchorId="10ACE823" wp14:editId="54523C23">
            <wp:extent cx="2394000" cy="2394000"/>
            <wp:effectExtent l="0" t="0" r="6350" b="635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4000" cy="23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B3267" w14:textId="77777777" w:rsidR="00C60BF6" w:rsidRDefault="00C60BF6" w:rsidP="00C60BF6">
      <w:pPr>
        <w:widowControl/>
        <w:spacing w:line="480" w:lineRule="auto"/>
        <w:jc w:val="both"/>
        <w:rPr>
          <w:rFonts w:eastAsia="標楷體"/>
          <w:szCs w:val="28"/>
        </w:rPr>
      </w:pPr>
      <w:r w:rsidRPr="00324E6E">
        <w:rPr>
          <w:rFonts w:eastAsia="標楷體"/>
          <w:noProof/>
          <w:szCs w:val="28"/>
        </w:rPr>
        <w:drawing>
          <wp:inline distT="0" distB="0" distL="0" distR="0" wp14:anchorId="71D9F81C" wp14:editId="52102B81">
            <wp:extent cx="2422525" cy="2422525"/>
            <wp:effectExtent l="0" t="0" r="3175" b="317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7127" cy="243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3944">
        <w:rPr>
          <w:noProof/>
        </w:rPr>
        <w:t xml:space="preserve"> </w:t>
      </w:r>
      <w:r w:rsidRPr="00E03944">
        <w:rPr>
          <w:rFonts w:eastAsia="標楷體"/>
          <w:noProof/>
          <w:szCs w:val="28"/>
        </w:rPr>
        <w:drawing>
          <wp:inline distT="0" distB="0" distL="0" distR="0" wp14:anchorId="5161CBE7" wp14:editId="2FD8472B">
            <wp:extent cx="2415600" cy="241560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5600" cy="24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95B35" w14:textId="77777777" w:rsidR="00C60BF6" w:rsidRDefault="00C60BF6" w:rsidP="00C60BF6">
      <w:pPr>
        <w:widowControl/>
        <w:spacing w:line="480" w:lineRule="auto"/>
        <w:jc w:val="both"/>
        <w:rPr>
          <w:rFonts w:eastAsia="標楷體"/>
          <w:szCs w:val="28"/>
        </w:rPr>
      </w:pPr>
      <w:r w:rsidRPr="000A0D60">
        <w:rPr>
          <w:rFonts w:eastAsia="標楷體"/>
          <w:noProof/>
          <w:szCs w:val="28"/>
        </w:rPr>
        <w:drawing>
          <wp:inline distT="0" distB="0" distL="0" distR="0" wp14:anchorId="172F05D4" wp14:editId="01FF5B41">
            <wp:extent cx="2408400" cy="2408400"/>
            <wp:effectExtent l="0" t="0" r="5080" b="508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8400" cy="24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CC62A" w14:textId="77777777" w:rsidR="00C60BF6" w:rsidRDefault="00C60BF6" w:rsidP="00C60BF6">
      <w:pPr>
        <w:widowControl/>
        <w:spacing w:line="480" w:lineRule="auto"/>
        <w:rPr>
          <w:rFonts w:eastAsia="標楷體"/>
          <w:szCs w:val="28"/>
        </w:rPr>
      </w:pPr>
      <w:r>
        <w:rPr>
          <w:rFonts w:eastAsia="標楷體"/>
          <w:szCs w:val="28"/>
        </w:rPr>
        <w:t xml:space="preserve">Supplemental </w:t>
      </w:r>
      <w:r w:rsidRPr="007C7726">
        <w:rPr>
          <w:rFonts w:eastAsia="標楷體" w:hint="eastAsia"/>
          <w:szCs w:val="28"/>
        </w:rPr>
        <w:t xml:space="preserve">Figure </w:t>
      </w:r>
      <w:r>
        <w:rPr>
          <w:rFonts w:eastAsia="標楷體"/>
          <w:szCs w:val="28"/>
        </w:rPr>
        <w:t>2</w:t>
      </w:r>
      <w:r w:rsidRPr="007C7726">
        <w:rPr>
          <w:rFonts w:eastAsia="標楷體"/>
          <w:szCs w:val="28"/>
        </w:rPr>
        <w:t xml:space="preserve">A to </w:t>
      </w:r>
      <w:r>
        <w:rPr>
          <w:rFonts w:eastAsia="標楷體"/>
          <w:szCs w:val="28"/>
        </w:rPr>
        <w:t>2</w:t>
      </w:r>
      <w:r w:rsidRPr="007C7726">
        <w:rPr>
          <w:rFonts w:eastAsia="標楷體"/>
          <w:szCs w:val="28"/>
        </w:rPr>
        <w:t>E. Relapse-free/overall survival analysis from microarray datasets of GSE12945 (</w:t>
      </w:r>
      <w:r>
        <w:rPr>
          <w:rFonts w:eastAsia="標楷體"/>
          <w:szCs w:val="28"/>
        </w:rPr>
        <w:t>2</w:t>
      </w:r>
      <w:r w:rsidRPr="007C7726">
        <w:rPr>
          <w:rFonts w:eastAsia="標楷體"/>
          <w:szCs w:val="28"/>
        </w:rPr>
        <w:t>A, top left), GSE14333 (</w:t>
      </w:r>
      <w:r>
        <w:rPr>
          <w:rFonts w:eastAsia="標楷體"/>
          <w:szCs w:val="28"/>
        </w:rPr>
        <w:t>2</w:t>
      </w:r>
      <w:r w:rsidRPr="007C7726">
        <w:rPr>
          <w:rFonts w:eastAsia="標楷體"/>
          <w:szCs w:val="28"/>
        </w:rPr>
        <w:t xml:space="preserve">B, top </w:t>
      </w:r>
      <w:r>
        <w:rPr>
          <w:rFonts w:eastAsia="標楷體"/>
          <w:szCs w:val="28"/>
        </w:rPr>
        <w:t>right</w:t>
      </w:r>
      <w:r w:rsidRPr="007C7726">
        <w:rPr>
          <w:rFonts w:eastAsia="標楷體"/>
          <w:szCs w:val="28"/>
        </w:rPr>
        <w:t>), GSE17538 (</w:t>
      </w:r>
      <w:r>
        <w:rPr>
          <w:rFonts w:eastAsia="標楷體"/>
          <w:szCs w:val="28"/>
        </w:rPr>
        <w:t>2</w:t>
      </w:r>
      <w:r w:rsidRPr="007C7726">
        <w:rPr>
          <w:rFonts w:eastAsia="標楷體"/>
          <w:szCs w:val="28"/>
        </w:rPr>
        <w:t xml:space="preserve">C, </w:t>
      </w:r>
      <w:r>
        <w:rPr>
          <w:rFonts w:eastAsia="標楷體"/>
          <w:szCs w:val="28"/>
        </w:rPr>
        <w:t>middle</w:t>
      </w:r>
      <w:r w:rsidRPr="007C7726">
        <w:rPr>
          <w:rFonts w:eastAsia="標楷體"/>
          <w:szCs w:val="28"/>
        </w:rPr>
        <w:t xml:space="preserve"> </w:t>
      </w:r>
      <w:r>
        <w:rPr>
          <w:rFonts w:eastAsia="標楷體"/>
          <w:szCs w:val="28"/>
        </w:rPr>
        <w:t>left</w:t>
      </w:r>
      <w:r w:rsidRPr="007C7726">
        <w:rPr>
          <w:rFonts w:eastAsia="標楷體"/>
          <w:szCs w:val="28"/>
        </w:rPr>
        <w:t>), TCGA_COAD (</w:t>
      </w:r>
      <w:r>
        <w:rPr>
          <w:rFonts w:eastAsia="標楷體"/>
          <w:szCs w:val="28"/>
        </w:rPr>
        <w:t>2</w:t>
      </w:r>
      <w:r w:rsidRPr="007C7726">
        <w:rPr>
          <w:rFonts w:eastAsia="標楷體"/>
          <w:szCs w:val="28"/>
        </w:rPr>
        <w:t xml:space="preserve">D, </w:t>
      </w:r>
      <w:r>
        <w:rPr>
          <w:rFonts w:eastAsia="標楷體"/>
          <w:szCs w:val="28"/>
        </w:rPr>
        <w:t>middle</w:t>
      </w:r>
      <w:r w:rsidRPr="007C7726">
        <w:rPr>
          <w:rFonts w:eastAsia="標楷體"/>
          <w:szCs w:val="28"/>
        </w:rPr>
        <w:t xml:space="preserve"> </w:t>
      </w:r>
      <w:r>
        <w:rPr>
          <w:rFonts w:eastAsia="標楷體"/>
          <w:szCs w:val="28"/>
        </w:rPr>
        <w:t>right</w:t>
      </w:r>
      <w:r w:rsidRPr="007C7726">
        <w:rPr>
          <w:rFonts w:eastAsia="標楷體"/>
          <w:szCs w:val="28"/>
        </w:rPr>
        <w:t>), and GSE39582 (</w:t>
      </w:r>
      <w:r>
        <w:rPr>
          <w:rFonts w:eastAsia="標楷體"/>
          <w:szCs w:val="28"/>
        </w:rPr>
        <w:t>2</w:t>
      </w:r>
      <w:r w:rsidRPr="007C7726">
        <w:rPr>
          <w:rFonts w:eastAsia="標楷體"/>
          <w:szCs w:val="28"/>
        </w:rPr>
        <w:t xml:space="preserve">E, bottom) with </w:t>
      </w:r>
      <w:r w:rsidRPr="007C7726">
        <w:rPr>
          <w:rFonts w:eastAsia="標楷體"/>
          <w:szCs w:val="28"/>
        </w:rPr>
        <w:lastRenderedPageBreak/>
        <w:t xml:space="preserve">leave-one-out cross-validation. The high-/low-risk group was defined by the </w:t>
      </w:r>
      <w:r>
        <w:rPr>
          <w:rFonts w:eastAsia="標楷體"/>
          <w:szCs w:val="28"/>
        </w:rPr>
        <w:t>75</w:t>
      </w:r>
      <w:r w:rsidRPr="007C7726">
        <w:rPr>
          <w:rFonts w:eastAsia="標楷體"/>
          <w:szCs w:val="28"/>
          <w:vertAlign w:val="superscript"/>
        </w:rPr>
        <w:t>th</w:t>
      </w:r>
      <w:r w:rsidRPr="007C7726">
        <w:rPr>
          <w:rFonts w:eastAsia="標楷體"/>
          <w:szCs w:val="28"/>
        </w:rPr>
        <w:t xml:space="preserve"> percentile of </w:t>
      </w:r>
      <w:r>
        <w:rPr>
          <w:rFonts w:eastAsia="標楷體"/>
          <w:szCs w:val="28"/>
        </w:rPr>
        <w:t>the</w:t>
      </w:r>
      <w:r w:rsidRPr="007C7726">
        <w:rPr>
          <w:rFonts w:eastAsia="標楷體"/>
          <w:szCs w:val="28"/>
        </w:rPr>
        <w:t xml:space="preserve"> prognostic index score determined by the supervised principal component </w:t>
      </w:r>
      <w:r>
        <w:rPr>
          <w:rFonts w:eastAsia="標楷體"/>
          <w:szCs w:val="28"/>
        </w:rPr>
        <w:t>composed</w:t>
      </w:r>
      <w:r w:rsidRPr="007C7726">
        <w:rPr>
          <w:rFonts w:eastAsia="標楷體"/>
          <w:szCs w:val="28"/>
        </w:rPr>
        <w:t xml:space="preserve"> of 4</w:t>
      </w:r>
      <w:r w:rsidRPr="007C7726">
        <w:rPr>
          <w:rFonts w:eastAsia="標楷體" w:hint="eastAsia"/>
          <w:szCs w:val="28"/>
        </w:rPr>
        <w:t>9</w:t>
      </w:r>
      <w:r>
        <w:rPr>
          <w:rFonts w:eastAsia="標楷體"/>
          <w:szCs w:val="28"/>
        </w:rPr>
        <w:t xml:space="preserve"> concurrent genes. All survival times were measured in months, except for 3D</w:t>
      </w:r>
      <w:r>
        <w:rPr>
          <w:rFonts w:eastAsia="標楷體" w:hint="eastAsia"/>
          <w:szCs w:val="28"/>
        </w:rPr>
        <w:t>,</w:t>
      </w:r>
      <w:r>
        <w:rPr>
          <w:rFonts w:eastAsia="標楷體"/>
          <w:szCs w:val="28"/>
        </w:rPr>
        <w:t xml:space="preserve"> which was measured in days.</w:t>
      </w:r>
    </w:p>
    <w:p w14:paraId="2062659E" w14:textId="77777777" w:rsidR="00286032" w:rsidRPr="00C60BF6" w:rsidRDefault="00286032"/>
    <w:sectPr w:rsidR="00286032" w:rsidRPr="00C60BF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20B0604020202020204"/>
    <w:charset w:val="88"/>
    <w:family w:val="auto"/>
    <w:pitch w:val="variable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32"/>
    <w:rsid w:val="00286032"/>
    <w:rsid w:val="00C6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9754C0"/>
  <w15:chartTrackingRefBased/>
  <w15:docId w15:val="{8F0C4C95-BA26-1440-8B5D-51DE9FB7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032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chishenh Huang</dc:creator>
  <cp:keywords/>
  <dc:description/>
  <cp:lastModifiedBy>chishenh Huang</cp:lastModifiedBy>
  <cp:revision>2</cp:revision>
  <dcterms:created xsi:type="dcterms:W3CDTF">2022-02-27T01:48:00Z</dcterms:created>
  <dcterms:modified xsi:type="dcterms:W3CDTF">2022-04-27T04:33:00Z</dcterms:modified>
</cp:coreProperties>
</file>