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10E81" w14:textId="5C8C6076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b/>
          <w:bCs/>
          <w:sz w:val="20"/>
          <w:szCs w:val="20"/>
          <w:lang w:eastAsia="zh-CN"/>
        </w:rPr>
        <w:t>Implicit cost of misdiagnosis</w:t>
      </w:r>
      <w:bookmarkStart w:id="0" w:name="_GoBack"/>
      <w:bookmarkEnd w:id="0"/>
      <w:r w:rsidRPr="00B52196">
        <w:rPr>
          <w:rFonts w:ascii="Arial" w:eastAsia="SimSun" w:hAnsi="Arial" w:cs="Arial"/>
          <w:b/>
          <w:bCs/>
          <w:sz w:val="20"/>
          <w:szCs w:val="20"/>
          <w:lang w:eastAsia="zh-CN"/>
        </w:rPr>
        <w:t xml:space="preserve"> derivation</w:t>
      </w:r>
    </w:p>
    <w:p w14:paraId="6AC65556" w14:textId="77777777" w:rsidR="007462BE" w:rsidRPr="00440249" w:rsidRDefault="007462BE" w:rsidP="003A3174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A797353" w14:textId="4B72B89E" w:rsidR="00703C7F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To assess the preference, the shape of the ROC curve was </w:t>
      </w:r>
      <w:r w:rsidR="003A3174" w:rsidRPr="00B52196">
        <w:rPr>
          <w:rFonts w:ascii="Arial" w:eastAsia="SimSun" w:hAnsi="Arial" w:cs="Arial"/>
          <w:sz w:val="20"/>
          <w:szCs w:val="20"/>
          <w:lang w:eastAsia="zh-CN"/>
        </w:rPr>
        <w:t>analysed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, adapting a parametric method of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Doebler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and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Holling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(2015) was applied. Assuming that for every study the following relationship hold: </w:t>
      </w:r>
    </w:p>
    <w:p w14:paraId="304A09CD" w14:textId="77777777" w:rsidR="00703C7F" w:rsidRPr="00B52196" w:rsidRDefault="003C18EC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t</m:t>
              </m:r>
            </m:e>
            <m:sub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α</m:t>
              </m:r>
            </m:sub>
          </m:sSub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sens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t</m:t>
              </m:r>
            </m:e>
            <m:sub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α</m:t>
              </m:r>
            </m:sub>
          </m:sSub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spec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+</m:t>
          </m:r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θ</m:t>
          </m:r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</m:t>
          </m:r>
        </m:oMath>
      </m:oMathPara>
    </w:p>
    <w:p w14:paraId="2366BE5D" w14:textId="77777777" w:rsidR="00703C7F" w:rsidRPr="00B52196" w:rsidRDefault="00703C7F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where </w:t>
      </w:r>
    </w:p>
    <w:p w14:paraId="37A1B4CD" w14:textId="77777777" w:rsidR="00703C7F" w:rsidRPr="00B52196" w:rsidRDefault="003C18EC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t</m:t>
              </m:r>
            </m:e>
            <m:sub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α</m:t>
              </m:r>
            </m:sub>
          </m:sSub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α</m:t>
          </m:r>
          <m:func>
            <m:func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x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-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2-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α</m:t>
              </m:r>
            </m:e>
          </m:d>
          <m:func>
            <m:func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1-</m:t>
                  </m:r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x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,</m:t>
          </m:r>
        </m:oMath>
      </m:oMathPara>
    </w:p>
    <w:p w14:paraId="51A1ED18" w14:textId="77777777" w:rsidR="00703C7F" w:rsidRPr="00B52196" w:rsidRDefault="00703C7F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</m:t>
          </m:r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x</m:t>
          </m:r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∈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0,1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, </m:t>
          </m:r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α</m:t>
          </m:r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∈(0,2)</m:t>
          </m:r>
        </m:oMath>
      </m:oMathPara>
    </w:p>
    <w:p w14:paraId="5D8BBA63" w14:textId="4C119CA4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so that α is a shape parameter and θ is an accuracy parameter (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Doebler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&amp;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Holling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>, 2015).</w:t>
      </w:r>
    </w:p>
    <w:p w14:paraId="547A5429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73FB8DD2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For a constant accuracy, the parameter α governs the asymmetry of the ROC curve. Hence, low values of α lead to a preference of specificity while high values lead to a preference of sensitivity. We have used estimates of α to evaluate if an individual model has inherent preference for sensitivity or specificity as well the general preference characteristics of meta-analysed models. </w:t>
      </w:r>
    </w:p>
    <w:p w14:paraId="147CA4D5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0CCC3674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The tα transformation was chosen because it has been shown to be more suitable than the logit transformation (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Holling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et al., 2012a). Based on the extracted three points from the ROC curve, three pairs of sensitivity and specificity values, and for a set of α values, tα and θ were calculated for each point. By minimizing the heterogeneity statistic Q, estimates of α result for each model in each study (cf. Eq. 23 in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Doebler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&amp;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Holling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>, 2015). </w:t>
      </w:r>
    </w:p>
    <w:p w14:paraId="1151C707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6AB55B9C" w14:textId="4C2958E8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We assume that authors base their decision about the study-level cut-off on study-specific (perceived) costs c</w:t>
      </w:r>
      <w:r w:rsidR="00294DB8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for not detecting a BC patient and c</w:t>
      </w:r>
      <w:r w:rsidR="00294DB8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for a positive screen of a healthy person. The cost c</w:t>
      </w:r>
      <w:r w:rsidR="00294DB8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is represented in units of </w:t>
      </w:r>
      <w:r w:rsidR="00C837E7" w:rsidRPr="00B52196">
        <w:rPr>
          <w:rFonts w:ascii="Arial" w:eastAsia="SimSun" w:hAnsi="Arial" w:cs="Arial"/>
          <w:sz w:val="20"/>
          <w:szCs w:val="20"/>
          <w:lang w:eastAsia="zh-CN"/>
        </w:rPr>
        <w:t xml:space="preserve">c0, 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>and by setting c</w:t>
      </w:r>
      <w:r w:rsidR="00294DB8" w:rsidRPr="00B52196">
        <w:rPr>
          <w:rFonts w:ascii="Arial" w:eastAsia="SimSun" w:hAnsi="Arial" w:cs="Arial"/>
          <w:sz w:val="20"/>
          <w:szCs w:val="20"/>
          <w:lang w:eastAsia="zh-CN"/>
        </w:rPr>
        <w:t>0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>=1, we simplified the calculation to this one parameter Similar to the α parameter, the c</w:t>
      </w:r>
      <w:r w:rsidR="00294DB8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cost was used to evaluate if an individual model was affected by an inherent author preference as well as to evaluate the general author preference among the meta-analysed models. </w:t>
      </w:r>
    </w:p>
    <w:p w14:paraId="7167BA49" w14:textId="77777777" w:rsidR="00972BA2" w:rsidRPr="00B52196" w:rsidRDefault="00972BA2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4A885234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For a prevalence π the expected cost is then</w:t>
      </w:r>
    </w:p>
    <w:p w14:paraId="6AC66942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68D527C2" w14:textId="77777777" w:rsidR="00331833" w:rsidRPr="00B52196" w:rsidRDefault="00331833" w:rsidP="003A3174">
      <w:pPr>
        <w:pStyle w:val="NormalWeb"/>
        <w:spacing w:before="0" w:beforeAutospacing="0" w:after="0" w:afterAutospacing="0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r>
            <m:rPr>
              <m:scr m:val="double-struck"/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E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cost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sub>
          </m:sSub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π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p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+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e>
          </m:d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q</m:t>
          </m:r>
        </m:oMath>
      </m:oMathPara>
    </w:p>
    <w:p w14:paraId="7DD25AC0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09F07E53" w14:textId="0CC0E67D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where p</w:t>
      </w:r>
      <w:r w:rsidR="00F90500" w:rsidRPr="00B52196">
        <w:rPr>
          <w:rFonts w:ascii="Arial" w:eastAsia="SimSun" w:hAnsi="Arial" w:cs="Arial"/>
          <w:sz w:val="20"/>
          <w:szCs w:val="20"/>
          <w:lang w:eastAsia="zh-CN"/>
        </w:rPr>
        <w:t xml:space="preserve"> and 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>q are short for sensitivity and false positive rate. Without loss of generality, the ROC curve is parametrized in q, so that p is a function of q. We can differentiate by q to obtain </w:t>
      </w:r>
    </w:p>
    <w:p w14:paraId="6A2AF251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385B52D8" w14:textId="77777777" w:rsidR="00EE5005" w:rsidRPr="00B52196" w:rsidRDefault="003C18EC" w:rsidP="003A3174">
      <w:pPr>
        <w:pStyle w:val="NormalWeb"/>
        <w:spacing w:before="0" w:beforeAutospacing="0" w:after="0" w:afterAutospacing="0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∂q</m:t>
              </m:r>
            </m:den>
          </m:f>
          <m:r>
            <m:rPr>
              <m:scr m:val="double-struck"/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E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cost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=-</m:t>
          </m:r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sub>
          </m:sSub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π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∂q</m:t>
              </m:r>
            </m:den>
          </m:f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p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q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+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e>
          </m:d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∂q</m:t>
              </m:r>
            </m:den>
          </m:f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q</m:t>
          </m:r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 -</m:t>
          </m:r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sub>
          </m:sSub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π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∂q</m:t>
              </m:r>
            </m:den>
          </m:f>
          <m:r>
            <w:rPr>
              <w:rFonts w:ascii="Cambria Math" w:eastAsia="SimSun" w:hAnsi="Cambria Math" w:cs="Arial"/>
              <w:sz w:val="20"/>
              <w:szCs w:val="20"/>
              <w:lang w:eastAsia="zh-CN"/>
            </w:rPr>
            <m:t>p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q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+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e>
          </m:d>
        </m:oMath>
      </m:oMathPara>
    </w:p>
    <w:p w14:paraId="4C08D49A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248FCED9" w14:textId="77777777" w:rsidR="00C837E7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The minimum cost is found at the q with </w:t>
      </w:r>
    </w:p>
    <w:p w14:paraId="440290CB" w14:textId="70C06EC5" w:rsidR="00C837E7" w:rsidRPr="00B52196" w:rsidRDefault="003C18EC" w:rsidP="003A3174">
      <w:pPr>
        <w:tabs>
          <w:tab w:val="left" w:pos="2420"/>
        </w:tabs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∂q</m:t>
              </m:r>
            </m:den>
          </m:f>
          <m:r>
            <m:rPr>
              <m:scr m:val="double-struck"/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E</m:t>
          </m:r>
          <m:d>
            <m:d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d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cost</m:t>
              </m:r>
            </m:e>
          </m:d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= 0</m:t>
          </m:r>
        </m:oMath>
      </m:oMathPara>
    </w:p>
    <w:p w14:paraId="09D0EB45" w14:textId="3BFF162D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and we obtain:</w:t>
      </w:r>
    </w:p>
    <w:p w14:paraId="2EDE68F2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3E5E2FC7" w14:textId="77777777" w:rsidR="006A49B8" w:rsidRPr="00B52196" w:rsidRDefault="003C18EC" w:rsidP="003A3174">
      <w:pPr>
        <w:pStyle w:val="NormalWeb"/>
        <w:spacing w:before="0" w:beforeAutospacing="0" w:after="0" w:afterAutospacing="0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den>
          </m:f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sSup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q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den>
          </m:f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sSup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-1</m:t>
                  </m:r>
                </m:sup>
              </m:sSup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(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g</m:t>
              </m:r>
              <m:d>
                <m:d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+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θ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)'</m:t>
              </m:r>
            </m:den>
          </m:f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1-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π</m:t>
              </m:r>
            </m:den>
          </m:f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 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g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'(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p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)</m:t>
              </m:r>
            </m:num>
            <m:den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g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'</m:t>
              </m:r>
              <m:d>
                <m:d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q</m:t>
                  </m:r>
                </m:e>
              </m:d>
            </m:den>
          </m:f>
        </m:oMath>
      </m:oMathPara>
    </w:p>
    <w:p w14:paraId="59E2BAE2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6A2861B1" w14:textId="77BAFDC3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>Since t</w:t>
      </w:r>
      <w:r w:rsidR="00D3673D" w:rsidRPr="00B52196">
        <w:rPr>
          <w:rFonts w:ascii="Arial" w:eastAsia="SimSun" w:hAnsi="Arial" w:cs="Arial"/>
          <w:sz w:val="20"/>
          <w:szCs w:val="20"/>
          <w:lang w:eastAsia="zh-CN"/>
        </w:rPr>
        <w:t>α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has a closed form first derivative (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Doebler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&amp; </w:t>
      </w:r>
      <w:proofErr w:type="spellStart"/>
      <w:r w:rsidRPr="00B52196">
        <w:rPr>
          <w:rFonts w:ascii="Arial" w:eastAsia="SimSun" w:hAnsi="Arial" w:cs="Arial"/>
          <w:sz w:val="20"/>
          <w:szCs w:val="20"/>
          <w:lang w:eastAsia="zh-CN"/>
        </w:rPr>
        <w:t>Holling</w:t>
      </w:r>
      <w:proofErr w:type="spellEnd"/>
      <w:r w:rsidRPr="00B52196">
        <w:rPr>
          <w:rFonts w:ascii="Arial" w:eastAsia="SimSun" w:hAnsi="Arial" w:cs="Arial"/>
          <w:sz w:val="20"/>
          <w:szCs w:val="20"/>
          <w:lang w:eastAsia="zh-CN"/>
        </w:rPr>
        <w:t>, 2015), an explicit formula for c</w:t>
      </w:r>
      <w:r w:rsidR="004D587A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results by plugging in the derivative. Also note that the value of </w:t>
      </w:r>
      <w:r w:rsidR="00E42129" w:rsidRPr="00B52196">
        <w:rPr>
          <w:rFonts w:ascii="Arial" w:eastAsia="SimSun" w:hAnsi="Arial" w:cs="Arial"/>
          <w:sz w:val="20"/>
          <w:szCs w:val="20"/>
          <w:lang w:eastAsia="zh-CN"/>
        </w:rPr>
        <w:t>c1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depends on the prevalence, but when the same prevalence can be assumed for all studies, the prevalence factor (1-π) / π is the same for all studies. This means c</w:t>
      </w:r>
      <w:r w:rsidR="00D3673D" w:rsidRPr="00B52196">
        <w:rPr>
          <w:rFonts w:ascii="Arial" w:eastAsia="SimSun" w:hAnsi="Arial" w:cs="Arial"/>
          <w:sz w:val="20"/>
          <w:szCs w:val="20"/>
          <w:lang w:eastAsia="zh-CN"/>
        </w:rPr>
        <w:t>1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 values can be compared even when there is uncertainty about the prevalence. In this paper, we ignore the prevalence factor, so that </w:t>
      </w:r>
    </w:p>
    <w:p w14:paraId="46B06C39" w14:textId="0C4A86E1" w:rsidR="00F4240E" w:rsidRPr="00B52196" w:rsidRDefault="003C18EC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SimSun" w:hAnsi="Cambria Math" w:cs="Arial"/>
              <w:sz w:val="20"/>
              <w:szCs w:val="20"/>
              <w:lang w:eastAsia="zh-CN"/>
            </w:rPr>
            <m:t xml:space="preserve">= </m:t>
          </m:r>
          <m:f>
            <m:fPr>
              <m:ctrl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</m:ctrlPr>
            </m:fPr>
            <m:num>
              <m:sSubSup>
                <m:sSubSup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sSubSup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t</m:t>
                  </m:r>
                </m:e>
                <m:sub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α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(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p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)</m:t>
              </m:r>
            </m:num>
            <m:den>
              <m:sSubSup>
                <m:sSubSupPr>
                  <m:ctrl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</m:ctrlPr>
                </m:sSubSupPr>
                <m:e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t</m:t>
                  </m:r>
                </m:e>
                <m:sub>
                  <m: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α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SimSun" w:hAnsi="Cambria Math" w:cs="Arial"/>
                      <w:sz w:val="20"/>
                      <w:szCs w:val="20"/>
                      <w:lang w:eastAsia="zh-CN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(</m:t>
              </m:r>
              <m: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q</m:t>
              </m:r>
              <m:r>
                <m:rPr>
                  <m:sty m:val="p"/>
                </m:rPr>
                <w:rPr>
                  <w:rFonts w:ascii="Cambria Math" w:eastAsia="SimSun" w:hAnsi="Cambria Math" w:cs="Arial"/>
                  <w:sz w:val="20"/>
                  <w:szCs w:val="20"/>
                  <w:lang w:eastAsia="zh-CN"/>
                </w:rPr>
                <m:t>)</m:t>
              </m:r>
            </m:den>
          </m:f>
        </m:oMath>
      </m:oMathPara>
    </w:p>
    <w:p w14:paraId="2A38AB3A" w14:textId="77777777" w:rsidR="007462BE" w:rsidRPr="00B52196" w:rsidRDefault="007462BE" w:rsidP="003A3174">
      <w:pPr>
        <w:spacing w:after="24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14:paraId="5B0DA76F" w14:textId="77777777" w:rsidR="007462BE" w:rsidRPr="00B52196" w:rsidRDefault="007462BE" w:rsidP="003A3174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B52196">
        <w:rPr>
          <w:rFonts w:ascii="Arial" w:eastAsia="SimSun" w:hAnsi="Arial" w:cs="Arial"/>
          <w:sz w:val="20"/>
          <w:szCs w:val="20"/>
          <w:lang w:eastAsia="zh-CN"/>
        </w:rPr>
        <w:t xml:space="preserve">In order to assess the performance of models which did not report performance data we have used the extracted q-points from the ROC graphs. From the extracted q-points we calculated the log-DOR on which we performed a univariate analysis. The univariate analysis was performed on all models as well as the most important model per study. Forest plots were generated on the calculated log-DOR. The </w:t>
      </w:r>
      <w:r w:rsidRPr="00B52196">
        <w:rPr>
          <w:rFonts w:ascii="Arial" w:eastAsia="SimSun" w:hAnsi="Arial" w:cs="Arial"/>
          <w:sz w:val="20"/>
          <w:szCs w:val="20"/>
          <w:lang w:eastAsia="zh-CN"/>
        </w:rPr>
        <w:lastRenderedPageBreak/>
        <w:t>univariate analysis based on the log-DOR was also performed on the subgroups, both on all models and most important model per study within the subgroups.</w:t>
      </w:r>
    </w:p>
    <w:p w14:paraId="5A5CFE5A" w14:textId="77777777" w:rsidR="00E719B9" w:rsidRPr="00440249" w:rsidRDefault="00E719B9" w:rsidP="003A3174">
      <w:pPr>
        <w:jc w:val="both"/>
        <w:rPr>
          <w:rFonts w:cstheme="minorHAnsi"/>
        </w:rPr>
      </w:pPr>
    </w:p>
    <w:sectPr w:rsidR="00E719B9" w:rsidRPr="00440249" w:rsidSect="0013770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E6E75" w14:textId="77777777" w:rsidR="003C18EC" w:rsidRDefault="003C18EC" w:rsidP="007462BE">
      <w:pPr>
        <w:spacing w:after="0" w:line="240" w:lineRule="auto"/>
      </w:pPr>
      <w:r>
        <w:separator/>
      </w:r>
    </w:p>
  </w:endnote>
  <w:endnote w:type="continuationSeparator" w:id="0">
    <w:p w14:paraId="6D1B9A49" w14:textId="77777777" w:rsidR="003C18EC" w:rsidRDefault="003C18EC" w:rsidP="00746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0000000000000000000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DA0AD" w14:textId="77777777" w:rsidR="003C18EC" w:rsidRDefault="003C18EC" w:rsidP="007462BE">
      <w:pPr>
        <w:spacing w:after="0" w:line="240" w:lineRule="auto"/>
      </w:pPr>
      <w:r>
        <w:separator/>
      </w:r>
    </w:p>
  </w:footnote>
  <w:footnote w:type="continuationSeparator" w:id="0">
    <w:p w14:paraId="25B7DEB5" w14:textId="77777777" w:rsidR="003C18EC" w:rsidRDefault="003C18EC" w:rsidP="00746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A23BA"/>
    <w:multiLevelType w:val="multilevel"/>
    <w:tmpl w:val="26AE4C28"/>
    <w:lvl w:ilvl="0">
      <w:start w:val="1"/>
      <w:numFmt w:val="decimal"/>
      <w:pStyle w:val="Heading1"/>
      <w:suff w:val="space"/>
      <w:lvlText w:val="Chapter %1"/>
      <w:lvlJc w:val="left"/>
      <w:pPr>
        <w:ind w:left="3403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D6"/>
    <w:rsid w:val="00071E56"/>
    <w:rsid w:val="00137701"/>
    <w:rsid w:val="00283EC4"/>
    <w:rsid w:val="00294DB8"/>
    <w:rsid w:val="002E3B13"/>
    <w:rsid w:val="00331833"/>
    <w:rsid w:val="003A3174"/>
    <w:rsid w:val="003C18EC"/>
    <w:rsid w:val="003C1D1F"/>
    <w:rsid w:val="00440249"/>
    <w:rsid w:val="004D587A"/>
    <w:rsid w:val="0068374B"/>
    <w:rsid w:val="006A49B8"/>
    <w:rsid w:val="00703C7F"/>
    <w:rsid w:val="007462BE"/>
    <w:rsid w:val="007B0E3C"/>
    <w:rsid w:val="008D4DF6"/>
    <w:rsid w:val="00963B94"/>
    <w:rsid w:val="00967BD6"/>
    <w:rsid w:val="00972BA2"/>
    <w:rsid w:val="00A3279C"/>
    <w:rsid w:val="00B52196"/>
    <w:rsid w:val="00BD2CEF"/>
    <w:rsid w:val="00C837E7"/>
    <w:rsid w:val="00D3673D"/>
    <w:rsid w:val="00D86F2B"/>
    <w:rsid w:val="00DC0601"/>
    <w:rsid w:val="00E42129"/>
    <w:rsid w:val="00E719B9"/>
    <w:rsid w:val="00EE5005"/>
    <w:rsid w:val="00F23BF1"/>
    <w:rsid w:val="00F4240E"/>
    <w:rsid w:val="00F82CA4"/>
    <w:rsid w:val="00F90500"/>
    <w:rsid w:val="00F9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8603"/>
  <w15:chartTrackingRefBased/>
  <w15:docId w15:val="{CF78FBC4-B3F7-49A1-954E-1C98D48A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hapter"/>
    <w:basedOn w:val="Normal"/>
    <w:link w:val="Heading1Char"/>
    <w:uiPriority w:val="9"/>
    <w:qFormat/>
    <w:rsid w:val="008D4DF6"/>
    <w:pPr>
      <w:keepNext/>
      <w:keepLines/>
      <w:numPr>
        <w:numId w:val="1"/>
      </w:numPr>
      <w:spacing w:after="0"/>
      <w:outlineLvl w:val="0"/>
    </w:pPr>
    <w:rPr>
      <w:rFonts w:ascii="Times New Roman" w:eastAsiaTheme="majorEastAsia" w:hAnsi="Times New Roman" w:cstheme="majorBidi"/>
      <w:b/>
      <w:caps/>
      <w:sz w:val="28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Char"/>
    <w:basedOn w:val="DefaultParagraphFont"/>
    <w:link w:val="Heading1"/>
    <w:uiPriority w:val="9"/>
    <w:rsid w:val="008D4DF6"/>
    <w:rPr>
      <w:rFonts w:ascii="Times New Roman" w:eastAsiaTheme="majorEastAsia" w:hAnsi="Times New Roman" w:cstheme="majorBidi"/>
      <w:b/>
      <w:caps/>
      <w:sz w:val="28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74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46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2BE"/>
  </w:style>
  <w:style w:type="paragraph" w:styleId="Footer">
    <w:name w:val="footer"/>
    <w:basedOn w:val="Normal"/>
    <w:link w:val="FooterChar"/>
    <w:uiPriority w:val="99"/>
    <w:unhideWhenUsed/>
    <w:rsid w:val="00746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2BE"/>
  </w:style>
  <w:style w:type="character" w:styleId="PlaceholderText">
    <w:name w:val="Placeholder Text"/>
    <w:basedOn w:val="DefaultParagraphFont"/>
    <w:uiPriority w:val="99"/>
    <w:semiHidden/>
    <w:rsid w:val="00F424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 Sehovic</dc:creator>
  <cp:keywords/>
  <dc:description/>
  <cp:lastModifiedBy>Emir  Sehovic</cp:lastModifiedBy>
  <cp:revision>21</cp:revision>
  <dcterms:created xsi:type="dcterms:W3CDTF">2021-09-28T08:28:00Z</dcterms:created>
  <dcterms:modified xsi:type="dcterms:W3CDTF">2021-10-03T10:52:00Z</dcterms:modified>
</cp:coreProperties>
</file>