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AF15" w14:textId="77777777" w:rsidR="00D45993" w:rsidRPr="00281590" w:rsidRDefault="00D45993" w:rsidP="00D45993">
      <w:pPr>
        <w:pStyle w:val="BMSBodyText"/>
        <w:spacing w:before="160" w:after="16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SUPPLEMENTARY </w:t>
      </w:r>
      <w:r w:rsidRPr="00281590">
        <w:rPr>
          <w:rFonts w:ascii="Arial" w:hAnsi="Arial" w:cs="Arial"/>
          <w:b/>
          <w:bCs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  <w:lang w:val="en-GB"/>
        </w:rPr>
        <w:t>2.</w:t>
      </w:r>
      <w:r w:rsidRPr="00281590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Reasons for treatment selection at 1L and 1L-M</w:t>
      </w:r>
    </w:p>
    <w:tbl>
      <w:tblPr>
        <w:tblStyle w:val="TableGrid"/>
        <w:tblW w:w="44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5"/>
        <w:gridCol w:w="2200"/>
        <w:gridCol w:w="2200"/>
      </w:tblGrid>
      <w:tr w:rsidR="00D45993" w:rsidRPr="008C0424" w14:paraId="33410B80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6E7C90D1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Rationale for Treatment Selection</w:t>
            </w:r>
          </w:p>
        </w:tc>
        <w:tc>
          <w:tcPr>
            <w:tcW w:w="275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C9A1D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24">
              <w:rPr>
                <w:rFonts w:ascii="Arial" w:hAnsi="Arial" w:cs="Arial"/>
                <w:b/>
                <w:bCs/>
                <w:sz w:val="20"/>
                <w:szCs w:val="20"/>
              </w:rPr>
              <w:t>Line of Therapy, n (%)</w:t>
            </w:r>
          </w:p>
        </w:tc>
      </w:tr>
      <w:tr w:rsidR="00D45993" w:rsidRPr="008C0424" w14:paraId="518E5291" w14:textId="77777777" w:rsidTr="00304760">
        <w:tc>
          <w:tcPr>
            <w:tcW w:w="2242" w:type="pct"/>
            <w:tcBorders>
              <w:top w:val="single" w:sz="4" w:space="0" w:color="auto"/>
            </w:tcBorders>
          </w:tcPr>
          <w:p w14:paraId="6162F37B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pct"/>
            <w:tcBorders>
              <w:top w:val="single" w:sz="4" w:space="0" w:color="auto"/>
            </w:tcBorders>
          </w:tcPr>
          <w:p w14:paraId="2C23A88D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1L (n=1390)</w:t>
            </w:r>
          </w:p>
        </w:tc>
        <w:tc>
          <w:tcPr>
            <w:tcW w:w="1379" w:type="pct"/>
            <w:tcBorders>
              <w:top w:val="single" w:sz="4" w:space="0" w:color="auto"/>
            </w:tcBorders>
          </w:tcPr>
          <w:p w14:paraId="6F05EE27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1L-M (n=273)</w:t>
            </w:r>
          </w:p>
        </w:tc>
      </w:tr>
      <w:tr w:rsidR="00D45993" w:rsidRPr="008C0424" w14:paraId="50E5F01F" w14:textId="77777777" w:rsidTr="00304760">
        <w:tc>
          <w:tcPr>
            <w:tcW w:w="2242" w:type="pct"/>
          </w:tcPr>
          <w:p w14:paraId="5C025D04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the best evidence and efficacy overall</w:t>
            </w:r>
          </w:p>
        </w:tc>
        <w:tc>
          <w:tcPr>
            <w:tcW w:w="1379" w:type="pct"/>
            <w:vAlign w:val="center"/>
          </w:tcPr>
          <w:p w14:paraId="61B74236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611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9" w:type="pct"/>
            <w:vAlign w:val="center"/>
          </w:tcPr>
          <w:p w14:paraId="4E73F0B3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34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45993" w:rsidRPr="008C0424" w14:paraId="2A1327C6" w14:textId="77777777" w:rsidTr="00304760">
        <w:tc>
          <w:tcPr>
            <w:tcW w:w="2242" w:type="pct"/>
          </w:tcPr>
          <w:p w14:paraId="2039C116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is a treatment I am familiar with</w:t>
            </w:r>
          </w:p>
        </w:tc>
        <w:tc>
          <w:tcPr>
            <w:tcW w:w="1379" w:type="pct"/>
            <w:vAlign w:val="center"/>
          </w:tcPr>
          <w:p w14:paraId="62B12B14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42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9" w:type="pct"/>
            <w:vAlign w:val="center"/>
          </w:tcPr>
          <w:p w14:paraId="41CE800C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45993" w:rsidRPr="008C0424" w14:paraId="6166AE15" w14:textId="77777777" w:rsidTr="00304760">
        <w:tc>
          <w:tcPr>
            <w:tcW w:w="2242" w:type="pct"/>
          </w:tcPr>
          <w:p w14:paraId="3BE9A17C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Progression-free survival benefits</w:t>
            </w:r>
          </w:p>
        </w:tc>
        <w:tc>
          <w:tcPr>
            <w:tcW w:w="1379" w:type="pct"/>
            <w:vAlign w:val="center"/>
          </w:tcPr>
          <w:p w14:paraId="0CE4E1A0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9" w:type="pct"/>
            <w:vAlign w:val="center"/>
          </w:tcPr>
          <w:p w14:paraId="43B066DB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 (41)</w:t>
            </w:r>
          </w:p>
        </w:tc>
      </w:tr>
      <w:tr w:rsidR="00D45993" w:rsidRPr="008C0424" w14:paraId="00AAAC55" w14:textId="77777777" w:rsidTr="00304760">
        <w:tc>
          <w:tcPr>
            <w:tcW w:w="2242" w:type="pct"/>
          </w:tcPr>
          <w:p w14:paraId="3B314341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Manageable side effects profile</w:t>
            </w:r>
          </w:p>
        </w:tc>
        <w:tc>
          <w:tcPr>
            <w:tcW w:w="1379" w:type="pct"/>
            <w:vAlign w:val="center"/>
          </w:tcPr>
          <w:p w14:paraId="6BEDF678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541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39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9" w:type="pct"/>
            <w:vAlign w:val="center"/>
          </w:tcPr>
          <w:p w14:paraId="23153BFA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 (40)</w:t>
            </w:r>
          </w:p>
        </w:tc>
      </w:tr>
      <w:tr w:rsidR="00D45993" w:rsidRPr="008C0424" w14:paraId="5417F59E" w14:textId="77777777" w:rsidTr="00304760">
        <w:tc>
          <w:tcPr>
            <w:tcW w:w="2242" w:type="pct"/>
            <w:tcBorders>
              <w:bottom w:val="single" w:sz="4" w:space="0" w:color="auto"/>
            </w:tcBorders>
          </w:tcPr>
          <w:p w14:paraId="2EA1E96F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is the standard of care</w:t>
            </w:r>
          </w:p>
        </w:tc>
        <w:tc>
          <w:tcPr>
            <w:tcW w:w="1379" w:type="pct"/>
            <w:tcBorders>
              <w:bottom w:val="single" w:sz="4" w:space="0" w:color="auto"/>
            </w:tcBorders>
            <w:vAlign w:val="center"/>
          </w:tcPr>
          <w:p w14:paraId="148515C7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38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9" w:type="pct"/>
            <w:tcBorders>
              <w:bottom w:val="single" w:sz="4" w:space="0" w:color="auto"/>
            </w:tcBorders>
            <w:vAlign w:val="center"/>
          </w:tcPr>
          <w:p w14:paraId="50A13917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(22)</w:t>
            </w:r>
          </w:p>
        </w:tc>
      </w:tr>
      <w:tr w:rsidR="00D45993" w:rsidRPr="008C0424" w14:paraId="213C941D" w14:textId="77777777" w:rsidTr="00304760">
        <w:tc>
          <w:tcPr>
            <w:tcW w:w="2242" w:type="pct"/>
            <w:tcBorders>
              <w:bottom w:val="single" w:sz="4" w:space="0" w:color="auto"/>
            </w:tcBorders>
          </w:tcPr>
          <w:p w14:paraId="363690DB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Recommended by national / clinical guidelines</w:t>
            </w:r>
          </w:p>
        </w:tc>
        <w:tc>
          <w:tcPr>
            <w:tcW w:w="1379" w:type="pct"/>
            <w:tcBorders>
              <w:bottom w:val="single" w:sz="4" w:space="0" w:color="auto"/>
            </w:tcBorders>
            <w:vAlign w:val="center"/>
          </w:tcPr>
          <w:p w14:paraId="665FEEF5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453 (33)</w:t>
            </w:r>
          </w:p>
        </w:tc>
        <w:tc>
          <w:tcPr>
            <w:tcW w:w="1379" w:type="pct"/>
            <w:tcBorders>
              <w:bottom w:val="single" w:sz="4" w:space="0" w:color="auto"/>
            </w:tcBorders>
            <w:vAlign w:val="center"/>
          </w:tcPr>
          <w:p w14:paraId="095F1F33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 (24)</w:t>
            </w:r>
          </w:p>
        </w:tc>
      </w:tr>
      <w:tr w:rsidR="00D45993" w:rsidRPr="008C0424" w14:paraId="3BFEDB91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2C0AD2EF" w14:textId="77777777" w:rsidR="00D45993" w:rsidRPr="008C0424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Overall survival benefit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AEFB8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Pr="008C04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B37F6" w14:textId="77777777" w:rsidR="00D45993" w:rsidRPr="008C0424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 (27)</w:t>
            </w:r>
          </w:p>
        </w:tc>
      </w:tr>
      <w:tr w:rsidR="00D45993" w:rsidRPr="008C0424" w14:paraId="3C33D2DB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3B3A259D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Provides rapid onset of action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1CD01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 (27)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27873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(9)</w:t>
            </w:r>
          </w:p>
        </w:tc>
      </w:tr>
      <w:tr w:rsidR="00D45993" w:rsidRPr="008C0424" w14:paraId="4261BD28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2B2CF7CC" w14:textId="57CAC8F1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Maintains or improves the patients</w:t>
            </w:r>
            <w:r w:rsidR="00AD75D4"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rFonts w:ascii="Arial" w:hAnsi="Arial" w:cs="Arial"/>
                <w:sz w:val="20"/>
                <w:szCs w:val="20"/>
              </w:rPr>
              <w:t xml:space="preserve"> quality of life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B1796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284 (20)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4C476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 (24)</w:t>
            </w:r>
          </w:p>
        </w:tc>
      </w:tr>
      <w:tr w:rsidR="00D45993" w:rsidRPr="008C0424" w14:paraId="35F13DAF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3AA27CA7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Included in hospital formulary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4D356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 (20)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C345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(10)</w:t>
            </w:r>
          </w:p>
        </w:tc>
      </w:tr>
      <w:tr w:rsidR="00D45993" w:rsidRPr="008C0424" w14:paraId="3CD5A40C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02D82604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Achieves partial response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706D9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 (18)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E90CC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(10)</w:t>
            </w:r>
          </w:p>
        </w:tc>
      </w:tr>
      <w:tr w:rsidR="00D45993" w:rsidRPr="008C0424" w14:paraId="46EAE631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6B033434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incidence of serious events / severe side effects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6928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 (18)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0CED1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 (26)</w:t>
            </w:r>
          </w:p>
        </w:tc>
      </w:tr>
      <w:tr w:rsidR="00D45993" w:rsidRPr="008C0424" w14:paraId="073103ED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3C8DBD78" w14:textId="6A96399A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Maintains or improves the patients</w:t>
            </w:r>
            <w:r w:rsidR="00AD75D4"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rFonts w:ascii="Arial" w:hAnsi="Arial" w:cs="Arial"/>
                <w:sz w:val="20"/>
                <w:szCs w:val="20"/>
              </w:rPr>
              <w:t xml:space="preserve"> performance status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A6C01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 (16)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E19D0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(17)</w:t>
            </w:r>
          </w:p>
        </w:tc>
      </w:tr>
      <w:tr w:rsidR="00D45993" w:rsidRPr="008C0424" w14:paraId="24F0CAF6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7E7059E2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Effective in combination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53B8C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(16)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A3ADC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(4)</w:t>
            </w:r>
          </w:p>
        </w:tc>
      </w:tr>
      <w:tr w:rsidR="00D45993" w:rsidRPr="008C0424" w14:paraId="448B3EC2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44A70C52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Strong duration of response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06E2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 (13)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F534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 (26)</w:t>
            </w:r>
          </w:p>
        </w:tc>
      </w:tr>
      <w:tr w:rsidR="00D45993" w:rsidRPr="008C0424" w14:paraId="35646AFB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2CF38280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Convenient dosing regimen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2432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 (10)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773D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(9)</w:t>
            </w:r>
          </w:p>
        </w:tc>
      </w:tr>
      <w:tr w:rsidR="00D45993" w:rsidRPr="008C0424" w14:paraId="20E97471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6868F187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Safe for long-term use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6B9C9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 (8)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2385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 (21)</w:t>
            </w:r>
          </w:p>
        </w:tc>
      </w:tr>
      <w:tr w:rsidR="00D45993" w:rsidRPr="008C0424" w14:paraId="7645E896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3724E5B3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Easy to secure reimbursed access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CC4E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 (7)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B2A63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(5)</w:t>
            </w:r>
          </w:p>
        </w:tc>
      </w:tr>
      <w:tr w:rsidR="00D45993" w:rsidRPr="008C0424" w14:paraId="037A6942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72F8AD69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Convenient method of administration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19D24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 (7)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63BA1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(6)</w:t>
            </w:r>
          </w:p>
        </w:tc>
      </w:tr>
      <w:tr w:rsidR="00D45993" w:rsidRPr="008C0424" w14:paraId="658440E8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0A24AD52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few contradictions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9D9F0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 (6)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A9A0A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(11)</w:t>
            </w:r>
          </w:p>
        </w:tc>
      </w:tr>
      <w:tr w:rsidR="00D45993" w:rsidRPr="008C0424" w14:paraId="18BCFC75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1DBAE4DE" w14:textId="202CCB2C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</w:t>
            </w:r>
            <w:r w:rsidR="00AD75D4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ves complete response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AD14C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 (6)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C1060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(5)</w:t>
            </w:r>
          </w:p>
        </w:tc>
      </w:tr>
      <w:tr w:rsidR="00D45993" w:rsidRPr="008C0424" w14:paraId="5ED2C207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252DD638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reason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FE148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(1)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2772D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45993" w:rsidRPr="008C0424" w14:paraId="6D8A6162" w14:textId="77777777" w:rsidTr="00304760"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566A67B9" w14:textId="77777777" w:rsidR="00D45993" w:rsidRDefault="00D45993" w:rsidP="00AD75D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of the above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A1499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(1)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51D1B" w14:textId="77777777" w:rsidR="00D45993" w:rsidRDefault="00D45993" w:rsidP="00AD75D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(3)</w:t>
            </w:r>
          </w:p>
        </w:tc>
      </w:tr>
    </w:tbl>
    <w:p w14:paraId="70C6DEDD" w14:textId="77777777" w:rsidR="00D45993" w:rsidRPr="00060106" w:rsidRDefault="00D45993" w:rsidP="00D45993">
      <w:pPr>
        <w:spacing w:before="160" w:line="240" w:lineRule="auto"/>
        <w:rPr>
          <w:rFonts w:ascii="Arial" w:hAnsi="Arial" w:cs="Arial"/>
          <w:bCs/>
          <w:sz w:val="20"/>
          <w:szCs w:val="20"/>
        </w:rPr>
      </w:pPr>
      <w:r w:rsidRPr="00D87099">
        <w:rPr>
          <w:rFonts w:ascii="Arial" w:hAnsi="Arial" w:cs="Arial"/>
          <w:i/>
          <w:iCs/>
          <w:sz w:val="20"/>
          <w:szCs w:val="20"/>
        </w:rPr>
        <w:t>Note:</w:t>
      </w:r>
      <w:r w:rsidRPr="00D870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Patients from </w:t>
      </w:r>
      <w:r w:rsidRPr="00060106">
        <w:rPr>
          <w:rFonts w:ascii="Arial" w:hAnsi="Arial" w:cs="Arial"/>
          <w:bCs/>
          <w:sz w:val="20"/>
          <w:szCs w:val="20"/>
        </w:rPr>
        <w:t xml:space="preserve">EU </w:t>
      </w:r>
      <w:r w:rsidRPr="00060106">
        <w:rPr>
          <w:rFonts w:ascii="Arial" w:hAnsi="Arial" w:cs="Arial"/>
          <w:sz w:val="20"/>
          <w:szCs w:val="20"/>
        </w:rPr>
        <w:t xml:space="preserve">countries </w:t>
      </w:r>
      <w:r>
        <w:rPr>
          <w:rFonts w:ascii="Arial" w:hAnsi="Arial" w:cs="Arial"/>
          <w:sz w:val="20"/>
          <w:szCs w:val="20"/>
        </w:rPr>
        <w:t xml:space="preserve">including </w:t>
      </w:r>
      <w:r w:rsidRPr="00060106">
        <w:rPr>
          <w:rFonts w:ascii="Arial" w:hAnsi="Arial" w:cs="Arial"/>
          <w:sz w:val="20"/>
          <w:szCs w:val="20"/>
        </w:rPr>
        <w:t>France, Germany, Italy, Spain, and the UK.</w:t>
      </w:r>
      <w:r>
        <w:rPr>
          <w:rFonts w:ascii="Arial" w:hAnsi="Arial" w:cs="Arial"/>
          <w:sz w:val="20"/>
          <w:szCs w:val="20"/>
        </w:rPr>
        <w:t xml:space="preserve"> More than one reason could be selected per patient.</w:t>
      </w:r>
    </w:p>
    <w:p w14:paraId="7009C3C2" w14:textId="2E305F7E" w:rsidR="005206D4" w:rsidRDefault="005206D4"/>
    <w:sectPr w:rsidR="005206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4A"/>
    <w:rsid w:val="00060D4A"/>
    <w:rsid w:val="000A149C"/>
    <w:rsid w:val="005206D4"/>
    <w:rsid w:val="00774233"/>
    <w:rsid w:val="008A3488"/>
    <w:rsid w:val="009E22AC"/>
    <w:rsid w:val="00AD75D4"/>
    <w:rsid w:val="00D45993"/>
    <w:rsid w:val="00DE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BF28C"/>
  <w15:chartTrackingRefBased/>
  <w15:docId w15:val="{7DBDC083-002D-4018-88CA-47FC2561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SBodyText">
    <w:name w:val="BMS Body Text"/>
    <w:link w:val="BMSBodyTextChar"/>
    <w:qFormat/>
    <w:rsid w:val="00D45993"/>
    <w:pPr>
      <w:spacing w:after="120" w:line="264" w:lineRule="auto"/>
      <w:jc w:val="both"/>
    </w:pPr>
    <w:rPr>
      <w:rFonts w:ascii="Times New Roman" w:eastAsia="MS Mincho" w:hAnsi="Times New Roman" w:cs="Times New Roman"/>
      <w:color w:val="000000"/>
      <w:sz w:val="24"/>
      <w:szCs w:val="20"/>
      <w:lang w:val="en-US"/>
    </w:rPr>
  </w:style>
  <w:style w:type="character" w:customStyle="1" w:styleId="BMSBodyTextChar">
    <w:name w:val="BMS Body Text Char"/>
    <w:link w:val="BMSBodyText"/>
    <w:rsid w:val="00D45993"/>
    <w:rPr>
      <w:rFonts w:ascii="Times New Roman" w:eastAsia="MS Mincho" w:hAnsi="Times New Roman" w:cs="Times New Roman"/>
      <w:color w:val="000000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D45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Libretto</dc:creator>
  <cp:keywords/>
  <dc:description/>
  <cp:lastModifiedBy>Sue Libretto</cp:lastModifiedBy>
  <cp:revision>2</cp:revision>
  <dcterms:created xsi:type="dcterms:W3CDTF">2021-06-22T06:48:00Z</dcterms:created>
  <dcterms:modified xsi:type="dcterms:W3CDTF">2021-06-22T06:48:00Z</dcterms:modified>
</cp:coreProperties>
</file>