
<file path=[Content_Types].xml><?xml version="1.0" encoding="utf-8"?>
<Types xmlns="http://schemas.openxmlformats.org/package/2006/content-types">
  <Default Extension="xml" ContentType="application/xml"/>
  <Default Extension="tiff" ContentType="image/tif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center"/>
        <w:textAlignment w:val="auto"/>
        <w:rPr>
          <w:rFonts w:hint="default" w:ascii="Times New Roman" w:hAnsi="Times New Roman" w:cs="Times New Roman" w:eastAsiaTheme="minorEastAsia"/>
          <w:b/>
          <w:bCs/>
          <w:kern w:val="2"/>
          <w:sz w:val="24"/>
          <w:szCs w:val="24"/>
          <w:lang w:eastAsia="zh-CN"/>
        </w:rPr>
      </w:pPr>
      <w:r>
        <w:rPr>
          <w:rFonts w:hint="eastAsia" w:ascii="Times New Roman" w:hAnsi="Times New Roman" w:cs="Times New Roman" w:eastAsiaTheme="minorEastAsia"/>
          <w:b/>
          <w:bCs/>
          <w:kern w:val="2"/>
          <w:sz w:val="24"/>
          <w:szCs w:val="24"/>
          <w:lang w:val="en-US" w:eastAsia="zh-CN"/>
        </w:rPr>
        <w:t>Changing trends in the disease burden of non-melanoma skin cancer globally from 1990 to 2019 and its predicted level in 25 years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center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Wan Hu</w:t>
      </w:r>
      <w:r>
        <w:rPr>
          <w:rFonts w:hint="default" w:ascii="Times New Roman" w:hAnsi="Times New Roman" w:cs="Times New Roman"/>
          <w:sz w:val="24"/>
          <w:szCs w:val="24"/>
          <w:vertAlign w:val="superscript"/>
        </w:rPr>
        <w:t>a</w:t>
      </w:r>
      <w:r>
        <w:rPr>
          <w:rFonts w:hint="default" w:ascii="Times New Roman" w:hAnsi="Times New Roman" w:cs="Times New Roman"/>
          <w:sz w:val="24"/>
          <w:szCs w:val="24"/>
        </w:rPr>
        <w:t>, Lanlan Fang</w:t>
      </w:r>
      <w:r>
        <w:rPr>
          <w:rFonts w:hint="default" w:ascii="Times New Roman" w:hAnsi="Times New Roman" w:cs="Times New Roman"/>
          <w:sz w:val="24"/>
          <w:szCs w:val="24"/>
          <w:vertAlign w:val="superscript"/>
        </w:rPr>
        <w:t>a</w:t>
      </w:r>
      <w:r>
        <w:rPr>
          <w:rFonts w:hint="default" w:ascii="Times New Roman" w:hAnsi="Times New Roman" w:cs="Times New Roman"/>
          <w:sz w:val="24"/>
          <w:szCs w:val="24"/>
        </w:rPr>
        <w:t>, Ruyu Ni</w:t>
      </w:r>
      <w:r>
        <w:rPr>
          <w:rFonts w:hint="default" w:ascii="Times New Roman" w:hAnsi="Times New Roman" w:cs="Times New Roman"/>
          <w:sz w:val="24"/>
          <w:szCs w:val="24"/>
          <w:vertAlign w:val="superscript"/>
        </w:rPr>
        <w:t>a</w:t>
      </w:r>
      <w:r>
        <w:rPr>
          <w:rFonts w:hint="default" w:ascii="Times New Roman" w:hAnsi="Times New Roman" w:cs="Times New Roman"/>
          <w:sz w:val="24"/>
          <w:szCs w:val="24"/>
        </w:rPr>
        <w:t>, Hengchuan Zhang</w:t>
      </w:r>
      <w:r>
        <w:rPr>
          <w:rFonts w:hint="default" w:ascii="Times New Roman" w:hAnsi="Times New Roman" w:cs="Times New Roman"/>
          <w:sz w:val="24"/>
          <w:szCs w:val="24"/>
          <w:vertAlign w:val="superscript"/>
        </w:rPr>
        <w:t>a</w:t>
      </w:r>
      <w:r>
        <w:rPr>
          <w:rFonts w:hint="default" w:ascii="Times New Roman" w:hAnsi="Times New Roman" w:cs="Times New Roman"/>
          <w:sz w:val="24"/>
          <w:szCs w:val="24"/>
        </w:rPr>
        <w:t>, Guixia Pan</w:t>
      </w:r>
      <w:r>
        <w:rPr>
          <w:rFonts w:hint="default" w:ascii="Times New Roman" w:hAnsi="Times New Roman" w:cs="Times New Roman"/>
          <w:sz w:val="24"/>
          <w:szCs w:val="24"/>
          <w:vertAlign w:val="superscript"/>
        </w:rPr>
        <w:t>a,*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  <w:vertAlign w:val="superscript"/>
        </w:rPr>
        <w:t>a</w:t>
      </w:r>
      <w:r>
        <w:rPr>
          <w:rFonts w:hint="default" w:ascii="Times New Roman" w:hAnsi="Times New Roman" w:cs="Times New Roman"/>
          <w:sz w:val="24"/>
          <w:szCs w:val="24"/>
        </w:rPr>
        <w:t xml:space="preserve"> Department of Epidemiology and Biostatistics, School of Public Health, Anhui Medical University, 81 Meishan Road, Hefei, Anhui 230032, China.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  <w:vertAlign w:val="superscript"/>
        </w:rPr>
        <w:t>*</w:t>
      </w:r>
      <w:r>
        <w:rPr>
          <w:rFonts w:hint="default" w:ascii="Times New Roman" w:hAnsi="Times New Roman" w:cs="Times New Roman"/>
          <w:sz w:val="24"/>
          <w:szCs w:val="24"/>
        </w:rPr>
        <w:t xml:space="preserve"> Corresponding author at: Department of Epidemiology and Biostatistics, School of</w:t>
      </w:r>
      <w:r>
        <w:rPr>
          <w:rFonts w:hint="eastAsia" w:ascii="Times New Roman" w:hAnsi="Times New Roman" w:cs="Times New Roman"/>
          <w:sz w:val="24"/>
          <w:szCs w:val="24"/>
          <w:lang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 xml:space="preserve">Public Health.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both"/>
        <w:rPr>
          <w:rFonts w:hint="default" w:ascii="Times New Roman" w:hAnsi="Times New Roman" w:cs="Times New Roman"/>
          <w:b/>
          <w:bCs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 xml:space="preserve">Corresponding author: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Full name: Guixia Pan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Postal address: Anhui Medical University, 81 Meishan Road, Hefei, Anhui 230032, China.</w:t>
      </w:r>
    </w:p>
    <w:p>
      <w:pPr>
        <w:keepNext w:val="0"/>
        <w:keepLines w:val="0"/>
        <w:pageBreakBefore w:val="0"/>
        <w:tabs>
          <w:tab w:val="left" w:pos="700"/>
        </w:tabs>
        <w:kinsoku/>
        <w:overflowPunct/>
        <w:topLinePunct w:val="0"/>
        <w:autoSpaceDE/>
        <w:autoSpaceDN/>
        <w:bidi w:val="0"/>
        <w:adjustRightInd/>
        <w:snapToGrid/>
        <w:spacing w:before="15" w:after="0" w:line="480" w:lineRule="auto"/>
        <w:ind w:right="-2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  <w:sectPr>
          <w:footerReference r:id="rId3" w:type="default"/>
          <w:pgSz w:w="12240" w:h="15840"/>
          <w:pgMar w:top="1440" w:right="1440" w:bottom="1440" w:left="1440" w:header="720" w:footer="720" w:gutter="0"/>
          <w:lnNumType w:countBy="1" w:restart="continuous"/>
          <w:cols w:space="720" w:num="1"/>
          <w:docGrid w:linePitch="360" w:charSpace="0"/>
        </w:sectPr>
      </w:pPr>
      <w:r>
        <w:rPr>
          <w:rFonts w:hint="default" w:ascii="Times New Roman" w:hAnsi="Times New Roman" w:cs="Times New Roman"/>
          <w:sz w:val="24"/>
          <w:szCs w:val="24"/>
        </w:rPr>
        <w:t>E-mail address: pgxkd@163.com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left"/>
        <w:textAlignment w:val="auto"/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eastAsia="Calibri" w:cs="Times New Roman"/>
          <w:b/>
          <w:bCs/>
          <w:sz w:val="24"/>
          <w:szCs w:val="24"/>
        </w:rPr>
        <w:t>Figure</w:t>
      </w:r>
      <w:r>
        <w:rPr>
          <w:rFonts w:hint="default" w:ascii="Times New Roman" w:hAnsi="Times New Roman" w:eastAsia="Calibri" w:cs="Times New Roman"/>
          <w:b/>
          <w:bCs/>
          <w:spacing w:val="-7"/>
          <w:sz w:val="24"/>
          <w:szCs w:val="24"/>
        </w:rPr>
        <w:t xml:space="preserve"> </w:t>
      </w:r>
      <w:r>
        <w:rPr>
          <w:rFonts w:hint="default" w:ascii="Times New Roman" w:hAnsi="Times New Roman" w:eastAsia="Calibri" w:cs="Times New Roman"/>
          <w:b/>
          <w:bCs/>
          <w:spacing w:val="1"/>
          <w:sz w:val="24"/>
          <w:szCs w:val="24"/>
        </w:rPr>
        <w:t>l</w:t>
      </w:r>
      <w:r>
        <w:rPr>
          <w:rFonts w:hint="default" w:ascii="Times New Roman" w:hAnsi="Times New Roman" w:eastAsia="Calibri" w:cs="Times New Roman"/>
          <w:b/>
          <w:bCs/>
          <w:sz w:val="24"/>
          <w:szCs w:val="24"/>
        </w:rPr>
        <w:t>ege</w:t>
      </w:r>
      <w:r>
        <w:rPr>
          <w:rFonts w:hint="default" w:ascii="Times New Roman" w:hAnsi="Times New Roman" w:eastAsia="Calibri" w:cs="Times New Roman"/>
          <w:b/>
          <w:bCs/>
          <w:spacing w:val="1"/>
          <w:sz w:val="24"/>
          <w:szCs w:val="24"/>
        </w:rPr>
        <w:t>n</w:t>
      </w:r>
      <w:r>
        <w:rPr>
          <w:rFonts w:hint="default" w:ascii="Times New Roman" w:hAnsi="Times New Roman" w:eastAsia="Calibri" w:cs="Times New Roman"/>
          <w:b/>
          <w:bCs/>
          <w:sz w:val="24"/>
          <w:szCs w:val="24"/>
        </w:rPr>
        <w:t>d</w:t>
      </w:r>
      <w:r>
        <w:rPr>
          <w:rFonts w:hint="eastAsia" w:ascii="Times New Roman" w:hAnsi="Times New Roman" w:eastAsia="宋体" w:cs="Times New Roman"/>
          <w:b/>
          <w:bCs/>
          <w:spacing w:val="-6"/>
          <w:sz w:val="24"/>
          <w:szCs w:val="24"/>
          <w:lang w:val="en-US" w:eastAsia="zh-CN"/>
        </w:rPr>
        <w:t>s</w:t>
      </w:r>
    </w:p>
    <w:p>
      <w:pPr>
        <w:tabs>
          <w:tab w:val="left" w:pos="700"/>
        </w:tabs>
        <w:spacing w:before="15" w:after="0" w:line="480" w:lineRule="auto"/>
        <w:ind w:right="-20"/>
        <w:jc w:val="both"/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</w:pPr>
      <w:bookmarkStart w:id="0" w:name="OLE_LINK3"/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>Supplementary</w:t>
      </w:r>
      <w:r>
        <w:rPr>
          <w:rFonts w:hint="default" w:ascii="Times New Roman" w:hAnsi="Times New Roman" w:cs="Times New Roman"/>
          <w:b/>
          <w:bCs/>
          <w:sz w:val="24"/>
          <w:szCs w:val="24"/>
          <w:lang w:eastAsia="zh-CN"/>
        </w:rPr>
        <w:t xml:space="preserve"> 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Figure</w:t>
      </w:r>
      <w:r>
        <w:rPr>
          <w:rFonts w:hint="default" w:ascii="Times New Roman" w:hAnsi="Times New Roman" w:cs="Times New Roman"/>
          <w:b/>
          <w:bCs/>
          <w:sz w:val="24"/>
          <w:szCs w:val="24"/>
          <w:lang w:eastAsia="zh-CN"/>
        </w:rPr>
        <w:t xml:space="preserve"> 1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.</w:t>
      </w:r>
      <w:r>
        <w:rPr>
          <w:rFonts w:hint="default" w:ascii="Times New Roman" w:hAnsi="Times New Roman" w:eastAsia="宋体" w:cs="Times New Roman"/>
          <w:sz w:val="24"/>
          <w:szCs w:val="24"/>
          <w:lang w:eastAsia="zh-CN"/>
        </w:rPr>
        <w:t xml:space="preserve"> Results of cluster analysis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Cs/>
          <w:color w:val="FF0000"/>
          <w:sz w:val="24"/>
          <w:szCs w:val="24"/>
          <w:lang w:eastAsia="zh-CN"/>
        </w:rPr>
        <w:t xml:space="preserve">(a: significant growth; b: a slight increase; c: </w:t>
      </w:r>
      <w:r>
        <w:rPr>
          <w:rFonts w:hint="eastAsia" w:ascii="Times New Roman" w:hAnsi="Times New Roman" w:cs="Times New Roman"/>
          <w:bCs/>
          <w:color w:val="FF0000"/>
          <w:sz w:val="24"/>
          <w:szCs w:val="24"/>
          <w:lang w:val="en-US" w:eastAsia="zh-CN"/>
        </w:rPr>
        <w:t>b</w:t>
      </w:r>
      <w:r>
        <w:rPr>
          <w:rFonts w:hint="default" w:ascii="Times New Roman" w:hAnsi="Times New Roman" w:cs="Times New Roman"/>
          <w:bCs/>
          <w:color w:val="FF0000"/>
          <w:sz w:val="24"/>
          <w:szCs w:val="24"/>
          <w:lang w:eastAsia="zh-CN"/>
        </w:rPr>
        <w:t>asically stable or decrease slightly; d: significantly decreased)</w:t>
      </w:r>
      <w:r>
        <w:rPr>
          <w:rFonts w:hint="default" w:ascii="Times New Roman" w:hAnsi="Times New Roman" w:eastAsia="宋体" w:cs="Times New Roman"/>
          <w:sz w:val="24"/>
          <w:szCs w:val="24"/>
          <w:lang w:eastAsia="zh-CN"/>
        </w:rPr>
        <w:t xml:space="preserve"> based on the EAPC values of the ASIR</w:t>
      </w:r>
      <w:r>
        <w:rPr>
          <w:rFonts w:hint="default" w:ascii="Times New Roman" w:hAnsi="Times New Roman" w:eastAsia="宋体" w:cs="Times New Roman"/>
          <w:b/>
          <w:bCs/>
          <w:sz w:val="24"/>
          <w:szCs w:val="24"/>
          <w:lang w:eastAsia="zh-CN"/>
        </w:rPr>
        <w:t xml:space="preserve"> (</w:t>
      </w:r>
      <w:r>
        <w:rPr>
          <w:rFonts w:hint="eastAsia" w:ascii="Times New Roman" w:hAnsi="Times New Roman" w:eastAsia="宋体" w:cs="Times New Roman"/>
          <w:b/>
          <w:bCs/>
          <w:sz w:val="24"/>
          <w:szCs w:val="24"/>
          <w:lang w:val="en-US" w:eastAsia="zh-CN"/>
        </w:rPr>
        <w:t>A</w:t>
      </w:r>
      <w:r>
        <w:rPr>
          <w:rFonts w:hint="default" w:ascii="Times New Roman" w:hAnsi="Times New Roman" w:eastAsia="宋体" w:cs="Times New Roman"/>
          <w:b/>
          <w:bCs/>
          <w:sz w:val="24"/>
          <w:szCs w:val="24"/>
          <w:lang w:eastAsia="zh-CN"/>
        </w:rPr>
        <w:t>)</w:t>
      </w:r>
      <w:r>
        <w:rPr>
          <w:rFonts w:hint="default" w:ascii="Times New Roman" w:hAnsi="Times New Roman" w:eastAsia="宋体" w:cs="Times New Roman"/>
          <w:sz w:val="24"/>
          <w:szCs w:val="24"/>
          <w:lang w:eastAsia="zh-CN"/>
        </w:rPr>
        <w:t xml:space="preserve">, the 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ASMR</w:t>
      </w:r>
      <w:r>
        <w:rPr>
          <w:rFonts w:hint="eastAsia" w:ascii="Times New Roman" w:hAnsi="Times New Roman" w:eastAsia="宋体" w:cs="Times New Roman"/>
          <w:b/>
          <w:bCs/>
          <w:sz w:val="24"/>
          <w:szCs w:val="24"/>
          <w:lang w:val="en-US" w:eastAsia="zh-CN"/>
        </w:rPr>
        <w:t xml:space="preserve"> (B)</w:t>
      </w: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>,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 xml:space="preserve"> and the </w:t>
      </w:r>
      <w:r>
        <w:rPr>
          <w:rFonts w:hint="default" w:ascii="Times New Roman" w:hAnsi="Times New Roman" w:eastAsia="宋体" w:cs="Times New Roman"/>
          <w:sz w:val="24"/>
          <w:szCs w:val="24"/>
          <w:lang w:eastAsia="zh-CN"/>
        </w:rPr>
        <w:t>age-standard DALY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s</w:t>
      </w:r>
      <w:r>
        <w:rPr>
          <w:rFonts w:hint="default" w:ascii="Times New Roman" w:hAnsi="Times New Roman" w:eastAsia="宋体" w:cs="Times New Roman"/>
          <w:sz w:val="24"/>
          <w:szCs w:val="24"/>
          <w:lang w:eastAsia="zh-CN"/>
        </w:rPr>
        <w:t xml:space="preserve"> rate</w:t>
      </w:r>
      <w:r>
        <w:rPr>
          <w:rFonts w:hint="default" w:ascii="Times New Roman" w:hAnsi="Times New Roman" w:eastAsia="宋体" w:cs="Times New Roman"/>
          <w:b/>
          <w:bCs/>
          <w:sz w:val="24"/>
          <w:szCs w:val="24"/>
          <w:lang w:eastAsia="zh-CN"/>
        </w:rPr>
        <w:t xml:space="preserve"> (</w:t>
      </w:r>
      <w:r>
        <w:rPr>
          <w:rFonts w:hint="eastAsia" w:ascii="Times New Roman" w:hAnsi="Times New Roman" w:eastAsia="宋体" w:cs="Times New Roman"/>
          <w:b/>
          <w:bCs/>
          <w:sz w:val="24"/>
          <w:szCs w:val="24"/>
          <w:lang w:val="en-US" w:eastAsia="zh-CN"/>
        </w:rPr>
        <w:t>C</w:t>
      </w:r>
      <w:r>
        <w:rPr>
          <w:rFonts w:hint="default" w:ascii="Times New Roman" w:hAnsi="Times New Roman" w:eastAsia="宋体" w:cs="Times New Roman"/>
          <w:b/>
          <w:bCs/>
          <w:sz w:val="24"/>
          <w:szCs w:val="24"/>
          <w:lang w:eastAsia="zh-CN"/>
        </w:rPr>
        <w:t>)</w:t>
      </w: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sz w:val="24"/>
          <w:szCs w:val="24"/>
          <w:lang w:eastAsia="zh-CN"/>
        </w:rPr>
        <w:t xml:space="preserve">from 1990 to 2019. </w:t>
      </w:r>
      <w:r>
        <w:rPr>
          <w:rFonts w:hint="default" w:ascii="Times New Roman" w:hAnsi="Times New Roman" w:cs="Times New Roman"/>
          <w:b/>
          <w:bCs/>
          <w:sz w:val="24"/>
          <w:szCs w:val="24"/>
          <w:lang w:eastAsia="en-US"/>
        </w:rPr>
        <w:t>Abbreviations: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sz w:val="24"/>
          <w:szCs w:val="24"/>
          <w:lang w:eastAsia="zh-CN"/>
        </w:rPr>
        <w:t>EAPC, estimated annual percentage change; ASIR, age-standardized incidence rate; ASMR, age-standardized mortality rate; DALY, disability-adjusted-life-year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.</w:t>
      </w:r>
    </w:p>
    <w:bookmarkEnd w:id="0"/>
    <w:p>
      <w:pPr>
        <w:tabs>
          <w:tab w:val="left" w:pos="700"/>
        </w:tabs>
        <w:spacing w:before="15" w:after="0" w:line="480" w:lineRule="auto"/>
        <w:ind w:right="-20"/>
        <w:jc w:val="both"/>
        <w:rPr>
          <w:rFonts w:hint="eastAsia" w:ascii="Times New Roman" w:hAnsi="Times New Roman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>Supplementary</w:t>
      </w:r>
      <w:r>
        <w:rPr>
          <w:rFonts w:hint="default" w:ascii="Times New Roman" w:hAnsi="Times New Roman" w:cs="Times New Roman"/>
          <w:b/>
          <w:bCs/>
          <w:sz w:val="24"/>
          <w:szCs w:val="24"/>
          <w:lang w:eastAsia="zh-CN"/>
        </w:rPr>
        <w:t xml:space="preserve"> 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Figure</w:t>
      </w:r>
      <w:r>
        <w:rPr>
          <w:rFonts w:hint="default" w:ascii="Times New Roman" w:hAnsi="Times New Roman" w:cs="Times New Roman"/>
          <w:b/>
          <w:bCs/>
          <w:sz w:val="24"/>
          <w:szCs w:val="24"/>
          <w:lang w:eastAsia="zh-CN"/>
        </w:rPr>
        <w:t xml:space="preserve"> 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 xml:space="preserve">2.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eastAsia="zh-CN"/>
        </w:rPr>
        <w:t>Trends in the number of new cases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(a</w:t>
      </w:r>
      <w:r>
        <w:rPr>
          <w:rFonts w:hint="default" w:ascii="Times New Roman" w:hAnsi="Times New Roman" w:cs="Times New Roman"/>
          <w:b/>
          <w:bCs/>
          <w:sz w:val="24"/>
          <w:szCs w:val="24"/>
          <w:lang w:eastAsia="en-US"/>
        </w:rPr>
        <w:t xml:space="preserve"> and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 xml:space="preserve"> b)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eastAsia="zh-CN"/>
        </w:rPr>
        <w:t>, the number of deaths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(c</w:t>
      </w:r>
      <w:r>
        <w:rPr>
          <w:rFonts w:hint="default" w:ascii="Times New Roman" w:hAnsi="Times New Roman" w:cs="Times New Roman"/>
          <w:b/>
          <w:bCs/>
          <w:sz w:val="24"/>
          <w:szCs w:val="24"/>
          <w:lang w:eastAsia="en-US"/>
        </w:rPr>
        <w:t xml:space="preserve"> and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 xml:space="preserve"> d)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eastAsia="zh-CN"/>
        </w:rPr>
        <w:t xml:space="preserve">, and the 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lang w:val="en-US" w:eastAsia="zh-CN"/>
        </w:rPr>
        <w:t xml:space="preserve">number of DALYs 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(e</w:t>
      </w:r>
      <w:r>
        <w:rPr>
          <w:rFonts w:hint="default" w:ascii="Times New Roman" w:hAnsi="Times New Roman" w:cs="Times New Roman"/>
          <w:b/>
          <w:bCs/>
          <w:sz w:val="24"/>
          <w:szCs w:val="24"/>
          <w:lang w:eastAsia="en-US"/>
        </w:rPr>
        <w:t xml:space="preserve"> and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 xml:space="preserve"> f)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eastAsia="zh-CN"/>
        </w:rPr>
        <w:t xml:space="preserve"> by genders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lang w:val="en-US" w:eastAsia="zh-CN"/>
        </w:rPr>
        <w:t xml:space="preserve"> globally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eastAsia="zh-CN"/>
        </w:rPr>
        <w:t xml:space="preserve">: observed (before 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lang w:val="en-US" w:eastAsia="zh-CN"/>
        </w:rPr>
        <w:t>2019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eastAsia="zh-CN"/>
        </w:rPr>
        <w:t xml:space="preserve">) and predicted 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lang w:val="en-US" w:eastAsia="zh-CN"/>
        </w:rPr>
        <w:t>numbers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eastAsia="zh-CN"/>
        </w:rPr>
        <w:t xml:space="preserve"> </w:t>
      </w:r>
      <w:r>
        <w:rPr>
          <w:rFonts w:hint="default" w:ascii="Times New Roman" w:hAnsi="Times New Roman" w:cs="Times New Roman"/>
          <w:color w:val="auto"/>
          <w:sz w:val="24"/>
          <w:szCs w:val="24"/>
          <w:lang w:eastAsia="zh-CN"/>
        </w:rPr>
        <w:t xml:space="preserve">of the 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lang w:val="en-US" w:eastAsia="zh-CN"/>
        </w:rPr>
        <w:t>ARIMA</w:t>
      </w:r>
      <w:r>
        <w:rPr>
          <w:rFonts w:hint="default" w:ascii="Times New Roman" w:hAnsi="Times New Roman" w:cs="Times New Roman"/>
          <w:color w:val="auto"/>
          <w:sz w:val="24"/>
          <w:szCs w:val="24"/>
          <w:lang w:eastAsia="zh-CN"/>
        </w:rPr>
        <w:t xml:space="preserve"> model</w:t>
      </w:r>
      <w:r>
        <w:rPr>
          <w:rFonts w:hint="eastAsia" w:ascii="Times New Roman" w:hAnsi="Times New Roman" w:cs="Times New Roman"/>
          <w:color w:val="auto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eastAsia="zh-CN"/>
        </w:rPr>
        <w:t xml:space="preserve">(after 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lang w:val="en-US" w:eastAsia="zh-CN"/>
        </w:rPr>
        <w:t>2019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eastAsia="zh-CN"/>
        </w:rPr>
        <w:t>). Shading indicates the upper and lower limits of the 95% CI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lang w:val="en-US" w:eastAsia="zh-CN"/>
        </w:rPr>
        <w:t xml:space="preserve">s. </w:t>
      </w:r>
      <w:r>
        <w:rPr>
          <w:rFonts w:hint="default" w:ascii="Times New Roman" w:hAnsi="Times New Roman" w:cs="Times New Roman"/>
          <w:b/>
          <w:bCs/>
          <w:sz w:val="24"/>
          <w:szCs w:val="24"/>
          <w:lang w:eastAsia="en-US"/>
        </w:rPr>
        <w:t>Abbreviations:</w:t>
      </w:r>
      <w:r>
        <w:rPr>
          <w:rFonts w:hint="default" w:ascii="Times New Roman" w:hAnsi="Times New Roman" w:eastAsia="宋体" w:cs="Times New Roman"/>
          <w:sz w:val="24"/>
          <w:szCs w:val="24"/>
          <w:lang w:eastAsia="zh-CN"/>
        </w:rPr>
        <w:t xml:space="preserve"> DALY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s</w:t>
      </w:r>
      <w:r>
        <w:rPr>
          <w:rFonts w:hint="default" w:ascii="Times New Roman" w:hAnsi="Times New Roman" w:eastAsia="宋体" w:cs="Times New Roman"/>
          <w:sz w:val="24"/>
          <w:szCs w:val="24"/>
          <w:lang w:eastAsia="zh-CN"/>
        </w:rPr>
        <w:t>, disability-adjusted-life-year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 xml:space="preserve">s; 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lang w:val="en-US" w:eastAsia="zh-CN"/>
        </w:rPr>
        <w:t>CIs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eastAsia="zh-CN"/>
        </w:rPr>
        <w:t xml:space="preserve">, </w:t>
      </w:r>
      <w:r>
        <w:rPr>
          <w:rFonts w:hint="default" w:ascii="Times New Roman" w:hAnsi="Times New Roman" w:cs="Times New Roman"/>
          <w:sz w:val="24"/>
          <w:szCs w:val="24"/>
          <w:shd w:val="clear"/>
          <w:lang w:eastAsia="zh-CN"/>
        </w:rPr>
        <w:t>confidence interval</w:t>
      </w:r>
      <w:r>
        <w:rPr>
          <w:rFonts w:hint="eastAsia" w:ascii="Times New Roman" w:hAnsi="Times New Roman" w:cs="Times New Roman"/>
          <w:sz w:val="24"/>
          <w:szCs w:val="24"/>
          <w:shd w:val="clear"/>
          <w:lang w:val="en-US" w:eastAsia="zh-CN"/>
        </w:rPr>
        <w:t>s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lang w:val="en-US" w:eastAsia="zh-CN"/>
        </w:rPr>
        <w:t>.</w:t>
      </w:r>
    </w:p>
    <w:p>
      <w:pPr>
        <w:tabs>
          <w:tab w:val="left" w:pos="700"/>
        </w:tabs>
        <w:spacing w:before="15" w:after="0" w:line="480" w:lineRule="auto"/>
        <w:ind w:right="-20"/>
        <w:jc w:val="both"/>
        <w:rPr>
          <w:rFonts w:hint="default" w:ascii="Times New Roman" w:hAnsi="Times New Roman" w:eastAsia="Calibri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>Supplementary</w:t>
      </w:r>
      <w:r>
        <w:rPr>
          <w:rFonts w:hint="default" w:ascii="Times New Roman" w:hAnsi="Times New Roman" w:cs="Times New Roman"/>
          <w:b/>
          <w:bCs/>
          <w:sz w:val="24"/>
          <w:szCs w:val="24"/>
          <w:lang w:eastAsia="zh-CN"/>
        </w:rPr>
        <w:t xml:space="preserve"> 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Figure</w:t>
      </w:r>
      <w:r>
        <w:rPr>
          <w:rFonts w:hint="default" w:ascii="Times New Roman" w:hAnsi="Times New Roman" w:cs="Times New Roman"/>
          <w:b/>
          <w:bCs/>
          <w:sz w:val="24"/>
          <w:szCs w:val="24"/>
          <w:lang w:eastAsia="zh-CN"/>
        </w:rPr>
        <w:t xml:space="preserve"> 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 xml:space="preserve">3.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eastAsia="zh-CN"/>
        </w:rPr>
        <w:t xml:space="preserve">Trends in the 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lang w:val="en-US" w:eastAsia="zh-CN"/>
        </w:rPr>
        <w:t xml:space="preserve">ASIR 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(a</w:t>
      </w:r>
      <w:r>
        <w:rPr>
          <w:rFonts w:hint="default" w:ascii="Times New Roman" w:hAnsi="Times New Roman" w:cs="Times New Roman"/>
          <w:b/>
          <w:bCs/>
          <w:sz w:val="24"/>
          <w:szCs w:val="24"/>
          <w:lang w:eastAsia="en-US"/>
        </w:rPr>
        <w:t xml:space="preserve"> and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 xml:space="preserve"> b)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eastAsia="zh-CN"/>
        </w:rPr>
        <w:t xml:space="preserve">, the 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lang w:val="en-US" w:eastAsia="zh-CN"/>
        </w:rPr>
        <w:t xml:space="preserve">ASMR 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(c</w:t>
      </w:r>
      <w:r>
        <w:rPr>
          <w:rFonts w:hint="default" w:ascii="Times New Roman" w:hAnsi="Times New Roman" w:cs="Times New Roman"/>
          <w:b/>
          <w:bCs/>
          <w:sz w:val="24"/>
          <w:szCs w:val="24"/>
          <w:lang w:eastAsia="en-US"/>
        </w:rPr>
        <w:t xml:space="preserve"> and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 xml:space="preserve"> d)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eastAsia="zh-CN"/>
        </w:rPr>
        <w:t xml:space="preserve">, and the 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lang w:val="en-US" w:eastAsia="zh-CN"/>
        </w:rPr>
        <w:t>age-standardized DALYs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eastAsia="zh-CN"/>
        </w:rPr>
        <w:t xml:space="preserve"> 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lang w:val="en-US" w:eastAsia="zh-CN"/>
        </w:rPr>
        <w:t xml:space="preserve">rate 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(e</w:t>
      </w:r>
      <w:r>
        <w:rPr>
          <w:rFonts w:hint="default" w:ascii="Times New Roman" w:hAnsi="Times New Roman" w:cs="Times New Roman"/>
          <w:b/>
          <w:bCs/>
          <w:sz w:val="24"/>
          <w:szCs w:val="24"/>
          <w:lang w:eastAsia="en-US"/>
        </w:rPr>
        <w:t xml:space="preserve"> and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 xml:space="preserve"> f)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eastAsia="zh-CN"/>
        </w:rPr>
        <w:t>by genders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lang w:val="en-US" w:eastAsia="zh-CN"/>
        </w:rPr>
        <w:t xml:space="preserve"> globally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eastAsia="zh-CN"/>
        </w:rPr>
        <w:t xml:space="preserve">: observed (before 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lang w:val="en-US" w:eastAsia="zh-CN"/>
        </w:rPr>
        <w:t>2019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eastAsia="zh-CN"/>
        </w:rPr>
        <w:t xml:space="preserve">) and predicted 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lang w:val="en-US" w:eastAsia="zh-CN"/>
        </w:rPr>
        <w:t>rates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eastAsia="zh-CN"/>
        </w:rPr>
        <w:t xml:space="preserve"> </w:t>
      </w:r>
      <w:r>
        <w:rPr>
          <w:rFonts w:hint="default" w:ascii="Times New Roman" w:hAnsi="Times New Roman" w:cs="Times New Roman"/>
          <w:color w:val="auto"/>
          <w:sz w:val="24"/>
          <w:szCs w:val="24"/>
          <w:lang w:eastAsia="zh-CN"/>
        </w:rPr>
        <w:t xml:space="preserve">of the 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lang w:val="en-US" w:eastAsia="zh-CN"/>
        </w:rPr>
        <w:t>ARIMA</w:t>
      </w:r>
      <w:r>
        <w:rPr>
          <w:rFonts w:hint="default" w:ascii="Times New Roman" w:hAnsi="Times New Roman" w:cs="Times New Roman"/>
          <w:color w:val="auto"/>
          <w:sz w:val="24"/>
          <w:szCs w:val="24"/>
          <w:lang w:eastAsia="zh-CN"/>
        </w:rPr>
        <w:t xml:space="preserve"> model</w:t>
      </w:r>
      <w:r>
        <w:rPr>
          <w:rFonts w:hint="eastAsia" w:ascii="Times New Roman" w:hAnsi="Times New Roman" w:cs="Times New Roman"/>
          <w:color w:val="auto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eastAsia="zh-CN"/>
        </w:rPr>
        <w:t xml:space="preserve">(after 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lang w:val="en-US" w:eastAsia="zh-CN"/>
        </w:rPr>
        <w:t>2019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eastAsia="zh-CN"/>
        </w:rPr>
        <w:t>). Shading indicates the upper and lower limits of the 95% CI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lang w:val="en-US" w:eastAsia="zh-CN"/>
        </w:rPr>
        <w:t xml:space="preserve">s. </w:t>
      </w:r>
      <w:r>
        <w:rPr>
          <w:rFonts w:hint="default" w:ascii="Times New Roman" w:hAnsi="Times New Roman" w:cs="Times New Roman"/>
          <w:b/>
          <w:bCs/>
          <w:sz w:val="24"/>
          <w:szCs w:val="24"/>
          <w:lang w:eastAsia="en-US"/>
        </w:rPr>
        <w:t>Abbreviations:</w:t>
      </w:r>
      <w:r>
        <w:rPr>
          <w:rFonts w:hint="default" w:ascii="Times New Roman" w:hAnsi="Times New Roman" w:eastAsia="宋体" w:cs="Times New Roman"/>
          <w:sz w:val="24"/>
          <w:szCs w:val="24"/>
          <w:lang w:eastAsia="zh-CN"/>
        </w:rPr>
        <w:t xml:space="preserve"> ASIR, age-standardized incidence rate; ASMR, age-standardized mortality rate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 xml:space="preserve">; </w:t>
      </w:r>
      <w:r>
        <w:rPr>
          <w:rFonts w:hint="default" w:ascii="Times New Roman" w:hAnsi="Times New Roman" w:eastAsia="宋体" w:cs="Times New Roman"/>
          <w:sz w:val="24"/>
          <w:szCs w:val="24"/>
          <w:lang w:eastAsia="zh-CN"/>
        </w:rPr>
        <w:t>DALY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s</w:t>
      </w:r>
      <w:r>
        <w:rPr>
          <w:rFonts w:hint="default" w:ascii="Times New Roman" w:hAnsi="Times New Roman" w:eastAsia="宋体" w:cs="Times New Roman"/>
          <w:sz w:val="24"/>
          <w:szCs w:val="24"/>
          <w:lang w:eastAsia="zh-CN"/>
        </w:rPr>
        <w:t>, disability-adjusted-life-year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 xml:space="preserve">s; 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lang w:val="en-US" w:eastAsia="zh-CN"/>
        </w:rPr>
        <w:t>CIs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eastAsia="zh-CN"/>
        </w:rPr>
        <w:t xml:space="preserve">, </w:t>
      </w:r>
      <w:r>
        <w:rPr>
          <w:rFonts w:hint="default" w:ascii="Times New Roman" w:hAnsi="Times New Roman" w:cs="Times New Roman"/>
          <w:sz w:val="24"/>
          <w:szCs w:val="24"/>
          <w:shd w:val="clear"/>
          <w:lang w:eastAsia="zh-CN"/>
        </w:rPr>
        <w:t>confidence interval</w:t>
      </w:r>
      <w:r>
        <w:rPr>
          <w:rFonts w:hint="eastAsia" w:ascii="Times New Roman" w:hAnsi="Times New Roman" w:cs="Times New Roman"/>
          <w:sz w:val="24"/>
          <w:szCs w:val="24"/>
          <w:shd w:val="clear"/>
          <w:lang w:val="en-US" w:eastAsia="zh-CN"/>
        </w:rPr>
        <w:t>s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lang w:val="en-US" w:eastAsia="zh-CN"/>
        </w:rPr>
        <w:t>.</w:t>
      </w:r>
    </w:p>
    <w:p>
      <w:pPr>
        <w:keepNext w:val="0"/>
        <w:keepLines w:val="0"/>
        <w:pageBreakBefore w:val="0"/>
        <w:widowControl/>
        <w:tabs>
          <w:tab w:val="left" w:pos="7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15" w:after="0" w:line="480" w:lineRule="auto"/>
        <w:ind w:right="-20"/>
        <w:jc w:val="both"/>
        <w:textAlignment w:val="auto"/>
        <w:rPr>
          <w:rFonts w:hint="eastAsia" w:ascii="Times New Roman" w:hAnsi="Times New Roman" w:eastAsia="宋体" w:cs="Times New Roman"/>
          <w:b/>
          <w:bCs/>
          <w:sz w:val="24"/>
          <w:szCs w:val="24"/>
          <w:lang w:val="en-US" w:eastAsia="zh-CN"/>
        </w:rPr>
        <w:sectPr>
          <w:pgSz w:w="12240" w:h="15840"/>
          <w:pgMar w:top="1440" w:right="1440" w:bottom="1440" w:left="1440" w:header="720" w:footer="720" w:gutter="0"/>
          <w:lnNumType w:countBy="1" w:restart="continuous"/>
          <w:cols w:space="720" w:num="1"/>
          <w:docGrid w:linePitch="360" w:charSpace="0"/>
        </w:sectPr>
      </w:pPr>
    </w:p>
    <w:p>
      <w:pPr>
        <w:keepNext w:val="0"/>
        <w:keepLines w:val="0"/>
        <w:pageBreakBefore w:val="0"/>
        <w:widowControl/>
        <w:tabs>
          <w:tab w:val="left" w:pos="7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15" w:after="0" w:line="480" w:lineRule="auto"/>
        <w:ind w:right="-20"/>
        <w:jc w:val="both"/>
        <w:textAlignment w:val="auto"/>
        <w:rPr>
          <w:rFonts w:hint="eastAsia" w:ascii="Times New Roman" w:hAnsi="Times New Roman" w:eastAsia="宋体" w:cs="Times New Roman"/>
          <w:b/>
          <w:bCs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/>
          <w:bCs/>
          <w:sz w:val="24"/>
          <w:szCs w:val="24"/>
          <w:lang w:val="en-US" w:eastAsia="zh-CN"/>
        </w:rPr>
        <w:t>Table legends</w:t>
      </w:r>
    </w:p>
    <w:p>
      <w:pPr>
        <w:keepNext w:val="0"/>
        <w:keepLines w:val="0"/>
        <w:pageBreakBefore w:val="0"/>
        <w:widowControl/>
        <w:tabs>
          <w:tab w:val="left" w:pos="7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15" w:after="0" w:line="480" w:lineRule="auto"/>
        <w:ind w:right="-20"/>
        <w:jc w:val="both"/>
        <w:textAlignment w:val="auto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/>
          <w:bCs/>
          <w:sz w:val="24"/>
          <w:szCs w:val="24"/>
          <w:lang w:val="en-US" w:eastAsia="zh-CN"/>
        </w:rPr>
        <w:t xml:space="preserve">Supplementary Table 1. </w:t>
      </w: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The number of new cases and the ASIR of NMSC in 1990 and 2019, and its temporal trends from 1990 to 2019. </w:t>
      </w:r>
      <w:bookmarkStart w:id="1" w:name="OLE_LINK5"/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>Abbreviations:</w:t>
      </w:r>
      <w:bookmarkEnd w:id="1"/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NMSC, non-melanoma skin cancer; ASIR, age-standardized incidence rate.</w:t>
      </w:r>
    </w:p>
    <w:p>
      <w:pPr>
        <w:keepNext w:val="0"/>
        <w:keepLines w:val="0"/>
        <w:pageBreakBefore w:val="0"/>
        <w:widowControl/>
        <w:tabs>
          <w:tab w:val="left" w:pos="7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15" w:after="0" w:line="480" w:lineRule="auto"/>
        <w:ind w:right="-20"/>
        <w:jc w:val="both"/>
        <w:textAlignment w:val="auto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/>
          <w:bCs/>
          <w:sz w:val="24"/>
          <w:szCs w:val="24"/>
          <w:lang w:val="en-US" w:eastAsia="zh-CN"/>
        </w:rPr>
        <w:t xml:space="preserve">Supplementary Table 2. </w:t>
      </w: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>The number of deaths and the ASMR of NMSC in 1990 and 2019, and its temporal trends from 1990 to 2019. Abbreviations: NMSC, non-melanoma skin cancer; ASMR, age-standardized mortality rate.</w:t>
      </w:r>
    </w:p>
    <w:p>
      <w:pPr>
        <w:keepNext w:val="0"/>
        <w:keepLines w:val="0"/>
        <w:pageBreakBefore w:val="0"/>
        <w:widowControl/>
        <w:tabs>
          <w:tab w:val="left" w:pos="7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15" w:after="0" w:line="480" w:lineRule="auto"/>
        <w:ind w:right="-20"/>
        <w:jc w:val="both"/>
        <w:textAlignment w:val="auto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/>
          <w:bCs/>
          <w:sz w:val="24"/>
          <w:szCs w:val="24"/>
          <w:lang w:val="en-US" w:eastAsia="zh-CN"/>
        </w:rPr>
        <w:t xml:space="preserve">Supplementary Table 3. </w:t>
      </w: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>The number of DALYs rate and the age-standardized DALYs rate of NMSC in 1990 and 2019, and its temporal trends from 1990 to 2019. Abbreviations: NMSC, non-melanoma skin cancer; DALYs, disability-adjusted life years.</w:t>
      </w:r>
    </w:p>
    <w:p>
      <w:pPr>
        <w:keepNext w:val="0"/>
        <w:keepLines w:val="0"/>
        <w:pageBreakBefore w:val="0"/>
        <w:widowControl/>
        <w:tabs>
          <w:tab w:val="left" w:pos="7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15" w:after="0" w:line="480" w:lineRule="auto"/>
        <w:ind w:right="-20"/>
        <w:jc w:val="both"/>
        <w:textAlignment w:val="auto"/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sectPr>
          <w:pgSz w:w="12240" w:h="15840"/>
          <w:pgMar w:top="1440" w:right="1440" w:bottom="1440" w:left="1440" w:header="720" w:footer="720" w:gutter="0"/>
          <w:lnNumType w:countBy="1" w:restart="continuous"/>
          <w:cols w:space="720" w:num="1"/>
          <w:docGrid w:linePitch="360" w:charSpace="0"/>
        </w:sect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 xml:space="preserve">Supplementary Table 4.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  <w:t xml:space="preserve">Global trends in the number of new cases, the number of deaths, the number of DALYs, the ASIR, the ASMR, and the age-standardized DALYs rate by sex from 2019 to 2044 predicted by the BAPC model. 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 xml:space="preserve">Abbreviations: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  <w:t>ASIR, age-standardized incidence rate; ASMR, age-standardized mortality rate; DALYs, disability-adjusted life years; BAPC, Bayesian age-period-cohort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lang w:val="en-US" w:eastAsia="zh-CN"/>
        </w:rPr>
        <w:t>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>Supplementary</w:t>
      </w:r>
      <w:r>
        <w:rPr>
          <w:rFonts w:hint="default" w:ascii="Times New Roman" w:hAnsi="Times New Roman" w:cs="Times New Roman"/>
          <w:b/>
          <w:bCs/>
          <w:sz w:val="24"/>
          <w:szCs w:val="24"/>
          <w:lang w:eastAsia="zh-CN"/>
        </w:rPr>
        <w:t xml:space="preserve"> 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T</w:t>
      </w:r>
      <w:r>
        <w:rPr>
          <w:rFonts w:hint="default" w:ascii="Times New Roman" w:hAnsi="Times New Roman" w:cs="Times New Roman"/>
          <w:b/>
          <w:bCs/>
          <w:sz w:val="24"/>
          <w:szCs w:val="24"/>
          <w:lang w:eastAsia="zh-CN"/>
        </w:rPr>
        <w:t>able 1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 xml:space="preserve">. </w:t>
      </w:r>
      <w:r>
        <w:rPr>
          <w:rFonts w:hint="default" w:ascii="Times New Roman" w:hAnsi="Times New Roman" w:cs="Times New Roman"/>
          <w:sz w:val="24"/>
          <w:szCs w:val="24"/>
          <w:lang w:eastAsia="zh-CN"/>
        </w:rPr>
        <w:t xml:space="preserve">The number of new cases and the ASIR of NMSC in 1990 and 2019, and its temporal trends from 1990 to 2019. </w:t>
      </w:r>
      <w:r>
        <w:rPr>
          <w:rFonts w:hint="default" w:ascii="Times New Roman" w:hAnsi="Times New Roman" w:eastAsia="Calibri" w:cs="Times New Roman"/>
          <w:b/>
          <w:bCs/>
          <w:sz w:val="24"/>
          <w:szCs w:val="24"/>
          <w:lang w:eastAsia="en-US"/>
        </w:rPr>
        <w:t>Abbreviations:</w:t>
      </w:r>
      <w:r>
        <w:rPr>
          <w:rFonts w:hint="eastAsia" w:ascii="Times New Roman" w:hAnsi="Times New Roman" w:eastAsia="宋体" w:cs="Times New Roman"/>
          <w:b/>
          <w:bCs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eastAsia="zh-CN"/>
        </w:rPr>
        <w:t>NMSC, non-melanoma skin cancer; ASIR, age-standardized incidence rate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.</w:t>
      </w:r>
    </w:p>
    <w:tbl>
      <w:tblPr>
        <w:tblStyle w:val="3"/>
        <w:tblW w:w="0" w:type="auto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66"/>
        <w:gridCol w:w="2456"/>
        <w:gridCol w:w="1901"/>
        <w:gridCol w:w="2456"/>
        <w:gridCol w:w="1901"/>
        <w:gridCol w:w="1736"/>
        <w:gridCol w:w="756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tblHeader/>
        </w:trPr>
        <w:tc>
          <w:tcPr>
            <w:tcW w:w="0" w:type="auto"/>
            <w:vMerge w:val="restart"/>
            <w:tcBorders>
              <w:top w:val="single" w:color="auto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  <w:t xml:space="preserve">Characteristics </w:t>
            </w:r>
          </w:p>
        </w:tc>
        <w:tc>
          <w:tcPr>
            <w:tcW w:w="0" w:type="auto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  <w:t>1990</w:t>
            </w:r>
          </w:p>
        </w:tc>
        <w:tc>
          <w:tcPr>
            <w:tcW w:w="0" w:type="auto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  <w:t>2019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  <w:t xml:space="preserve"> 1990–201</w:t>
            </w: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val="en-US" w:eastAsia="zh-CN"/>
              </w:rPr>
              <w:t>9</w:t>
            </w:r>
          </w:p>
        </w:tc>
        <w:tc>
          <w:tcPr>
            <w:tcW w:w="0" w:type="auto"/>
            <w:vMerge w:val="restart"/>
            <w:tcBorders>
              <w:top w:val="single" w:color="auto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  <w:t>p-value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tblHeader/>
        </w:trPr>
        <w:tc>
          <w:tcPr>
            <w:tcW w:w="0" w:type="auto"/>
            <w:vMerge w:val="continue"/>
            <w:tcBorders>
              <w:top w:val="single" w:color="auto" w:sz="8" w:space="0"/>
              <w:left w:val="nil"/>
              <w:bottom w:val="single" w:color="000000" w:sz="4" w:space="0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  <w:t>Number of new cases(95% UI)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  <w:t>ASIR/100000(95% UI)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  <w:t>Number of new cases(95% UI)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  <w:t>ASIR/100000(95% UI)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  <w:t>EAPC(95% CI)</w:t>
            </w: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single" w:color="000000" w:sz="4" w:space="0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verall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  <w:t>1951299(1692794,2237075)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  <w:t>54.08(46.97,62.08)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  <w:t>6353687(5805441,6952145)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  <w:t>79.10(72.29,86.63)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  <w:t>1.78 (1.35 to 2.21)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sz w:val="18"/>
                <w:szCs w:val="18"/>
                <w:lang w:eastAsia="zh-CN"/>
              </w:rPr>
              <w:t>Sex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  <w:t>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  <w:t>1011240(876569,1171170)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  <w:t>65.49(56.95,75.87)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  <w:t>3682933(3345235,4055580)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  <w:t>102.81(93.87,112.91)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  <w:t>2.07 (1.62 to 2.53)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FF0000"/>
                <w:sz w:val="18"/>
                <w:szCs w:val="18"/>
                <w:lang w:eastAsia="zh-CN"/>
              </w:rPr>
              <w:t>&lt;0.001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  <w:t>Female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  <w:t>940059(815820,1079205)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  <w:t>46.50(40.60,52.91)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  <w:t>2670753(2434525,2912469)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  <w:t>61.15(55.75,66.68)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  <w:t>1.35 (0.94 to 1.76)</w:t>
            </w: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sz w:val="18"/>
                <w:szCs w:val="18"/>
                <w:lang w:eastAsia="zh-CN"/>
              </w:rPr>
              <w:t>Socio-demographic index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  <w:t>Low SDI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  <w:t>9581(7697,11826)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  <w:t>3.95(3.22,4.73)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  <w:t>21710(17624,26774)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  <w:t>3.98(3.29,4.77)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  <w:t>0.26 (0.15 to 0.36)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FF0000"/>
                <w:sz w:val="18"/>
                <w:szCs w:val="18"/>
                <w:lang w:eastAsia="zh-CN"/>
              </w:rPr>
              <w:t>&lt;0.001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  <w:t>Low-middle SDI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  <w:t>36279(30502,42667)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  <w:t>6.44(5.47,7.54)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  <w:t>112256(93483,131901)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  <w:t>8.33(7.00,9.74)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  <w:t>0.88 (0.78 to 0.98)</w:t>
            </w: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  <w:t>Middle SDI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  <w:t>92378(78839,107834)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  <w:t>9.31(7.96,10.76)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  <w:t>326774(276655,378560)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  <w:t>13.33(11.43,15.36)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  <w:t>1.43 (1.24 to 1.61)</w:t>
            </w: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  <w:t>High-middle SDI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  <w:t>236726(208971,268701)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  <w:t>23.09(20.48,25.98)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  <w:t>529706(459348,606608)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  <w:t>26.30(22.88,29.97)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  <w:t>0.47 (0.38 to 0.56)</w:t>
            </w: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  <w:t>High SDI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  <w:t>1575994(1354868,1822928)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  <w:t>152.43(131.62,175.59)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  <w:t>5344905(4893803,5830519)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  <w:t>288.67(264.66,313.72)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  <w:t>2.83 (2.31 to 3.35)</w:t>
            </w: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000000"/>
                <w:sz w:val="18"/>
                <w:szCs w:val="18"/>
                <w:lang w:eastAsia="zh-CN"/>
              </w:rPr>
            </w:pPr>
            <w:bookmarkStart w:id="2" w:name="OLE_LINK4"/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sz w:val="18"/>
                <w:szCs w:val="18"/>
                <w:lang w:eastAsia="zh-CN"/>
              </w:rPr>
              <w:t>Etiology</w:t>
            </w:r>
            <w:bookmarkEnd w:id="2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  <w:t>basal-cell carcinoma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  <w:t>1194817(1003244,1414118)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  <w:t>31.82(26.70,37.62)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  <w:t>3951466(3488307,4463602)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Times New Roman" w:hAnsi="Times New Roman" w:eastAsia="宋体" w:cs="Times New Roman"/>
                <w:color w:val="FF0000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FF0000"/>
                <w:sz w:val="18"/>
                <w:szCs w:val="18"/>
                <w:lang w:eastAsia="zh-CN"/>
              </w:rPr>
              <w:t>48.80(43.11,55.01)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  <w:t>2.23 (1.75 to 2.72)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FF0000"/>
                <w:sz w:val="18"/>
                <w:szCs w:val="18"/>
                <w:lang w:eastAsia="zh-CN"/>
              </w:rPr>
              <w:t>&lt;0.001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  <w:t>squamous-cell carcinoma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  <w:t>756481(606882,933155)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  <w:t>22.27(18.04,27.43)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  <w:t>2402221(2122698,2712803)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Times New Roman" w:hAnsi="Times New Roman" w:eastAsia="宋体" w:cs="Times New Roman"/>
                <w:color w:val="FF0000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FF0000"/>
                <w:sz w:val="18"/>
                <w:szCs w:val="18"/>
                <w:lang w:eastAsia="zh-CN"/>
              </w:rPr>
              <w:t>30.30(26.89,34.08)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  <w:t>1.13 (0.50 to 1.77)</w:t>
            </w: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sz w:val="18"/>
                <w:szCs w:val="18"/>
                <w:lang w:eastAsia="zh-CN"/>
              </w:rPr>
              <w:t>Region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  <w:t>Andean Latin America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  <w:t>3913 (3558,4287)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  <w:t>19.63(17.88,21.51)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  <w:t>10160(8389,12068)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  <w:t>18.28(15.08,21.78)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  <w:t>-0.09 (-0.37 to 0.19)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FF0000"/>
                <w:sz w:val="18"/>
                <w:szCs w:val="18"/>
                <w:lang w:eastAsia="zh-CN"/>
              </w:rPr>
              <w:t>&lt;0.001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  <w:t>Australasia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  <w:t>53551(46468,61163)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  <w:t>232.14(202.22,263.69)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  <w:t>140176(120430,163163)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  <w:t>279.19(238.87,324.97)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  <w:t>0.53 (0.39 to 0.67)</w:t>
            </w: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single" w:color="000000" w:sz="4" w:space="0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  <w:t>Caribbean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  <w:t>2613(2220,3028)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  <w:t>10.10(8.58,11.70)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  <w:t>4790(4066,5548)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  <w:t>9.25(7.87,10.72)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  <w:t>-0.30 (-0.39 to -0.22)</w:t>
            </w: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single" w:color="000000" w:sz="4" w:space="0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  <w:t>Central Asia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  <w:t>11308(9165,13494)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  <w:t>24.70(20.17,29.32)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  <w:t>18486(14803,22362)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  <w:t>25.73(20.94,30.67)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  <w:t>0.16 (0.14 to 0.18)</w:t>
            </w: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single" w:color="000000" w:sz="4" w:space="0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  <w:t>Central Europe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  <w:t>38542(34551,43089)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  <w:t>26.96(24.25,29.96)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  <w:t>72017(61575,83186)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  <w:t>33.97(29.26,38.91)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  <w:t>0.97 (0.84 to 1.10)</w:t>
            </w: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  <w:t>Central Latin America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  <w:t>28357(23861,33406)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  <w:t>34.04(28.59,39.78)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  <w:t>80375(66900,94260)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  <w:t>34.23(28.62,40.28)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  <w:t>0.06 (0.04 to 0.07)</w:t>
            </w: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single" w:color="000000" w:sz="4" w:space="0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  <w:t>Central Sub-Saharan Africa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  <w:t>1232(958,1547)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  <w:t>5.34(4.26,6.43)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  <w:t>3013(2354,3790)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  <w:t>5.35(4.30,6.45)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  <w:t>0.03 (0.00 to 0.06)</w:t>
            </w: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single" w:color="000000" w:sz="4" w:space="0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  <w:t>East Asia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  <w:t>40175 (33832,48102)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  <w:t>4.58(3.89,5.36)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  <w:t>288654(247475,329428)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  <w:t>13.86(11.96,15.79)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  <w:t>3.81 (3.34 to 4.29)</w:t>
            </w: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  <w:t>Eastern Europe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  <w:t>50291(41429,59579)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  <w:t>18.57(15.45,21.78)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  <w:t>75345(62153,90000)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  <w:t>22.14(18.25,26.31)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  <w:t>0.59 (0.55 to 0.64)</w:t>
            </w: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nil"/>
              <w:bottom w:val="single" w:color="000000" w:sz="4" w:space="0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  <w:t>Eastern Sub-Saharan Africa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  <w:t>3599(2899,4448)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  <w:t>4.63(3.79,5.53)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  <w:t>8081 (6517,10031)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  <w:t>4.64(3.79,5.52)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  <w:t>0.00 (-0.01 to 0.01)</w:t>
            </w: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single" w:color="000000" w:sz="4" w:space="0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  <w:t>High-income Asia Pacific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  <w:t>6661(5676,7807)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  <w:t>3.51(3.03,4.09)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  <w:t>24288(21235,28080)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  <w:t>5.16(4.49,5.94)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  <w:t>1.01 (0.89 to 1.13)</w:t>
            </w: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single" w:color="000000" w:sz="4" w:space="0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  <w:t>High-income North America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  <w:t>1354511(1149626,1589401)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  <w:t>385.57(329.94,448.42)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  <w:t>4933624(4513848,5371060)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  <w:t>795.71(729.51,863.95)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  <w:t>3.23 (2.61 to 3.85)</w:t>
            </w:r>
          </w:p>
        </w:tc>
        <w:tc>
          <w:tcPr>
            <w:tcW w:w="0" w:type="auto"/>
            <w:vMerge w:val="continue"/>
            <w:tcBorders>
              <w:top w:val="nil"/>
              <w:left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  <w:t>North Africa and Middle East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  <w:t>14262(12110,16511)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  <w:t>8.46(7.25,9.71)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  <w:t>34274(28334,40526)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  <w:t>7.99(6.68,9.40)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  <w:t>0.04 (-0.23 to 0.31)</w:t>
            </w:r>
          </w:p>
        </w:tc>
        <w:tc>
          <w:tcPr>
            <w:tcW w:w="0" w:type="auto"/>
            <w:vMerge w:val="continue"/>
            <w:tcBorders>
              <w:left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  <w:t>Oceania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  <w:t>20(16,25)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  <w:t>0.79(0.70,0.89)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  <w:t>51(42,62)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  <w:t>0.83(0.74,0.93)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  <w:t>0.20 (0.18 to 0.23)</w:t>
            </w:r>
          </w:p>
        </w:tc>
        <w:tc>
          <w:tcPr>
            <w:tcW w:w="0" w:type="auto"/>
            <w:vMerge w:val="continue"/>
            <w:tcBorders>
              <w:left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  <w:t>South Asia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  <w:t>10039(7854,13115)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  <w:t>1.67(1.35,2.06)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  <w:t>25793(20824,32174)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  <w:t>1.80(1.47,2.17)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  <w:t>0.27 (0.23 to 0.32)</w:t>
            </w:r>
          </w:p>
        </w:tc>
        <w:tc>
          <w:tcPr>
            <w:tcW w:w="0" w:type="auto"/>
            <w:vMerge w:val="continue"/>
            <w:tcBorders>
              <w:left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  <w:t>Southeast Asia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  <w:t>7700(6780,8755)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  <w:t>3.13(2.79,3.50)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  <w:t>14698(12125,17614)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  <w:t>2.51(2.12,2.94)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  <w:t>-0.45 (-0.67 to -0.24)</w:t>
            </w:r>
          </w:p>
        </w:tc>
        <w:tc>
          <w:tcPr>
            <w:tcW w:w="0" w:type="auto"/>
            <w:vMerge w:val="continue"/>
            <w:tcBorders>
              <w:left w:val="nil"/>
              <w:bottom w:val="single" w:color="000000" w:sz="4" w:space="0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  <w:t>Southern Latin America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  <w:t>13052(11588,14601)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  <w:t>28.95(25.80,32.30)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  <w:t>26980(23092,31214)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  <w:t>32.47(27.75,37.35)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  <w:t>0.24 (0.08 to 0.40)</w:t>
            </w: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single" w:color="000000" w:sz="4" w:space="0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  <w:t>Southern Sub-Saharan Africa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  <w:t>5923(4923,7065)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  <w:t>20.93(17.46,24.76)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  <w:t>15216(12694,18071)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  <w:t>26.36(22.14,31.02)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  <w:t>0.42 (-0.19 to 1.02)</w:t>
            </w: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single" w:color="000000" w:sz="4" w:space="0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  <w:t>Tropical Latin America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  <w:t>64759(57420,73025)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  <w:t>70.10(61.99,79.24)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  <w:t>190659(166747,216057)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  <w:t>78.47(68.67,88.95)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  <w:t>0.54 (0.41 to 0.67)</w:t>
            </w: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single" w:color="000000" w:sz="4" w:space="0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  <w:t>Western Europe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  <w:t>237896(214544,264983)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  <w:t>42.18(38.13,46.52)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  <w:t>380430(320941,448805)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  <w:t>43.50(36.37,50.90)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  <w:t>0.42 (0.26 to 0.59)</w:t>
            </w: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single" w:color="000000" w:sz="4" w:space="0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  <w:t>Western Sub-Saharan Africa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  <w:t>2895(2264,3660)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  <w:t>3.08(2.44,3.77)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  <w:t>6576(5131,8400)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  <w:t>3.15(2.51,3.84)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  <w:t>0.09 (0.07 to 0.11)</w:t>
            </w: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single" w:color="000000" w:sz="4" w:space="0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</w:pP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Times New Roman" w:hAnsi="Times New Roman" w:cs="Times New Roman"/>
          <w:sz w:val="24"/>
          <w:szCs w:val="24"/>
          <w:lang w:eastAsia="zh-CN"/>
        </w:rPr>
        <w:sectPr>
          <w:pgSz w:w="15840" w:h="12240" w:orient="landscape"/>
          <w:pgMar w:top="1720" w:right="280" w:bottom="1600" w:left="1500" w:header="720" w:footer="720" w:gutter="0"/>
          <w:lnNumType w:countBy="1" w:restart="continuous"/>
          <w:pgNumType w:fmt="decimal"/>
          <w:cols w:space="720" w:num="1"/>
          <w:docGrid w:linePitch="299" w:charSpace="0"/>
        </w:sect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>Supplementary</w:t>
      </w:r>
      <w:r>
        <w:rPr>
          <w:rFonts w:hint="default" w:ascii="Times New Roman" w:hAnsi="Times New Roman" w:cs="Times New Roman"/>
          <w:b/>
          <w:bCs/>
          <w:sz w:val="24"/>
          <w:szCs w:val="24"/>
          <w:lang w:eastAsia="zh-CN"/>
        </w:rPr>
        <w:t xml:space="preserve"> 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T</w:t>
      </w:r>
      <w:r>
        <w:rPr>
          <w:rFonts w:hint="default" w:ascii="Times New Roman" w:hAnsi="Times New Roman" w:cs="Times New Roman"/>
          <w:b/>
          <w:bCs/>
          <w:sz w:val="24"/>
          <w:szCs w:val="24"/>
          <w:lang w:eastAsia="zh-CN"/>
        </w:rPr>
        <w:t xml:space="preserve">able 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 xml:space="preserve">2. </w:t>
      </w:r>
      <w:r>
        <w:rPr>
          <w:rFonts w:hint="default" w:ascii="Times New Roman" w:hAnsi="Times New Roman" w:cs="Times New Roman"/>
          <w:sz w:val="24"/>
          <w:szCs w:val="24"/>
          <w:lang w:eastAsia="zh-CN"/>
        </w:rPr>
        <w:t xml:space="preserve">The number of deaths and the ASMR of NMSC in 1990 and 2019, and its temporal trends from 1990 to 2019. </w:t>
      </w:r>
      <w:r>
        <w:rPr>
          <w:rFonts w:hint="default" w:ascii="Times New Roman" w:hAnsi="Times New Roman" w:eastAsia="Calibri" w:cs="Times New Roman"/>
          <w:b/>
          <w:bCs/>
          <w:sz w:val="24"/>
          <w:szCs w:val="24"/>
          <w:lang w:eastAsia="en-US"/>
        </w:rPr>
        <w:t>Abbreviations:</w:t>
      </w:r>
      <w:r>
        <w:rPr>
          <w:rFonts w:hint="eastAsia" w:ascii="Times New Roman" w:hAnsi="Times New Roman" w:eastAsia="宋体" w:cs="Times New Roman"/>
          <w:b/>
          <w:bCs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eastAsia="zh-CN"/>
        </w:rPr>
        <w:t>NMSC, non-melanoma skin cancer; ASMR, age-standardized mortality rate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.</w:t>
      </w:r>
    </w:p>
    <w:tbl>
      <w:tblPr>
        <w:tblStyle w:val="3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66"/>
        <w:gridCol w:w="2616"/>
        <w:gridCol w:w="2046"/>
        <w:gridCol w:w="2616"/>
        <w:gridCol w:w="2046"/>
        <w:gridCol w:w="1736"/>
        <w:gridCol w:w="76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tblHeader/>
        </w:trPr>
        <w:tc>
          <w:tcPr>
            <w:tcW w:w="0" w:type="auto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Characteristics</w:t>
            </w:r>
          </w:p>
        </w:tc>
        <w:tc>
          <w:tcPr>
            <w:tcW w:w="0" w:type="auto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1990</w:t>
            </w:r>
          </w:p>
        </w:tc>
        <w:tc>
          <w:tcPr>
            <w:tcW w:w="0" w:type="auto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2019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u w:val="none"/>
                <w:lang w:val="en-US" w:eastAsia="zh-CN" w:bidi="ar"/>
              </w:rPr>
              <w:t>1990–2019</w:t>
            </w:r>
          </w:p>
        </w:tc>
        <w:tc>
          <w:tcPr>
            <w:tcW w:w="0" w:type="auto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P-value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tblHeader/>
        </w:trPr>
        <w:tc>
          <w:tcPr>
            <w:tcW w:w="0" w:type="auto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Number of deaths cases(95% UI)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ASMR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/100000 (95% UI)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Number of deaths cases(95% UI)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ASMR/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100000 (95% UI)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EAPC(95% CI)</w:t>
            </w: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bookmarkStart w:id="3" w:name="OLE_LINK1"/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verall</w:t>
            </w:r>
            <w:bookmarkEnd w:id="3"/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23222(21441,24436)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0.69(0.63,0.73)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56054(50415,59792)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0.73(0.65,0.78)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0.41 (0.34 to 0.49)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13696(12374,14508)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0.95(0.86,1.01)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33244(30347,35571)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1.01(0.91,1.08)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0.40 (0.33 to 0.48)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8"/>
                <w:szCs w:val="18"/>
                <w:u w:val="none"/>
                <w:lang w:val="en-US" w:eastAsia="zh-CN" w:bidi="ar"/>
              </w:rPr>
              <w:t>&lt;0.001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Female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9526(8681,10355)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0.50(0.45,0.54)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22809(19350,25231)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0.52(0.44,0.58)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0.36 (0.26 to 0.45)</w:t>
            </w: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Socio-demographic index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Low SDI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701(466,838)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0.39(0.24,0.47)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1968(1308,2347)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0.48(0.31,0.57)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0.80 (0.75 to 0.85)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8"/>
                <w:szCs w:val="18"/>
                <w:u w:val="none"/>
                <w:lang w:val="en-US" w:eastAsia="zh-CN" w:bidi="ar"/>
              </w:rPr>
              <w:t>&lt;0.001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Low-middle SDI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2657(2142,3028)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0.57(0.45,0.65)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7865(6864,8605)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0.69(0.59,0.76)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0.90 (0.77 to 1.04)</w:t>
            </w: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Middle SDI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6009(5529,6491)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0.73(0.66,0.78)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17710(15838,19361)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0.84(0.75,0.92)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0.85 (0.69 to 1.01)</w:t>
            </w: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High-middle SDI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7641(7187,7973)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0.87(0.80,0.91)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15469(13914,16567)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0.80(0.71,0.86)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-0.22 (-0.28 to -0.16)</w:t>
            </w: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High SDI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6199(5759,6394)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0.61(0.56,0.63)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13002(11102,13900)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0.61(0.53,0.64)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0.20 (0.09 to 0.31)</w:t>
            </w: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Etiology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basal-cell carcinoma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8"/>
                <w:szCs w:val="18"/>
                <w:u w:val="none"/>
                <w:lang w:val="en-US" w:eastAsia="zh-CN" w:bidi="ar"/>
              </w:rPr>
              <w:t>&lt;0.001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squamous-cell carcinoma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23222(21441,24436)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0.69(0.63,0.73)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56054(50415,59792)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0.73(0.65,0.78)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0.41 (0.34 to 0.49)</w:t>
            </w: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Region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Andean Latin America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145(128,165)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0.81(0.71,0.91)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569(467,677)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1.06(0.87,1.27)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1.12 (0.96 to 1.27)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8"/>
                <w:szCs w:val="18"/>
                <w:u w:val="none"/>
                <w:lang w:val="en-US" w:eastAsia="zh-CN" w:bidi="ar"/>
              </w:rPr>
              <w:t>&lt;0.001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Australasia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324(301,346)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1.44(1.32,1.54)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927(804,1011)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1.70(1.48,1.85)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0.39 (0.28 to 0.51)</w:t>
            </w: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Caribbean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269(247,287)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1.15(1.05,1.23)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739(623,853)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1.41(1.19,1.63)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0.97 (0.84 to 1.09)</w:t>
            </w: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Central Asia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197(168,216)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0.47(0.39,0.52)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476(404,522)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0.83(0.70,0.91)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2.72 (2.43 to 3.01)</w:t>
            </w: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Central Europe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1774(1602,1845)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1.47(1.30,1.54)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2366(2056,2657)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1.08(0.94,1.21)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-1.33 (-1.52 to -1.13)</w:t>
            </w: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Central Latin America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922(853,961)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1.28(1.16,1.34)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2757(2343,3152)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1.23(1.04,1.40)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-0.23 (-0.28 to -0.18)</w:t>
            </w: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Central Sub-Saharan Africa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73(47,93)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0.46(0.27,0.60)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227(149,298)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0.57(0.36,0.75)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0.83 (0.75 to 0.91)</w:t>
            </w: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East Asia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5180(4578,5805)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0.70(0.62,0.78)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15905(13481,18220)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0.87(0.74,0.99)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1.39 (1.09 to 1.69)</w:t>
            </w: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Eastern Europe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1831(1712,1961)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0.75(0.70,0.81)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2894(2573,3233)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0.86(0.76,0.96)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0.28 (0.03 to 0.53)</w:t>
            </w: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Eastern Sub-Saharan Africa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266(153,335)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0.48(0.25,0.62)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814(450,1029)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0.66(0.34,0.84)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1.23 (1.17 to 1.29)</w:t>
            </w: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High-income Asia Pacific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729(682,760)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0.43(0.39,0.45)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2072(1656,2306)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0.36(0.30,0.40)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-0.57 (-0.65 to -0.49)</w:t>
            </w: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High-income North America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2528(2335,2609)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0.72(0.66,0.74)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5000(4332,5316)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0.75(0.66,0.79)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0.29 (0.16 to 0.43)</w:t>
            </w: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North Africa and Middle East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667(563,778)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0.50(0.41,0.60)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1845(1636,2063)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0.54(0.47,0.61)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0.33 (0.20 to 0.47)</w:t>
            </w: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Oceania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15(12,18)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0.70(0.57,0.85)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40(32,52)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0.80(0.65,0.98)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0.50 (0.44 to 0.56)</w:t>
            </w: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South Asia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1586(1035,1935)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0.38(0.24,0.47)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4130(3139,4905)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0.35(0.27,0.42)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-0.43 (-0.52 to -0.35)</w:t>
            </w: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Southeast Asia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1642(1418,1874)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0.74(0.63,0.84)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4107(3557,4596)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0.78(0.67,0.87)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-0.05 (-0.17 to 0.06)</w:t>
            </w: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Southern Latin America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326(301,359)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0.80(0.73,0.88)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803(704,861)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0.94(0.83,1.01)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0.66 (0.61 to 0.71)</w:t>
            </w: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Southern Sub-Saharan Africa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151(125,170)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0.65(0.54,0.74)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401(362,433)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0.86(0.77,0.93)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1.23 (1.13 to 1.33)</w:t>
            </w: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Tropical Latin America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801(753,839)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1.06(0.97,1.12)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2805(2424,3000)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1.22(1.05,1.31)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0.72 (0.65 to 0.79)</w:t>
            </w: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Western Europe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3590(3263,3728)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0.64(0.57,0.66)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6563(5572,7043)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0.60(0.52,0.64)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0.07 (-0.08 to 0.22)</w:t>
            </w: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Western Sub-Saharan Africa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205(169,240)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0.27(0.22,0.32)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612(471,732)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0.38(0.29,0.44)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1.33 (1.22 to 1.45)</w:t>
            </w: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Times New Roman" w:hAnsi="Times New Roman" w:cs="Times New Roman"/>
          <w:sz w:val="24"/>
          <w:szCs w:val="24"/>
          <w:lang w:eastAsia="zh-CN"/>
        </w:rPr>
        <w:sectPr>
          <w:pgSz w:w="15840" w:h="12240" w:orient="landscape"/>
          <w:pgMar w:top="1720" w:right="280" w:bottom="1600" w:left="1500" w:header="720" w:footer="720" w:gutter="0"/>
          <w:lnNumType w:countBy="1" w:restart="continuous"/>
          <w:pgNumType w:fmt="decimal"/>
          <w:cols w:space="720" w:num="1"/>
          <w:docGrid w:linePitch="299" w:charSpace="0"/>
        </w:sectPr>
      </w:pPr>
    </w:p>
    <w:p>
      <w:pPr>
        <w:keepNext w:val="0"/>
        <w:keepLines w:val="0"/>
        <w:pageBreakBefore w:val="0"/>
        <w:widowControl/>
        <w:tabs>
          <w:tab w:val="left" w:pos="7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15" w:after="0" w:line="480" w:lineRule="auto"/>
        <w:ind w:right="-20"/>
        <w:jc w:val="both"/>
        <w:textAlignment w:val="auto"/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>Supplementary</w:t>
      </w:r>
      <w:r>
        <w:rPr>
          <w:rFonts w:hint="default" w:ascii="Times New Roman" w:hAnsi="Times New Roman" w:cs="Times New Roman"/>
          <w:b/>
          <w:bCs/>
          <w:sz w:val="24"/>
          <w:szCs w:val="24"/>
          <w:lang w:eastAsia="zh-CN"/>
        </w:rPr>
        <w:t xml:space="preserve"> 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T</w:t>
      </w:r>
      <w:r>
        <w:rPr>
          <w:rFonts w:hint="default" w:ascii="Times New Roman" w:hAnsi="Times New Roman" w:cs="Times New Roman"/>
          <w:b/>
          <w:bCs/>
          <w:sz w:val="24"/>
          <w:szCs w:val="24"/>
          <w:lang w:eastAsia="zh-CN"/>
        </w:rPr>
        <w:t xml:space="preserve">able 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>3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 xml:space="preserve">. </w:t>
      </w:r>
      <w:r>
        <w:rPr>
          <w:rFonts w:hint="default" w:ascii="Times New Roman" w:hAnsi="Times New Roman" w:cs="Times New Roman"/>
          <w:sz w:val="24"/>
          <w:szCs w:val="24"/>
          <w:lang w:eastAsia="zh-CN"/>
        </w:rPr>
        <w:t>The number of DALYs rate and the age-standardized DALYs rate of NMSC in 1990 and 2019, and its temporal trends from 1990 to 2019.</w:t>
      </w:r>
      <w:r>
        <w:rPr>
          <w:rFonts w:hint="default" w:ascii="Times New Roman" w:hAnsi="Times New Roman" w:cs="Times New Roman"/>
          <w:sz w:val="24"/>
          <w:szCs w:val="24"/>
        </w:rPr>
        <w:t xml:space="preserve"> </w:t>
      </w:r>
      <w:r>
        <w:rPr>
          <w:rFonts w:hint="default" w:ascii="Times New Roman" w:hAnsi="Times New Roman" w:eastAsia="Calibri" w:cs="Times New Roman"/>
          <w:b/>
          <w:bCs/>
          <w:sz w:val="24"/>
          <w:szCs w:val="24"/>
          <w:lang w:eastAsia="en-US"/>
        </w:rPr>
        <w:t>Abbreviations:</w:t>
      </w:r>
      <w:r>
        <w:rPr>
          <w:rFonts w:hint="eastAsia" w:ascii="Times New Roman" w:hAnsi="Times New Roman" w:eastAsia="宋体" w:cs="Times New Roman"/>
          <w:b/>
          <w:bCs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eastAsia="zh-CN"/>
        </w:rPr>
        <w:t>NMSC, non-melanoma skin cancer; DALYs, disability-adjusted life years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.</w:t>
      </w:r>
    </w:p>
    <w:tbl>
      <w:tblPr>
        <w:tblStyle w:val="3"/>
        <w:tblW w:w="5000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00"/>
        <w:gridCol w:w="2058"/>
        <w:gridCol w:w="2175"/>
        <w:gridCol w:w="2317"/>
        <w:gridCol w:w="2125"/>
        <w:gridCol w:w="1917"/>
        <w:gridCol w:w="118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tblHeader/>
        </w:trPr>
        <w:tc>
          <w:tcPr>
            <w:tcW w:w="846" w:type="pct"/>
            <w:vMerge w:val="restart"/>
            <w:tcBorders>
              <w:top w:val="single" w:color="auto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  <w:t xml:space="preserve">Characteristics </w:t>
            </w:r>
          </w:p>
        </w:tc>
        <w:tc>
          <w:tcPr>
            <w:tcW w:w="1493" w:type="pct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  <w:t>1990</w:t>
            </w:r>
          </w:p>
        </w:tc>
        <w:tc>
          <w:tcPr>
            <w:tcW w:w="1566" w:type="pct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  <w:t>2019</w:t>
            </w:r>
          </w:p>
        </w:tc>
        <w:tc>
          <w:tcPr>
            <w:tcW w:w="676" w:type="pct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  <w:t xml:space="preserve"> 1990–2019</w:t>
            </w:r>
          </w:p>
        </w:tc>
        <w:tc>
          <w:tcPr>
            <w:tcW w:w="416" w:type="pct"/>
            <w:vMerge w:val="restart"/>
            <w:tcBorders>
              <w:top w:val="single" w:color="auto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  <w:t>P-value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tblHeader/>
        </w:trPr>
        <w:tc>
          <w:tcPr>
            <w:tcW w:w="846" w:type="pct"/>
            <w:vMerge w:val="continue"/>
            <w:tcBorders>
              <w:top w:val="single" w:color="auto" w:sz="8" w:space="0"/>
              <w:left w:val="nil"/>
              <w:bottom w:val="single" w:color="000000" w:sz="8" w:space="0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725" w:type="pct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  <w:t>Number of DALYs cases(95% UI)</w:t>
            </w:r>
          </w:p>
        </w:tc>
        <w:tc>
          <w:tcPr>
            <w:tcW w:w="767" w:type="pct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8"/>
                <w:szCs w:val="18"/>
                <w:lang w:val="en-US" w:eastAsia="zh-CN"/>
              </w:rPr>
              <w:t>A</w:t>
            </w: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  <w:t>ge-standardized DALYs/100000 (95% UI)</w:t>
            </w:r>
          </w:p>
        </w:tc>
        <w:tc>
          <w:tcPr>
            <w:tcW w:w="817" w:type="pct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  <w:t>Number of DALYs cases(95% UI)</w:t>
            </w:r>
          </w:p>
        </w:tc>
        <w:tc>
          <w:tcPr>
            <w:tcW w:w="749" w:type="pct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8"/>
                <w:szCs w:val="18"/>
                <w:lang w:val="en-US" w:eastAsia="zh-CN"/>
              </w:rPr>
              <w:t>A</w:t>
            </w: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  <w:t>ge-standardized DALYs/100000 (95% UI)</w:t>
            </w:r>
          </w:p>
        </w:tc>
        <w:tc>
          <w:tcPr>
            <w:tcW w:w="676" w:type="pct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  <w:t>EAPC(95% CI)</w:t>
            </w:r>
          </w:p>
        </w:tc>
        <w:tc>
          <w:tcPr>
            <w:tcW w:w="416" w:type="pct"/>
            <w:vMerge w:val="continue"/>
            <w:tcBorders>
              <w:top w:val="single" w:color="auto" w:sz="8" w:space="0"/>
              <w:left w:val="nil"/>
              <w:bottom w:val="single" w:color="000000" w:sz="8" w:space="0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</w:trPr>
        <w:tc>
          <w:tcPr>
            <w:tcW w:w="8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sz w:val="18"/>
                <w:szCs w:val="18"/>
                <w:lang w:val="en-US" w:eastAsia="zh-CN"/>
              </w:rPr>
              <w:t>O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sz w:val="18"/>
                <w:szCs w:val="18"/>
                <w:lang w:eastAsia="zh-CN"/>
              </w:rPr>
              <w:t>verall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  <w:t>561854(518874,599141)</w:t>
            </w:r>
          </w:p>
        </w:tc>
        <w:tc>
          <w:tcPr>
            <w:tcW w:w="7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FF0000"/>
                <w:sz w:val="18"/>
                <w:szCs w:val="18"/>
                <w:highlight w:val="none"/>
                <w:lang w:eastAsia="zh-CN"/>
              </w:rPr>
              <w:t>14.44 (13.31, 15.42)</w:t>
            </w:r>
          </w:p>
        </w:tc>
        <w:tc>
          <w:tcPr>
            <w:tcW w:w="8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  <w:t>1183233(1085365,1264545)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  <w:t>14.67(13.45,15.67)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  <w:t>0.20 (0.10 to 0.30)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sz w:val="18"/>
                <w:szCs w:val="18"/>
                <w:lang w:val="en-US" w:eastAsia="zh-CN"/>
              </w:rPr>
              <w:t>S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sz w:val="18"/>
                <w:szCs w:val="18"/>
                <w:lang w:eastAsia="zh-CN"/>
              </w:rPr>
              <w:t>ex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7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8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6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  <w:t>Male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  <w:t>346954(313033,371552)</w:t>
            </w:r>
          </w:p>
        </w:tc>
        <w:tc>
          <w:tcPr>
            <w:tcW w:w="7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  <w:t>19.60(17.65,21.03)</w:t>
            </w:r>
          </w:p>
        </w:tc>
        <w:tc>
          <w:tcPr>
            <w:tcW w:w="8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  <w:t>742528(681936,801690)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  <w:t>20.05(18.44,21.64)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  <w:t>0.20 (0.09 to 0.30)</w:t>
            </w:r>
          </w:p>
        </w:tc>
        <w:tc>
          <w:tcPr>
            <w:tcW w:w="416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FF0000"/>
                <w:sz w:val="18"/>
                <w:szCs w:val="18"/>
                <w:lang w:eastAsia="zh-CN"/>
              </w:rPr>
              <w:t>&lt;0.001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  <w:t>Female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  <w:t>214900 (196618,239155)</w:t>
            </w:r>
          </w:p>
        </w:tc>
        <w:tc>
          <w:tcPr>
            <w:tcW w:w="7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  <w:t>10.29(9.42,11.40)</w:t>
            </w:r>
          </w:p>
        </w:tc>
        <w:tc>
          <w:tcPr>
            <w:tcW w:w="8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  <w:t>440705(386735,485905)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  <w:t>10.15(8.92,11.19)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  <w:t>0.15 (0.04 to 0.26)</w:t>
            </w:r>
          </w:p>
        </w:tc>
        <w:tc>
          <w:tcPr>
            <w:tcW w:w="416" w:type="pct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sz w:val="18"/>
                <w:szCs w:val="18"/>
                <w:lang w:eastAsia="zh-CN"/>
              </w:rPr>
              <w:t>Socio-demographic index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7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8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6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  <w:t>Low SDI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  <w:t>17356 (12145,20842)</w:t>
            </w:r>
          </w:p>
        </w:tc>
        <w:tc>
          <w:tcPr>
            <w:tcW w:w="7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  <w:t>7.42(4.99,8.88)</w:t>
            </w:r>
          </w:p>
        </w:tc>
        <w:tc>
          <w:tcPr>
            <w:tcW w:w="8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  <w:t>46988(32501,55894)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  <w:t>8.91(6.00,10.62)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  <w:t>0.70 (0.66 to 0.73)</w:t>
            </w:r>
          </w:p>
        </w:tc>
        <w:tc>
          <w:tcPr>
            <w:tcW w:w="416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FF0000"/>
                <w:sz w:val="18"/>
                <w:szCs w:val="18"/>
                <w:lang w:eastAsia="zh-CN"/>
              </w:rPr>
              <w:t>&lt;0.001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  <w:t>Low-middle SDI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  <w:t>66536(54893,76694)</w:t>
            </w:r>
          </w:p>
        </w:tc>
        <w:tc>
          <w:tcPr>
            <w:tcW w:w="7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  <w:t>11.04(8.97,12.60)</w:t>
            </w:r>
          </w:p>
        </w:tc>
        <w:tc>
          <w:tcPr>
            <w:tcW w:w="8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  <w:t>171320(152574,187362)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  <w:t>12.73(11.23,13.96)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  <w:t>0.68 (0.58 to 0.78)</w:t>
            </w:r>
          </w:p>
        </w:tc>
        <w:tc>
          <w:tcPr>
            <w:tcW w:w="416" w:type="pct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  <w:t>Middle SDI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  <w:t>151297(138962,163540)</w:t>
            </w:r>
          </w:p>
        </w:tc>
        <w:tc>
          <w:tcPr>
            <w:tcW w:w="7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  <w:t>14.28(13.14,15.40)</w:t>
            </w:r>
          </w:p>
        </w:tc>
        <w:tc>
          <w:tcPr>
            <w:tcW w:w="8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  <w:t>371884(335459,406888)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  <w:t>15.39(13.80,16.80)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  <w:t>0.55 (0.41 to 0.69)</w:t>
            </w:r>
          </w:p>
        </w:tc>
        <w:tc>
          <w:tcPr>
            <w:tcW w:w="416" w:type="pct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  <w:t>High-middle SDI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  <w:t>162720(153671,170572)</w:t>
            </w:r>
          </w:p>
        </w:tc>
        <w:tc>
          <w:tcPr>
            <w:tcW w:w="7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  <w:t>15.85(14.96,16.61)</w:t>
            </w:r>
          </w:p>
        </w:tc>
        <w:tc>
          <w:tcPr>
            <w:tcW w:w="8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  <w:t>279196(256518,299149)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  <w:t>14.13(12.98,15.14)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  <w:t>-0.36 (-0.44 to -0.27)</w:t>
            </w:r>
          </w:p>
        </w:tc>
        <w:tc>
          <w:tcPr>
            <w:tcW w:w="416" w:type="pct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  <w:t>High SDI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  <w:t>163615(146298,184896)</w:t>
            </w:r>
          </w:p>
        </w:tc>
        <w:tc>
          <w:tcPr>
            <w:tcW w:w="7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  <w:t>16.07(14.41,18.13)</w:t>
            </w:r>
          </w:p>
        </w:tc>
        <w:tc>
          <w:tcPr>
            <w:tcW w:w="8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  <w:t>313081(269619,366999)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  <w:t>16.71(14.40,19.57)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  <w:t>0.21 (-0.09 to 0.50)</w:t>
            </w:r>
          </w:p>
        </w:tc>
        <w:tc>
          <w:tcPr>
            <w:tcW w:w="416" w:type="pct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sz w:val="18"/>
                <w:szCs w:val="18"/>
                <w:lang w:eastAsia="zh-CN"/>
              </w:rPr>
              <w:t>Etiology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7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8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6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  <w:t>basal-cell carcinoma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  <w:t>562(257,1040)</w:t>
            </w:r>
          </w:p>
        </w:tc>
        <w:tc>
          <w:tcPr>
            <w:tcW w:w="7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  <w:t>0.015(0.007,0.027)</w:t>
            </w:r>
          </w:p>
        </w:tc>
        <w:tc>
          <w:tcPr>
            <w:tcW w:w="8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  <w:t>1703(782,3191)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  <w:t>0.02(0.01,0.04)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  <w:t>1.89 (1.46 to 2.33)</w:t>
            </w:r>
          </w:p>
        </w:tc>
        <w:tc>
          <w:tcPr>
            <w:tcW w:w="416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FF0000"/>
                <w:sz w:val="18"/>
                <w:szCs w:val="18"/>
                <w:lang w:eastAsia="zh-CN"/>
              </w:rPr>
              <w:t>&lt;0.001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  <w:t>squamous-cell carcinoma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  <w:t>561292(518444,598784)</w:t>
            </w:r>
          </w:p>
        </w:tc>
        <w:tc>
          <w:tcPr>
            <w:tcW w:w="7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  <w:t>14.42(13.30,15.40)</w:t>
            </w:r>
          </w:p>
        </w:tc>
        <w:tc>
          <w:tcPr>
            <w:tcW w:w="8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  <w:t>1181530(1084052,1262187)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  <w:t>14.64(13.43,15.64)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  <w:t>0.20 (0.10 to 0.30)</w:t>
            </w:r>
          </w:p>
        </w:tc>
        <w:tc>
          <w:tcPr>
            <w:tcW w:w="416" w:type="pct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sz w:val="18"/>
                <w:szCs w:val="18"/>
                <w:lang w:eastAsia="zh-CN"/>
              </w:rPr>
              <w:t>Region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7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8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6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41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  <w:t>Andean Latin America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  <w:t>3158(2778,3682)</w:t>
            </w:r>
          </w:p>
        </w:tc>
        <w:tc>
          <w:tcPr>
            <w:tcW w:w="7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  <w:t>17.12(15.10,19.19)</w:t>
            </w:r>
          </w:p>
        </w:tc>
        <w:tc>
          <w:tcPr>
            <w:tcW w:w="8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  <w:t>10197(8174,12336)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  <w:t>18.11(14.53,21.85)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  <w:t>0.77 (0.63 to 0.91)</w:t>
            </w:r>
          </w:p>
        </w:tc>
        <w:tc>
          <w:tcPr>
            <w:tcW w:w="416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FF0000"/>
                <w:sz w:val="18"/>
                <w:szCs w:val="18"/>
                <w:lang w:eastAsia="zh-CN"/>
              </w:rPr>
              <w:t>&lt;0.001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  <w:t>Australasia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  <w:t>8225(7451,9252)</w:t>
            </w:r>
          </w:p>
        </w:tc>
        <w:tc>
          <w:tcPr>
            <w:tcW w:w="7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  <w:t>37.47(33.81,42.10)</w:t>
            </w:r>
          </w:p>
        </w:tc>
        <w:tc>
          <w:tcPr>
            <w:tcW w:w="8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  <w:t>19255 (16928,22065)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  <w:t>38.70(34.12,44.17)</w:t>
            </w:r>
          </w:p>
        </w:tc>
        <w:tc>
          <w:tcPr>
            <w:tcW w:w="67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  <w:t>0.09 (0.01 to 0.16)</w:t>
            </w:r>
          </w:p>
        </w:tc>
        <w:tc>
          <w:tcPr>
            <w:tcW w:w="416" w:type="pct"/>
            <w:vMerge w:val="continue"/>
            <w:tcBorders>
              <w:top w:val="single" w:color="000000" w:sz="8" w:space="0"/>
              <w:left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  <w:t>Caribbean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  <w:t>5426(5086,5802)</w:t>
            </w:r>
          </w:p>
        </w:tc>
        <w:tc>
          <w:tcPr>
            <w:tcW w:w="7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  <w:t>22.34(20.90,23.63)</w:t>
            </w:r>
          </w:p>
        </w:tc>
        <w:tc>
          <w:tcPr>
            <w:tcW w:w="8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  <w:t>13297(11188,15379)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  <w:t>25.72(21.65,29.75)</w:t>
            </w:r>
          </w:p>
        </w:tc>
        <w:tc>
          <w:tcPr>
            <w:tcW w:w="676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  <w:t>0.97 (0.85 to 1.09)</w:t>
            </w:r>
          </w:p>
        </w:tc>
        <w:tc>
          <w:tcPr>
            <w:tcW w:w="416" w:type="pct"/>
            <w:vMerge w:val="continue"/>
            <w:tcBorders>
              <w:left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46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  <w:t>Central Asia</w:t>
            </w:r>
          </w:p>
        </w:tc>
        <w:tc>
          <w:tcPr>
            <w:tcW w:w="725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  <w:t>4572(4018,4962)</w:t>
            </w:r>
          </w:p>
        </w:tc>
        <w:tc>
          <w:tcPr>
            <w:tcW w:w="767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  <w:t>10.33(9.75,10.87)</w:t>
            </w:r>
          </w:p>
        </w:tc>
        <w:tc>
          <w:tcPr>
            <w:tcW w:w="817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  <w:t>11296(9770,12536)</w:t>
            </w:r>
          </w:p>
        </w:tc>
        <w:tc>
          <w:tcPr>
            <w:tcW w:w="749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  <w:t>15.58(13.32,17.17)</w:t>
            </w:r>
          </w:p>
        </w:tc>
        <w:tc>
          <w:tcPr>
            <w:tcW w:w="676" w:type="pct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  <w:t>2.32 (2.05 to 2.60)</w:t>
            </w:r>
          </w:p>
        </w:tc>
        <w:tc>
          <w:tcPr>
            <w:tcW w:w="416" w:type="pct"/>
            <w:vMerge w:val="continue"/>
            <w:tcBorders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46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  <w:t>Central Europe</w:t>
            </w:r>
          </w:p>
        </w:tc>
        <w:tc>
          <w:tcPr>
            <w:tcW w:w="725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  <w:t>31617(28842,32562)</w:t>
            </w:r>
          </w:p>
        </w:tc>
        <w:tc>
          <w:tcPr>
            <w:tcW w:w="767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  <w:t>20.73(19.12,21.42)</w:t>
            </w:r>
          </w:p>
        </w:tc>
        <w:tc>
          <w:tcPr>
            <w:tcW w:w="817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  <w:t>35251(31182,39638)</w:t>
            </w:r>
          </w:p>
        </w:tc>
        <w:tc>
          <w:tcPr>
            <w:tcW w:w="749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  <w:t>17.03(15.03,19.18)</w:t>
            </w:r>
          </w:p>
        </w:tc>
        <w:tc>
          <w:tcPr>
            <w:tcW w:w="676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  <w:t>-1.35 (-1.50 to -1.20)</w:t>
            </w:r>
          </w:p>
        </w:tc>
        <w:tc>
          <w:tcPr>
            <w:tcW w:w="416" w:type="pct"/>
            <w:vMerge w:val="continue"/>
            <w:tcBorders>
              <w:top w:val="single" w:color="auto" w:sz="4" w:space="0"/>
              <w:left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  <w:t>Central Latin America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  <w:t>21078(19859,21796)</w:t>
            </w:r>
          </w:p>
        </w:tc>
        <w:tc>
          <w:tcPr>
            <w:tcW w:w="7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  <w:t>23.28(21.67,24.04)</w:t>
            </w:r>
          </w:p>
        </w:tc>
        <w:tc>
          <w:tcPr>
            <w:tcW w:w="8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  <w:t>50602(43620,58376)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  <w:t>21.48(18.45,24.77)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  <w:t>-0.53 (-0.58 to -0.49)</w:t>
            </w:r>
          </w:p>
        </w:tc>
        <w:tc>
          <w:tcPr>
            <w:tcW w:w="416" w:type="pct"/>
            <w:vMerge w:val="continue"/>
            <w:tcBorders>
              <w:top w:val="nil"/>
              <w:left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  <w:t>Central Sub-Saharan Africa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  <w:t>1876(1281,2371)</w:t>
            </w:r>
          </w:p>
        </w:tc>
        <w:tc>
          <w:tcPr>
            <w:tcW w:w="7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  <w:t>8.63(5.69,10.67)</w:t>
            </w:r>
          </w:p>
        </w:tc>
        <w:tc>
          <w:tcPr>
            <w:tcW w:w="8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  <w:t>5712 (3940,7500)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  <w:t>10.62(6.99,13.89)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  <w:t>0.86 (0.77 to 0.94)</w:t>
            </w:r>
          </w:p>
        </w:tc>
        <w:tc>
          <w:tcPr>
            <w:tcW w:w="416" w:type="pct"/>
            <w:vMerge w:val="continue"/>
            <w:tcBorders>
              <w:top w:val="nil"/>
              <w:left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  <w:t>East Asia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  <w:t>134005(117586,151286)</w:t>
            </w:r>
          </w:p>
        </w:tc>
        <w:tc>
          <w:tcPr>
            <w:tcW w:w="7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  <w:t>14.64(13.50,16.19)</w:t>
            </w:r>
          </w:p>
        </w:tc>
        <w:tc>
          <w:tcPr>
            <w:tcW w:w="8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  <w:t>332972(281033,384612)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  <w:t>16.60(14.11,19.12)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  <w:t>1.03 (0.76 to 1.30)</w:t>
            </w:r>
          </w:p>
        </w:tc>
        <w:tc>
          <w:tcPr>
            <w:tcW w:w="416" w:type="pct"/>
            <w:vMerge w:val="continue"/>
            <w:tcBorders>
              <w:top w:val="nil"/>
              <w:left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  <w:t>Eastern Europe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  <w:t>40528(37541,42837)</w:t>
            </w:r>
          </w:p>
        </w:tc>
        <w:tc>
          <w:tcPr>
            <w:tcW w:w="7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  <w:t>19.62(18.63,20.13)</w:t>
            </w:r>
          </w:p>
        </w:tc>
        <w:tc>
          <w:tcPr>
            <w:tcW w:w="8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  <w:t>55392 (49181,62261)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  <w:t>17.10(15.13,19.12)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  <w:t>0.10 (-0.19 to 0.40)</w:t>
            </w:r>
          </w:p>
        </w:tc>
        <w:tc>
          <w:tcPr>
            <w:tcW w:w="416" w:type="pct"/>
            <w:vMerge w:val="continue"/>
            <w:tcBorders>
              <w:top w:val="nil"/>
              <w:left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  <w:t>Eastern Sub-Saharan Africa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  <w:t>6419(3960,7956)</w:t>
            </w:r>
          </w:p>
        </w:tc>
        <w:tc>
          <w:tcPr>
            <w:tcW w:w="7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  <w:t>9.27(5.38,11.61)</w:t>
            </w:r>
          </w:p>
        </w:tc>
        <w:tc>
          <w:tcPr>
            <w:tcW w:w="8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  <w:t>18840(11109,23609)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  <w:t>11.66(6.54,14.70)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  <w:t>1.12 (1.06 to 1.18)</w:t>
            </w:r>
          </w:p>
        </w:tc>
        <w:tc>
          <w:tcPr>
            <w:tcW w:w="416" w:type="pct"/>
            <w:vMerge w:val="continue"/>
            <w:tcBorders>
              <w:top w:val="nil"/>
              <w:left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  <w:t>High-income Asia Pacific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  <w:t>14511(13909,15006)</w:t>
            </w:r>
          </w:p>
        </w:tc>
        <w:tc>
          <w:tcPr>
            <w:tcW w:w="7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  <w:t>6.75(6.28,7.02)</w:t>
            </w:r>
          </w:p>
        </w:tc>
        <w:tc>
          <w:tcPr>
            <w:tcW w:w="8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  <w:t>26721(22957,28907)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  <w:t>6.01(5.38,6.43)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  <w:t>-0.80 (-0.89 to -0.70)</w:t>
            </w:r>
          </w:p>
        </w:tc>
        <w:tc>
          <w:tcPr>
            <w:tcW w:w="416" w:type="pct"/>
            <w:vMerge w:val="continue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  <w:t>High-income North America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  <w:t>95064(79434,115631)</w:t>
            </w:r>
          </w:p>
        </w:tc>
        <w:tc>
          <w:tcPr>
            <w:tcW w:w="7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  <w:t>20.64(18.21,23.74)</w:t>
            </w:r>
          </w:p>
        </w:tc>
        <w:tc>
          <w:tcPr>
            <w:tcW w:w="8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  <w:t>195063(156597,245593)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  <w:t>31.10(25.18,39.01)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  <w:t>0.44 (-0.01 to 0.89)</w:t>
            </w:r>
          </w:p>
        </w:tc>
        <w:tc>
          <w:tcPr>
            <w:tcW w:w="416" w:type="pct"/>
            <w:vMerge w:val="continue"/>
            <w:tcBorders>
              <w:top w:val="single" w:color="auto" w:sz="4" w:space="0"/>
              <w:left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  <w:t>North Africa and Middle East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  <w:t>15491(13530,17898)</w:t>
            </w:r>
          </w:p>
        </w:tc>
        <w:tc>
          <w:tcPr>
            <w:tcW w:w="7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  <w:t>9.01(7.84,10.10)</w:t>
            </w:r>
          </w:p>
        </w:tc>
        <w:tc>
          <w:tcPr>
            <w:tcW w:w="8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  <w:t>38544(34653,43214)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  <w:t>9.09(8.11,10.14)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  <w:t>0.01 (-0.04 to 0.06)</w:t>
            </w:r>
          </w:p>
        </w:tc>
        <w:tc>
          <w:tcPr>
            <w:tcW w:w="416" w:type="pct"/>
            <w:vMerge w:val="continue"/>
            <w:tcBorders>
              <w:top w:val="nil"/>
              <w:left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  <w:t>Oceania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  <w:t>390(317,481)</w:t>
            </w:r>
          </w:p>
        </w:tc>
        <w:tc>
          <w:tcPr>
            <w:tcW w:w="7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  <w:t>13.82(11.33,17.28)</w:t>
            </w:r>
          </w:p>
        </w:tc>
        <w:tc>
          <w:tcPr>
            <w:tcW w:w="8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  <w:t>1044(802,1387)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  <w:t>14.56(11.53,18.65)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  <w:t>0.41 (0.35 to 0.48)</w:t>
            </w:r>
          </w:p>
        </w:tc>
        <w:tc>
          <w:tcPr>
            <w:tcW w:w="416" w:type="pct"/>
            <w:vMerge w:val="continue"/>
            <w:tcBorders>
              <w:top w:val="nil"/>
              <w:left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  <w:t>South Asia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  <w:t>38955 (26210,47451)</w:t>
            </w:r>
          </w:p>
        </w:tc>
        <w:tc>
          <w:tcPr>
            <w:tcW w:w="7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  <w:t>6.99(4.98,8.26)</w:t>
            </w:r>
          </w:p>
        </w:tc>
        <w:tc>
          <w:tcPr>
            <w:tcW w:w="8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  <w:t>90045(69417,107264)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  <w:t>6.53(5.02,7.76)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  <w:t>-0.44 (-0.50 to -0.37)</w:t>
            </w:r>
          </w:p>
        </w:tc>
        <w:tc>
          <w:tcPr>
            <w:tcW w:w="416" w:type="pct"/>
            <w:vMerge w:val="continue"/>
            <w:tcBorders>
              <w:top w:val="nil"/>
              <w:left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  <w:t>Southeast Asia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  <w:t>43611(37763,50247)</w:t>
            </w:r>
          </w:p>
        </w:tc>
        <w:tc>
          <w:tcPr>
            <w:tcW w:w="7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  <w:t>17.10(14.94,18.91)</w:t>
            </w:r>
          </w:p>
        </w:tc>
        <w:tc>
          <w:tcPr>
            <w:tcW w:w="8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  <w:t>97009(83976,109403)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  <w:t>15.66(13.52,17.62)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  <w:t>-0.21 (-0.33 to -0.10)</w:t>
            </w:r>
          </w:p>
        </w:tc>
        <w:tc>
          <w:tcPr>
            <w:tcW w:w="416" w:type="pct"/>
            <w:vMerge w:val="continue"/>
            <w:tcBorders>
              <w:top w:val="nil"/>
              <w:left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  <w:t>Southern Latin America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  <w:t>6634(6173,7217)</w:t>
            </w:r>
          </w:p>
        </w:tc>
        <w:tc>
          <w:tcPr>
            <w:tcW w:w="7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  <w:t>15.44(14.48,16.17)</w:t>
            </w:r>
          </w:p>
        </w:tc>
        <w:tc>
          <w:tcPr>
            <w:tcW w:w="8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  <w:t>13307(12046,14095)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  <w:t>16.11(14.58,17.07)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  <w:t>0.31 (0.27 to 0.34)</w:t>
            </w:r>
          </w:p>
        </w:tc>
        <w:tc>
          <w:tcPr>
            <w:tcW w:w="416" w:type="pct"/>
            <w:vMerge w:val="continue"/>
            <w:tcBorders>
              <w:top w:val="nil"/>
              <w:left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  <w:t>Southern Sub-Saharan Africa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  <w:t>3367(2846,3757)</w:t>
            </w:r>
          </w:p>
        </w:tc>
        <w:tc>
          <w:tcPr>
            <w:tcW w:w="7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  <w:t>13.56(12.72,14.51)</w:t>
            </w:r>
          </w:p>
        </w:tc>
        <w:tc>
          <w:tcPr>
            <w:tcW w:w="8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  <w:t>8697(7845,9442)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  <w:t>15.73(14.20,17.01)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  <w:t>1.21 (1.09 to 1.32)</w:t>
            </w:r>
          </w:p>
        </w:tc>
        <w:tc>
          <w:tcPr>
            <w:tcW w:w="416" w:type="pct"/>
            <w:vMerge w:val="continue"/>
            <w:tcBorders>
              <w:top w:val="nil"/>
              <w:left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  <w:t>Tropical Latin America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  <w:t>19475(18640,20297)</w:t>
            </w:r>
          </w:p>
        </w:tc>
        <w:tc>
          <w:tcPr>
            <w:tcW w:w="7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  <w:t>21.33(20.28,22.08)</w:t>
            </w:r>
          </w:p>
        </w:tc>
        <w:tc>
          <w:tcPr>
            <w:tcW w:w="8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  <w:t>53299(48209,56268)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  <w:t>22.13(19.93,23.39)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  <w:t>0.35 (0.28 to 0.42)</w:t>
            </w:r>
          </w:p>
        </w:tc>
        <w:tc>
          <w:tcPr>
            <w:tcW w:w="416" w:type="pct"/>
            <w:vMerge w:val="continue"/>
            <w:tcBorders>
              <w:top w:val="nil"/>
              <w:left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  <w:t>Western Europe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  <w:t>62182(58498,64031)</w:t>
            </w:r>
          </w:p>
        </w:tc>
        <w:tc>
          <w:tcPr>
            <w:tcW w:w="7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  <w:t>9.77(9.25,10.12)</w:t>
            </w:r>
          </w:p>
        </w:tc>
        <w:tc>
          <w:tcPr>
            <w:tcW w:w="8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  <w:t>89704(80161,94929)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  <w:t>9.92(9.08,10.46)</w:t>
            </w:r>
          </w:p>
        </w:tc>
        <w:tc>
          <w:tcPr>
            <w:tcW w:w="67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  <w:t>-0.24 (-0.38 to -0.11)</w:t>
            </w:r>
          </w:p>
        </w:tc>
        <w:tc>
          <w:tcPr>
            <w:tcW w:w="416" w:type="pct"/>
            <w:vMerge w:val="continue"/>
            <w:tcBorders>
              <w:top w:val="nil"/>
              <w:left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46" w:type="pct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  <w:t>Western Sub-Saharan Africa</w:t>
            </w:r>
          </w:p>
        </w:tc>
        <w:tc>
          <w:tcPr>
            <w:tcW w:w="725" w:type="pct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  <w:t>5270(4411,6212)</w:t>
            </w:r>
          </w:p>
        </w:tc>
        <w:tc>
          <w:tcPr>
            <w:tcW w:w="767" w:type="pct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  <w:t>6.46(4.79,7.86)</w:t>
            </w:r>
          </w:p>
        </w:tc>
        <w:tc>
          <w:tcPr>
            <w:tcW w:w="817" w:type="pct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  <w:t>16983(12879,20756)</w:t>
            </w:r>
          </w:p>
        </w:tc>
        <w:tc>
          <w:tcPr>
            <w:tcW w:w="749" w:type="pct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  <w:t>7.72(5.90,9.26)</w:t>
            </w:r>
          </w:p>
        </w:tc>
        <w:tc>
          <w:tcPr>
            <w:tcW w:w="676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  <w:t>1.30 (1.18 to 1.41)</w:t>
            </w:r>
          </w:p>
        </w:tc>
        <w:tc>
          <w:tcPr>
            <w:tcW w:w="416" w:type="pct"/>
            <w:vMerge w:val="continue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eastAsia="zh-CN"/>
              </w:rPr>
            </w:pPr>
          </w:p>
        </w:tc>
      </w:tr>
    </w:tbl>
    <w:p>
      <w:pPr>
        <w:sectPr>
          <w:pgSz w:w="16838" w:h="11906" w:orient="landscape"/>
          <w:pgMar w:top="1800" w:right="1440" w:bottom="1800" w:left="1440" w:header="851" w:footer="992" w:gutter="0"/>
          <w:lnNumType w:countBy="1" w:restart="continuous"/>
          <w:cols w:space="425" w:num="1"/>
          <w:docGrid w:type="lines" w:linePitch="312" w:charSpace="0"/>
        </w:sect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/>
          <w:lang w:val="en-US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>Supplementary</w:t>
      </w:r>
      <w:r>
        <w:rPr>
          <w:rFonts w:hint="default" w:ascii="Times New Roman" w:hAnsi="Times New Roman" w:cs="Times New Roman"/>
          <w:b/>
          <w:bCs/>
          <w:sz w:val="24"/>
          <w:szCs w:val="24"/>
          <w:lang w:eastAsia="zh-CN"/>
        </w:rPr>
        <w:t xml:space="preserve"> </w:t>
      </w:r>
      <w:r>
        <w:rPr>
          <w:rFonts w:hint="eastAsia" w:ascii="Times New Roman" w:hAnsi="Times New Roman" w:eastAsia="宋体" w:cs="Times New Roman"/>
          <w:b/>
          <w:bCs/>
          <w:sz w:val="24"/>
          <w:szCs w:val="24"/>
          <w:lang w:val="en-US" w:eastAsia="zh-CN"/>
        </w:rPr>
        <w:t>Table 4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 xml:space="preserve">. 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lang w:val="en-US" w:eastAsia="zh-CN"/>
        </w:rPr>
        <w:t xml:space="preserve">Global trends in the number of new cases, the number of deaths, the number of DALYs, the ASIR, the ASMR, and the age-standardized DALYs rate by sex from 2019 to 2044 predicted by the BAPC model. </w:t>
      </w:r>
      <w:r>
        <w:rPr>
          <w:rFonts w:hint="eastAsia" w:ascii="Times New Roman" w:hAnsi="Times New Roman" w:eastAsia="宋体" w:cs="Times New Roman"/>
          <w:b/>
          <w:bCs/>
          <w:sz w:val="24"/>
          <w:szCs w:val="24"/>
          <w:lang w:val="en-US" w:eastAsia="zh-CN"/>
        </w:rPr>
        <w:t>Abbreviations:</w:t>
      </w: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lang w:val="en-US" w:eastAsia="zh-CN"/>
        </w:rPr>
        <w:t>ASIR, age-standardized incidence rate; ASMR, age-standardized mortality rate; DALYs, disability-adjusted life years; BAPC, Bayesian age-period-cohort.</w:t>
      </w:r>
    </w:p>
    <w:tbl>
      <w:tblPr>
        <w:tblStyle w:val="3"/>
        <w:tblW w:w="13572" w:type="dxa"/>
        <w:tblInd w:w="10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0"/>
        <w:gridCol w:w="1176"/>
        <w:gridCol w:w="1176"/>
        <w:gridCol w:w="957"/>
        <w:gridCol w:w="1083"/>
        <w:gridCol w:w="1081"/>
        <w:gridCol w:w="959"/>
        <w:gridCol w:w="993"/>
        <w:gridCol w:w="1047"/>
        <w:gridCol w:w="887"/>
        <w:gridCol w:w="1153"/>
        <w:gridCol w:w="919"/>
        <w:gridCol w:w="112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" w:hRule="atLeast"/>
          <w:tblHeader/>
        </w:trPr>
        <w:tc>
          <w:tcPr>
            <w:tcW w:w="1020" w:type="dxa"/>
            <w:vMerge w:val="restart"/>
            <w:tcBorders>
              <w:top w:val="single" w:color="auto" w:sz="4" w:space="0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35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Number of new cases</w:t>
            </w:r>
          </w:p>
        </w:tc>
        <w:tc>
          <w:tcPr>
            <w:tcW w:w="20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Number of </w:t>
            </w:r>
            <w:r>
              <w:rPr>
                <w:rStyle w:val="5"/>
                <w:rFonts w:eastAsia="宋体"/>
                <w:lang w:val="en-US" w:eastAsia="zh-CN" w:bidi="ar"/>
              </w:rPr>
              <w:t>deaths cases</w:t>
            </w:r>
          </w:p>
        </w:tc>
        <w:tc>
          <w:tcPr>
            <w:tcW w:w="20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Number of DALYs cases</w:t>
            </w:r>
          </w:p>
        </w:tc>
        <w:tc>
          <w:tcPr>
            <w:tcW w:w="20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AS</w:t>
            </w:r>
            <w:r>
              <w:rPr>
                <w:rStyle w:val="6"/>
                <w:rFonts w:eastAsia="宋体"/>
                <w:lang w:val="en-US" w:eastAsia="zh-CN" w:bidi="ar"/>
              </w:rPr>
              <w:t>IR</w:t>
            </w:r>
            <w:r>
              <w:rPr>
                <w:rStyle w:val="5"/>
                <w:rFonts w:eastAsia="宋体"/>
                <w:lang w:val="en-US" w:eastAsia="zh-CN" w:bidi="ar"/>
              </w:rPr>
              <w:t>/100000</w:t>
            </w:r>
          </w:p>
        </w:tc>
        <w:tc>
          <w:tcPr>
            <w:tcW w:w="20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ASMR</w:t>
            </w:r>
            <w:r>
              <w:rPr>
                <w:rStyle w:val="5"/>
                <w:rFonts w:eastAsia="宋体"/>
                <w:lang w:val="en-US" w:eastAsia="zh-CN" w:bidi="ar"/>
              </w:rPr>
              <w:t>/100000</w:t>
            </w:r>
          </w:p>
        </w:tc>
        <w:tc>
          <w:tcPr>
            <w:tcW w:w="20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Age-standardized DALYs/100000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  <w:tblHeader/>
        </w:trPr>
        <w:tc>
          <w:tcPr>
            <w:tcW w:w="1020" w:type="dxa"/>
            <w:vMerge w:val="continue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</w:t>
            </w:r>
            <w:r>
              <w:rPr>
                <w:rStyle w:val="5"/>
                <w:rFonts w:eastAsia="宋体"/>
                <w:lang w:val="en-US" w:eastAsia="zh-CN" w:bidi="ar"/>
              </w:rPr>
              <w:t>ale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F</w:t>
            </w:r>
            <w:r>
              <w:rPr>
                <w:rStyle w:val="5"/>
                <w:rFonts w:eastAsia="宋体"/>
                <w:lang w:val="en-US" w:eastAsia="zh-CN" w:bidi="ar"/>
              </w:rPr>
              <w:t>emale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</w:t>
            </w:r>
            <w:r>
              <w:rPr>
                <w:rStyle w:val="5"/>
                <w:rFonts w:eastAsia="宋体"/>
                <w:lang w:val="en-US" w:eastAsia="zh-CN" w:bidi="ar"/>
              </w:rPr>
              <w:t>ale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F</w:t>
            </w:r>
            <w:r>
              <w:rPr>
                <w:rStyle w:val="5"/>
                <w:rFonts w:eastAsia="宋体"/>
                <w:lang w:val="en-US" w:eastAsia="zh-CN" w:bidi="ar"/>
              </w:rPr>
              <w:t>emale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</w:t>
            </w:r>
            <w:r>
              <w:rPr>
                <w:rStyle w:val="5"/>
                <w:rFonts w:eastAsia="宋体"/>
                <w:lang w:val="en-US" w:eastAsia="zh-CN" w:bidi="ar"/>
              </w:rPr>
              <w:t>ale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F</w:t>
            </w:r>
            <w:r>
              <w:rPr>
                <w:rStyle w:val="5"/>
                <w:rFonts w:eastAsia="宋体"/>
                <w:lang w:val="en-US" w:eastAsia="zh-CN" w:bidi="ar"/>
              </w:rPr>
              <w:t>emale</w:t>
            </w:r>
          </w:p>
        </w:tc>
        <w:tc>
          <w:tcPr>
            <w:tcW w:w="993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</w:t>
            </w:r>
            <w:r>
              <w:rPr>
                <w:rStyle w:val="5"/>
                <w:rFonts w:eastAsia="宋体"/>
                <w:lang w:val="en-US" w:eastAsia="zh-CN" w:bidi="ar"/>
              </w:rPr>
              <w:t>ale</w:t>
            </w:r>
          </w:p>
        </w:tc>
        <w:tc>
          <w:tcPr>
            <w:tcW w:w="1047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F</w:t>
            </w:r>
            <w:r>
              <w:rPr>
                <w:rStyle w:val="5"/>
                <w:rFonts w:eastAsia="宋体"/>
                <w:lang w:val="en-US" w:eastAsia="zh-CN" w:bidi="ar"/>
              </w:rPr>
              <w:t>emale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</w:t>
            </w:r>
            <w:r>
              <w:rPr>
                <w:rStyle w:val="5"/>
                <w:rFonts w:eastAsia="宋体"/>
                <w:lang w:val="en-US" w:eastAsia="zh-CN" w:bidi="ar"/>
              </w:rPr>
              <w:t>ale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F</w:t>
            </w:r>
            <w:r>
              <w:rPr>
                <w:rStyle w:val="5"/>
                <w:rFonts w:eastAsia="宋体"/>
                <w:lang w:val="en-US" w:eastAsia="zh-CN" w:bidi="ar"/>
              </w:rPr>
              <w:t>emale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</w:t>
            </w:r>
            <w:r>
              <w:rPr>
                <w:rStyle w:val="5"/>
                <w:rFonts w:eastAsia="宋体"/>
                <w:lang w:val="en-US" w:eastAsia="zh-CN" w:bidi="ar"/>
              </w:rPr>
              <w:t>ale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F</w:t>
            </w:r>
            <w:r>
              <w:rPr>
                <w:rStyle w:val="5"/>
                <w:rFonts w:eastAsia="宋体"/>
                <w:lang w:val="en-US" w:eastAsia="zh-CN" w:bidi="ar"/>
              </w:rPr>
              <w:t>emale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2019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3682933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2670753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33244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22809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742528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440704</w:t>
            </w:r>
          </w:p>
        </w:tc>
        <w:tc>
          <w:tcPr>
            <w:tcW w:w="993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102.81</w:t>
            </w:r>
          </w:p>
        </w:tc>
        <w:tc>
          <w:tcPr>
            <w:tcW w:w="1047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61.15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1.01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0.52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20.05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10.15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3841597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2805309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33494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22933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749152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446139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96.67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58.92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18.77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9.46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4023845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2913861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34580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23610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770552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454916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97.67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59.34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18.73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9.37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4214902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3030135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35590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24245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791862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463340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98.67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59.79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18.69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9.28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4413587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3154115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36458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24783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812588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471289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99.6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60.2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18.65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9.19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4621315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3287602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37117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25167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832369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478575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100.43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60.56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0.4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18.59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9.1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4845462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3436731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37550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25389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851463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485166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101.18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60.9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0.4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18.54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.00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5142099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3618554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38731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26103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876474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494307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101.92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61.23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0.8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18.48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8.9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5475834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3826752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39845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26792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901872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503192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102.62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61.56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18.43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8.8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5849642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4064343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40818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27396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92</w:t>
            </w:r>
            <w:bookmarkStart w:id="6" w:name="_GoBack"/>
            <w:bookmarkEnd w:id="6"/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511724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103.22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61.84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18.38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8.7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6271120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4337611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41582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27862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951956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519772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103.68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18.31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8.6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6756268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4658728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42108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28176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976574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527251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104.05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62.25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18.25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8.5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7392865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5052786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43456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29022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1008423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537437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104.39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62.42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18.18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8.39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8148606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5522924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44750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29866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1041535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547557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104.67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62.58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8.29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9045450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6084214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45899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30627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1075310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557387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104.83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62.68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8.18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10117949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6760421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46822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31244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1109342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566697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104.85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62.72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8.07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2035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11423410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7589933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47498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31717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1144072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575438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104.79</w:t>
            </w:r>
          </w:p>
        </w:tc>
        <w:tc>
          <w:tcPr>
            <w:tcW w:w="1047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62.73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0.72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0.35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17.92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7.96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2036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13168302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8638722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49055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32722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1188185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586861</w:t>
            </w:r>
          </w:p>
        </w:tc>
        <w:tc>
          <w:tcPr>
            <w:tcW w:w="993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104.7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  <w:tc>
          <w:tcPr>
            <w:tcW w:w="1047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62.74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0.72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0.34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17.85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7.85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15367159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9950520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50553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33712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1234904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598101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104.57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62.73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17.79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7.74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18161663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11606568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51910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34636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1283846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609111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104.34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62.68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0.7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17.73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7.63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21753579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13723045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35416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1334549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619584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104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.00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62.58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17.66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7.51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26459358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16478735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53841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36022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1387581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629330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103.6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62.47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17.59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7.4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33149878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20194983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55728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37273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1454839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642578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103.22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62.36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17.53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7.28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42367800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25200875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57573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38523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1527668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655682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102.83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62.26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17.48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7.17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55263137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32046996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59231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39649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1605616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668323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102.39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17.42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7.05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2044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73642458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41587505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60575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40550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1688448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680152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101.87</w:t>
            </w:r>
          </w:p>
        </w:tc>
        <w:tc>
          <w:tcPr>
            <w:tcW w:w="1047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61.97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0.65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0.3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17.37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6.94</w:t>
            </w:r>
          </w:p>
        </w:tc>
      </w:tr>
    </w:tbl>
    <w:p/>
    <w:p>
      <w:pPr>
        <w:jc w:val="center"/>
        <w:sectPr>
          <w:pgSz w:w="16838" w:h="11906" w:orient="landscape"/>
          <w:pgMar w:top="1800" w:right="1440" w:bottom="1800" w:left="1440" w:header="851" w:footer="992" w:gutter="0"/>
          <w:lnNumType w:countBy="1" w:restart="continuous"/>
          <w:cols w:space="425" w:num="1"/>
          <w:docGrid w:type="lines" w:linePitch="312" w:charSpace="0"/>
        </w:sectPr>
      </w:pPr>
    </w:p>
    <w:p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 w:ascii="Times New Roman" w:hAnsi="Times New Roman" w:eastAsia="宋体" w:cs="Times New Roman"/>
          <w:b/>
          <w:bCs/>
          <w:sz w:val="24"/>
          <w:szCs w:val="24"/>
          <w:lang w:eastAsia="zh-CN"/>
        </w:rPr>
      </w:pPr>
      <w:r>
        <w:rPr>
          <w:rFonts w:hint="default" w:ascii="Times New Roman" w:hAnsi="Times New Roman" w:eastAsia="宋体" w:cs="Times New Roman"/>
          <w:b/>
          <w:bCs/>
          <w:sz w:val="24"/>
          <w:szCs w:val="24"/>
          <w:lang w:eastAsia="zh-CN"/>
        </w:rPr>
        <w:drawing>
          <wp:inline distT="0" distB="0" distL="114300" distR="114300">
            <wp:extent cx="9081770" cy="3501390"/>
            <wp:effectExtent l="0" t="0" r="5080" b="3810"/>
            <wp:docPr id="4" name="图片 4" descr="Supplemental fig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Supplemental figure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081770" cy="3501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tabs>
          <w:tab w:val="left" w:pos="700"/>
        </w:tabs>
        <w:spacing w:before="15" w:after="0" w:line="480" w:lineRule="auto"/>
        <w:ind w:right="-20"/>
        <w:jc w:val="both"/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sectPr>
          <w:pgSz w:w="16838" w:h="11906" w:orient="landscape"/>
          <w:pgMar w:top="1800" w:right="1440" w:bottom="1800" w:left="1440" w:header="851" w:footer="992" w:gutter="0"/>
          <w:lnNumType w:countBy="1" w:restart="continuous"/>
          <w:cols w:space="425" w:num="1"/>
          <w:docGrid w:type="lines" w:linePitch="312" w:charSpace="0"/>
        </w:sectPr>
      </w:pPr>
      <w:bookmarkStart w:id="4" w:name="OLE_LINK2"/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>Supplementary</w:t>
      </w:r>
      <w:r>
        <w:rPr>
          <w:rFonts w:hint="default" w:ascii="Times New Roman" w:hAnsi="Times New Roman" w:cs="Times New Roman"/>
          <w:b/>
          <w:bCs/>
          <w:sz w:val="24"/>
          <w:szCs w:val="24"/>
          <w:lang w:eastAsia="zh-CN"/>
        </w:rPr>
        <w:t xml:space="preserve"> </w:t>
      </w:r>
      <w:bookmarkStart w:id="5" w:name="OLE_LINK12"/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Figure</w:t>
      </w:r>
      <w:r>
        <w:rPr>
          <w:rFonts w:hint="default" w:ascii="Times New Roman" w:hAnsi="Times New Roman" w:cs="Times New Roman"/>
          <w:b/>
          <w:bCs/>
          <w:sz w:val="24"/>
          <w:szCs w:val="24"/>
          <w:lang w:eastAsia="zh-CN"/>
        </w:rPr>
        <w:t xml:space="preserve"> 1</w:t>
      </w:r>
      <w:bookmarkEnd w:id="5"/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.</w:t>
      </w:r>
      <w:bookmarkEnd w:id="4"/>
      <w:r>
        <w:rPr>
          <w:rFonts w:hint="default" w:ascii="Times New Roman" w:hAnsi="Times New Roman" w:eastAsia="宋体" w:cs="Times New Roman"/>
          <w:sz w:val="24"/>
          <w:szCs w:val="24"/>
          <w:lang w:eastAsia="zh-CN"/>
        </w:rPr>
        <w:t xml:space="preserve"> Results of cluster analysis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Cs/>
          <w:color w:val="FF0000"/>
          <w:sz w:val="24"/>
          <w:szCs w:val="24"/>
          <w:lang w:eastAsia="zh-CN"/>
        </w:rPr>
        <w:t xml:space="preserve">(a: significant growth; b: a slight increase; c: </w:t>
      </w:r>
      <w:r>
        <w:rPr>
          <w:rFonts w:hint="eastAsia" w:ascii="Times New Roman" w:hAnsi="Times New Roman" w:cs="Times New Roman"/>
          <w:bCs/>
          <w:color w:val="FF0000"/>
          <w:sz w:val="24"/>
          <w:szCs w:val="24"/>
          <w:lang w:val="en-US" w:eastAsia="zh-CN"/>
        </w:rPr>
        <w:t>b</w:t>
      </w:r>
      <w:r>
        <w:rPr>
          <w:rFonts w:hint="default" w:ascii="Times New Roman" w:hAnsi="Times New Roman" w:cs="Times New Roman"/>
          <w:bCs/>
          <w:color w:val="FF0000"/>
          <w:sz w:val="24"/>
          <w:szCs w:val="24"/>
          <w:lang w:eastAsia="zh-CN"/>
        </w:rPr>
        <w:t>asically stable or decrease slightly; d: significantly decreased)</w:t>
      </w:r>
      <w:r>
        <w:rPr>
          <w:rFonts w:hint="default" w:ascii="Times New Roman" w:hAnsi="Times New Roman" w:eastAsia="宋体" w:cs="Times New Roman"/>
          <w:color w:val="FF0000"/>
          <w:sz w:val="24"/>
          <w:szCs w:val="24"/>
          <w:lang w:eastAsia="zh-CN"/>
        </w:rPr>
        <w:t xml:space="preserve"> </w:t>
      </w:r>
      <w:r>
        <w:rPr>
          <w:rFonts w:hint="default" w:ascii="Times New Roman" w:hAnsi="Times New Roman" w:eastAsia="宋体" w:cs="Times New Roman"/>
          <w:sz w:val="24"/>
          <w:szCs w:val="24"/>
          <w:lang w:eastAsia="zh-CN"/>
        </w:rPr>
        <w:t>based on the EAPC values of the ASIR</w:t>
      </w:r>
      <w:r>
        <w:rPr>
          <w:rFonts w:hint="default" w:ascii="Times New Roman" w:hAnsi="Times New Roman" w:eastAsia="宋体" w:cs="Times New Roman"/>
          <w:b/>
          <w:bCs/>
          <w:sz w:val="24"/>
          <w:szCs w:val="24"/>
          <w:lang w:eastAsia="zh-CN"/>
        </w:rPr>
        <w:t xml:space="preserve"> (</w:t>
      </w:r>
      <w:r>
        <w:rPr>
          <w:rFonts w:hint="eastAsia" w:ascii="Times New Roman" w:hAnsi="Times New Roman" w:eastAsia="宋体" w:cs="Times New Roman"/>
          <w:b/>
          <w:bCs/>
          <w:sz w:val="24"/>
          <w:szCs w:val="24"/>
          <w:lang w:val="en-US" w:eastAsia="zh-CN"/>
        </w:rPr>
        <w:t>A</w:t>
      </w:r>
      <w:r>
        <w:rPr>
          <w:rFonts w:hint="default" w:ascii="Times New Roman" w:hAnsi="Times New Roman" w:eastAsia="宋体" w:cs="Times New Roman"/>
          <w:b/>
          <w:bCs/>
          <w:sz w:val="24"/>
          <w:szCs w:val="24"/>
          <w:lang w:eastAsia="zh-CN"/>
        </w:rPr>
        <w:t>)</w:t>
      </w:r>
      <w:r>
        <w:rPr>
          <w:rFonts w:hint="default" w:ascii="Times New Roman" w:hAnsi="Times New Roman" w:eastAsia="宋体" w:cs="Times New Roman"/>
          <w:sz w:val="24"/>
          <w:szCs w:val="24"/>
          <w:lang w:eastAsia="zh-CN"/>
        </w:rPr>
        <w:t xml:space="preserve">, the 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ASMR</w:t>
      </w:r>
      <w:r>
        <w:rPr>
          <w:rFonts w:hint="eastAsia" w:ascii="Times New Roman" w:hAnsi="Times New Roman" w:eastAsia="宋体" w:cs="Times New Roman"/>
          <w:b/>
          <w:bCs/>
          <w:sz w:val="24"/>
          <w:szCs w:val="24"/>
          <w:lang w:val="en-US" w:eastAsia="zh-CN"/>
        </w:rPr>
        <w:t xml:space="preserve"> (B)</w:t>
      </w: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>,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 xml:space="preserve"> and the </w:t>
      </w:r>
      <w:r>
        <w:rPr>
          <w:rFonts w:hint="default" w:ascii="Times New Roman" w:hAnsi="Times New Roman" w:eastAsia="宋体" w:cs="Times New Roman"/>
          <w:sz w:val="24"/>
          <w:szCs w:val="24"/>
          <w:lang w:eastAsia="zh-CN"/>
        </w:rPr>
        <w:t>age-standard DALY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s</w:t>
      </w:r>
      <w:r>
        <w:rPr>
          <w:rFonts w:hint="default" w:ascii="Times New Roman" w:hAnsi="Times New Roman" w:eastAsia="宋体" w:cs="Times New Roman"/>
          <w:sz w:val="24"/>
          <w:szCs w:val="24"/>
          <w:lang w:eastAsia="zh-CN"/>
        </w:rPr>
        <w:t xml:space="preserve"> rate</w:t>
      </w:r>
      <w:r>
        <w:rPr>
          <w:rFonts w:hint="default" w:ascii="Times New Roman" w:hAnsi="Times New Roman" w:eastAsia="宋体" w:cs="Times New Roman"/>
          <w:b/>
          <w:bCs/>
          <w:sz w:val="24"/>
          <w:szCs w:val="24"/>
          <w:lang w:eastAsia="zh-CN"/>
        </w:rPr>
        <w:t xml:space="preserve"> (</w:t>
      </w:r>
      <w:r>
        <w:rPr>
          <w:rFonts w:hint="eastAsia" w:ascii="Times New Roman" w:hAnsi="Times New Roman" w:eastAsia="宋体" w:cs="Times New Roman"/>
          <w:b/>
          <w:bCs/>
          <w:sz w:val="24"/>
          <w:szCs w:val="24"/>
          <w:lang w:val="en-US" w:eastAsia="zh-CN"/>
        </w:rPr>
        <w:t>C</w:t>
      </w:r>
      <w:r>
        <w:rPr>
          <w:rFonts w:hint="default" w:ascii="Times New Roman" w:hAnsi="Times New Roman" w:eastAsia="宋体" w:cs="Times New Roman"/>
          <w:b/>
          <w:bCs/>
          <w:sz w:val="24"/>
          <w:szCs w:val="24"/>
          <w:lang w:eastAsia="zh-CN"/>
        </w:rPr>
        <w:t>)</w:t>
      </w: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sz w:val="24"/>
          <w:szCs w:val="24"/>
          <w:lang w:eastAsia="zh-CN"/>
        </w:rPr>
        <w:t xml:space="preserve">from 1990 to 2019. </w:t>
      </w:r>
      <w:r>
        <w:rPr>
          <w:rFonts w:hint="default" w:ascii="Times New Roman" w:hAnsi="Times New Roman" w:cs="Times New Roman"/>
          <w:b/>
          <w:bCs/>
          <w:sz w:val="24"/>
          <w:szCs w:val="24"/>
          <w:lang w:eastAsia="en-US"/>
        </w:rPr>
        <w:t>Abbreviations: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sz w:val="24"/>
          <w:szCs w:val="24"/>
          <w:lang w:eastAsia="zh-CN"/>
        </w:rPr>
        <w:t>EAPC, estimated annual percentage change; ASIR, age-standardized incidence rate; ASMR, age-standardized mortality rate; DALY, disability-adjusted-life-year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.</w:t>
      </w:r>
    </w:p>
    <w:p>
      <w:pPr>
        <w:tabs>
          <w:tab w:val="left" w:pos="700"/>
        </w:tabs>
        <w:spacing w:before="15" w:after="0" w:line="480" w:lineRule="auto"/>
        <w:ind w:right="-20"/>
        <w:jc w:val="both"/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drawing>
          <wp:inline distT="0" distB="0" distL="114300" distR="114300">
            <wp:extent cx="5320665" cy="5060315"/>
            <wp:effectExtent l="0" t="0" r="3810" b="6985"/>
            <wp:docPr id="2" name="图片 2" descr="Supplemental fig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Supplemental figure 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320665" cy="5060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Times New Roman" w:hAnsi="Times New Roman" w:cs="Times New Roman"/>
          <w:b w:val="0"/>
          <w:bCs w:val="0"/>
          <w:sz w:val="24"/>
          <w:szCs w:val="24"/>
          <w:lang w:val="en-US" w:eastAsia="zh-CN"/>
        </w:rPr>
        <w:sectPr>
          <w:pgSz w:w="11906" w:h="16838"/>
          <w:pgMar w:top="1440" w:right="1800" w:bottom="1440" w:left="1800" w:header="851" w:footer="992" w:gutter="0"/>
          <w:lnNumType w:countBy="1" w:restart="continuous"/>
          <w:cols w:space="425" w:num="1"/>
          <w:docGrid w:type="lines" w:linePitch="312" w:charSpace="0"/>
        </w:sect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>Supplementary</w:t>
      </w:r>
      <w:r>
        <w:rPr>
          <w:rFonts w:hint="default" w:ascii="Times New Roman" w:hAnsi="Times New Roman" w:cs="Times New Roman"/>
          <w:b/>
          <w:bCs/>
          <w:sz w:val="24"/>
          <w:szCs w:val="24"/>
          <w:lang w:eastAsia="zh-CN"/>
        </w:rPr>
        <w:t xml:space="preserve"> 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Figure</w:t>
      </w:r>
      <w:r>
        <w:rPr>
          <w:rFonts w:hint="default" w:ascii="Times New Roman" w:hAnsi="Times New Roman" w:cs="Times New Roman"/>
          <w:b/>
          <w:bCs/>
          <w:sz w:val="24"/>
          <w:szCs w:val="24"/>
          <w:lang w:eastAsia="zh-CN"/>
        </w:rPr>
        <w:t xml:space="preserve"> 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 xml:space="preserve">2.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eastAsia="zh-CN"/>
        </w:rPr>
        <w:t>Trends in the number of new cases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(a</w:t>
      </w:r>
      <w:r>
        <w:rPr>
          <w:rFonts w:hint="default" w:ascii="Times New Roman" w:hAnsi="Times New Roman" w:cs="Times New Roman"/>
          <w:b/>
          <w:bCs/>
          <w:sz w:val="24"/>
          <w:szCs w:val="24"/>
          <w:lang w:eastAsia="en-US"/>
        </w:rPr>
        <w:t xml:space="preserve"> and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 xml:space="preserve"> b)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eastAsia="zh-CN"/>
        </w:rPr>
        <w:t>, the number of deaths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(c</w:t>
      </w:r>
      <w:r>
        <w:rPr>
          <w:rFonts w:hint="default" w:ascii="Times New Roman" w:hAnsi="Times New Roman" w:cs="Times New Roman"/>
          <w:b/>
          <w:bCs/>
          <w:sz w:val="24"/>
          <w:szCs w:val="24"/>
          <w:lang w:eastAsia="en-US"/>
        </w:rPr>
        <w:t xml:space="preserve"> and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 xml:space="preserve"> d)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eastAsia="zh-CN"/>
        </w:rPr>
        <w:t xml:space="preserve">, and the 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lang w:val="en-US" w:eastAsia="zh-CN"/>
        </w:rPr>
        <w:t xml:space="preserve">number of DALYs 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(e</w:t>
      </w:r>
      <w:r>
        <w:rPr>
          <w:rFonts w:hint="default" w:ascii="Times New Roman" w:hAnsi="Times New Roman" w:cs="Times New Roman"/>
          <w:b/>
          <w:bCs/>
          <w:sz w:val="24"/>
          <w:szCs w:val="24"/>
          <w:lang w:eastAsia="en-US"/>
        </w:rPr>
        <w:t xml:space="preserve"> and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 xml:space="preserve"> f)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eastAsia="zh-CN"/>
        </w:rPr>
        <w:t xml:space="preserve"> by genders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lang w:val="en-US" w:eastAsia="zh-CN"/>
        </w:rPr>
        <w:t xml:space="preserve"> globally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eastAsia="zh-CN"/>
        </w:rPr>
        <w:t xml:space="preserve">: observed (before 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lang w:val="en-US" w:eastAsia="zh-CN"/>
        </w:rPr>
        <w:t>2019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eastAsia="zh-CN"/>
        </w:rPr>
        <w:t xml:space="preserve">) and predicted 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lang w:val="en-US" w:eastAsia="zh-CN"/>
        </w:rPr>
        <w:t>numbers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eastAsia="zh-CN"/>
        </w:rPr>
        <w:t xml:space="preserve"> </w:t>
      </w:r>
      <w:r>
        <w:rPr>
          <w:rFonts w:hint="default" w:ascii="Times New Roman" w:hAnsi="Times New Roman" w:cs="Times New Roman"/>
          <w:color w:val="auto"/>
          <w:sz w:val="24"/>
          <w:szCs w:val="24"/>
          <w:lang w:eastAsia="zh-CN"/>
        </w:rPr>
        <w:t xml:space="preserve">of the 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lang w:val="en-US" w:eastAsia="zh-CN"/>
        </w:rPr>
        <w:t>ARIMA</w:t>
      </w:r>
      <w:r>
        <w:rPr>
          <w:rFonts w:hint="default" w:ascii="Times New Roman" w:hAnsi="Times New Roman" w:cs="Times New Roman"/>
          <w:color w:val="auto"/>
          <w:sz w:val="24"/>
          <w:szCs w:val="24"/>
          <w:lang w:eastAsia="zh-CN"/>
        </w:rPr>
        <w:t xml:space="preserve"> model</w:t>
      </w:r>
      <w:r>
        <w:rPr>
          <w:rFonts w:hint="eastAsia" w:ascii="Times New Roman" w:hAnsi="Times New Roman" w:cs="Times New Roman"/>
          <w:color w:val="auto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eastAsia="zh-CN"/>
        </w:rPr>
        <w:t xml:space="preserve">(after 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lang w:val="en-US" w:eastAsia="zh-CN"/>
        </w:rPr>
        <w:t>2019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eastAsia="zh-CN"/>
        </w:rPr>
        <w:t>). Shading indicates the upper and lower limits of the 95% CI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lang w:val="en-US" w:eastAsia="zh-CN"/>
        </w:rPr>
        <w:t xml:space="preserve">s. </w:t>
      </w:r>
      <w:r>
        <w:rPr>
          <w:rFonts w:hint="default" w:ascii="Times New Roman" w:hAnsi="Times New Roman" w:cs="Times New Roman"/>
          <w:b/>
          <w:bCs/>
          <w:sz w:val="24"/>
          <w:szCs w:val="24"/>
          <w:lang w:eastAsia="en-US"/>
        </w:rPr>
        <w:t>Abbreviations:</w:t>
      </w:r>
      <w:r>
        <w:rPr>
          <w:rFonts w:hint="default" w:ascii="Times New Roman" w:hAnsi="Times New Roman" w:eastAsia="宋体" w:cs="Times New Roman"/>
          <w:sz w:val="24"/>
          <w:szCs w:val="24"/>
          <w:lang w:eastAsia="zh-CN"/>
        </w:rPr>
        <w:t xml:space="preserve"> DALY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s</w:t>
      </w:r>
      <w:r>
        <w:rPr>
          <w:rFonts w:hint="default" w:ascii="Times New Roman" w:hAnsi="Times New Roman" w:eastAsia="宋体" w:cs="Times New Roman"/>
          <w:sz w:val="24"/>
          <w:szCs w:val="24"/>
          <w:lang w:eastAsia="zh-CN"/>
        </w:rPr>
        <w:t>, disability-adjusted-life-year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 xml:space="preserve">s; 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lang w:val="en-US" w:eastAsia="zh-CN"/>
        </w:rPr>
        <w:t>CIs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eastAsia="zh-CN"/>
        </w:rPr>
        <w:t xml:space="preserve">, </w:t>
      </w:r>
      <w:r>
        <w:rPr>
          <w:rFonts w:hint="default" w:ascii="Times New Roman" w:hAnsi="Times New Roman" w:cs="Times New Roman"/>
          <w:sz w:val="24"/>
          <w:szCs w:val="24"/>
          <w:shd w:val="clear"/>
          <w:lang w:eastAsia="zh-CN"/>
        </w:rPr>
        <w:t>confidence interval</w:t>
      </w:r>
      <w:r>
        <w:rPr>
          <w:rFonts w:hint="eastAsia" w:ascii="Times New Roman" w:hAnsi="Times New Roman" w:cs="Times New Roman"/>
          <w:sz w:val="24"/>
          <w:szCs w:val="24"/>
          <w:shd w:val="clear"/>
          <w:lang w:val="en-US" w:eastAsia="zh-CN"/>
        </w:rPr>
        <w:t>s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lang w:val="en-US" w:eastAsia="zh-CN"/>
        </w:rPr>
        <w:t>.</w:t>
      </w:r>
    </w:p>
    <w:p>
      <w:pPr>
        <w:keepNext w:val="0"/>
        <w:keepLines w:val="0"/>
        <w:pageBreakBefore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 w:ascii="Times New Roman" w:hAnsi="Times New Roman" w:cs="Times New Roman"/>
          <w:sz w:val="24"/>
          <w:szCs w:val="24"/>
          <w:lang w:eastAsia="zh-CN"/>
        </w:rPr>
      </w:pPr>
      <w:r>
        <w:rPr>
          <w:rFonts w:hint="default" w:ascii="Times New Roman" w:hAnsi="Times New Roman" w:cs="Times New Roman"/>
          <w:sz w:val="24"/>
          <w:szCs w:val="24"/>
          <w:lang w:eastAsia="zh-CN"/>
        </w:rPr>
        <w:drawing>
          <wp:inline distT="0" distB="0" distL="114300" distR="114300">
            <wp:extent cx="5381625" cy="5317490"/>
            <wp:effectExtent l="0" t="0" r="0" b="6985"/>
            <wp:docPr id="3" name="图片 3" descr="Supplemental fig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Supplemental figure 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381625" cy="5317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tabs>
          <w:tab w:val="left" w:pos="700"/>
        </w:tabs>
        <w:spacing w:before="15" w:after="0" w:line="480" w:lineRule="auto"/>
        <w:ind w:right="-20"/>
        <w:jc w:val="both"/>
        <w:rPr>
          <w:rFonts w:hint="default" w:ascii="Times New Roman" w:hAnsi="Times New Roman" w:eastAsia="Calibri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>Supplementary</w:t>
      </w:r>
      <w:r>
        <w:rPr>
          <w:rFonts w:hint="default" w:ascii="Times New Roman" w:hAnsi="Times New Roman" w:cs="Times New Roman"/>
          <w:b/>
          <w:bCs/>
          <w:sz w:val="24"/>
          <w:szCs w:val="24"/>
          <w:lang w:eastAsia="zh-CN"/>
        </w:rPr>
        <w:t xml:space="preserve"> 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Figure</w:t>
      </w:r>
      <w:r>
        <w:rPr>
          <w:rFonts w:hint="default" w:ascii="Times New Roman" w:hAnsi="Times New Roman" w:cs="Times New Roman"/>
          <w:b/>
          <w:bCs/>
          <w:sz w:val="24"/>
          <w:szCs w:val="24"/>
          <w:lang w:eastAsia="zh-CN"/>
        </w:rPr>
        <w:t xml:space="preserve"> 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 xml:space="preserve">3.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eastAsia="zh-CN"/>
        </w:rPr>
        <w:t xml:space="preserve">Trends in the 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lang w:val="en-US" w:eastAsia="zh-CN"/>
        </w:rPr>
        <w:t xml:space="preserve">ASIR 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(a</w:t>
      </w:r>
      <w:r>
        <w:rPr>
          <w:rFonts w:hint="default" w:ascii="Times New Roman" w:hAnsi="Times New Roman" w:cs="Times New Roman"/>
          <w:b/>
          <w:bCs/>
          <w:sz w:val="24"/>
          <w:szCs w:val="24"/>
          <w:lang w:eastAsia="en-US"/>
        </w:rPr>
        <w:t xml:space="preserve"> and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 xml:space="preserve"> b)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eastAsia="zh-CN"/>
        </w:rPr>
        <w:t xml:space="preserve">, the 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lang w:val="en-US" w:eastAsia="zh-CN"/>
        </w:rPr>
        <w:t xml:space="preserve">ASMR 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(c</w:t>
      </w:r>
      <w:r>
        <w:rPr>
          <w:rFonts w:hint="default" w:ascii="Times New Roman" w:hAnsi="Times New Roman" w:cs="Times New Roman"/>
          <w:b/>
          <w:bCs/>
          <w:sz w:val="24"/>
          <w:szCs w:val="24"/>
          <w:lang w:eastAsia="en-US"/>
        </w:rPr>
        <w:t xml:space="preserve"> and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 xml:space="preserve"> d)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eastAsia="zh-CN"/>
        </w:rPr>
        <w:t xml:space="preserve">, and the 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lang w:val="en-US" w:eastAsia="zh-CN"/>
        </w:rPr>
        <w:t>age-standardized DALYs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eastAsia="zh-CN"/>
        </w:rPr>
        <w:t xml:space="preserve"> 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lang w:val="en-US" w:eastAsia="zh-CN"/>
        </w:rPr>
        <w:t xml:space="preserve">rate 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(e</w:t>
      </w:r>
      <w:r>
        <w:rPr>
          <w:rFonts w:hint="default" w:ascii="Times New Roman" w:hAnsi="Times New Roman" w:cs="Times New Roman"/>
          <w:b/>
          <w:bCs/>
          <w:sz w:val="24"/>
          <w:szCs w:val="24"/>
          <w:lang w:eastAsia="en-US"/>
        </w:rPr>
        <w:t xml:space="preserve"> and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 xml:space="preserve"> f)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eastAsia="zh-CN"/>
        </w:rPr>
        <w:t>by genders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lang w:val="en-US" w:eastAsia="zh-CN"/>
        </w:rPr>
        <w:t xml:space="preserve"> globally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eastAsia="zh-CN"/>
        </w:rPr>
        <w:t xml:space="preserve">: observed (before 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lang w:val="en-US" w:eastAsia="zh-CN"/>
        </w:rPr>
        <w:t>2019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eastAsia="zh-CN"/>
        </w:rPr>
        <w:t xml:space="preserve">) and predicted 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lang w:val="en-US" w:eastAsia="zh-CN"/>
        </w:rPr>
        <w:t>rates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eastAsia="zh-CN"/>
        </w:rPr>
        <w:t xml:space="preserve"> </w:t>
      </w:r>
      <w:r>
        <w:rPr>
          <w:rFonts w:hint="default" w:ascii="Times New Roman" w:hAnsi="Times New Roman" w:cs="Times New Roman"/>
          <w:color w:val="auto"/>
          <w:sz w:val="24"/>
          <w:szCs w:val="24"/>
          <w:lang w:eastAsia="zh-CN"/>
        </w:rPr>
        <w:t xml:space="preserve">of the 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lang w:val="en-US" w:eastAsia="zh-CN"/>
        </w:rPr>
        <w:t>ARIMA</w:t>
      </w:r>
      <w:r>
        <w:rPr>
          <w:rFonts w:hint="default" w:ascii="Times New Roman" w:hAnsi="Times New Roman" w:cs="Times New Roman"/>
          <w:color w:val="auto"/>
          <w:sz w:val="24"/>
          <w:szCs w:val="24"/>
          <w:lang w:eastAsia="zh-CN"/>
        </w:rPr>
        <w:t xml:space="preserve"> model</w:t>
      </w:r>
      <w:r>
        <w:rPr>
          <w:rFonts w:hint="eastAsia" w:ascii="Times New Roman" w:hAnsi="Times New Roman" w:cs="Times New Roman"/>
          <w:color w:val="auto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eastAsia="zh-CN"/>
        </w:rPr>
        <w:t xml:space="preserve">(after 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lang w:val="en-US" w:eastAsia="zh-CN"/>
        </w:rPr>
        <w:t>2019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eastAsia="zh-CN"/>
        </w:rPr>
        <w:t>). Shading indicates the upper and lower limits of the 95% CI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lang w:val="en-US" w:eastAsia="zh-CN"/>
        </w:rPr>
        <w:t xml:space="preserve">s. </w:t>
      </w:r>
      <w:r>
        <w:rPr>
          <w:rFonts w:hint="default" w:ascii="Times New Roman" w:hAnsi="Times New Roman" w:cs="Times New Roman"/>
          <w:b/>
          <w:bCs/>
          <w:sz w:val="24"/>
          <w:szCs w:val="24"/>
          <w:lang w:eastAsia="en-US"/>
        </w:rPr>
        <w:t>Abbreviations:</w:t>
      </w:r>
      <w:r>
        <w:rPr>
          <w:rFonts w:hint="default" w:ascii="Times New Roman" w:hAnsi="Times New Roman" w:eastAsia="宋体" w:cs="Times New Roman"/>
          <w:sz w:val="24"/>
          <w:szCs w:val="24"/>
          <w:lang w:eastAsia="zh-CN"/>
        </w:rPr>
        <w:t xml:space="preserve"> ASIR, age-standardized incidence rate; ASMR, age-standardized mortality rate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 xml:space="preserve">; </w:t>
      </w:r>
      <w:r>
        <w:rPr>
          <w:rFonts w:hint="default" w:ascii="Times New Roman" w:hAnsi="Times New Roman" w:eastAsia="宋体" w:cs="Times New Roman"/>
          <w:sz w:val="24"/>
          <w:szCs w:val="24"/>
          <w:lang w:eastAsia="zh-CN"/>
        </w:rPr>
        <w:t>DALY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s</w:t>
      </w:r>
      <w:r>
        <w:rPr>
          <w:rFonts w:hint="default" w:ascii="Times New Roman" w:hAnsi="Times New Roman" w:eastAsia="宋体" w:cs="Times New Roman"/>
          <w:sz w:val="24"/>
          <w:szCs w:val="24"/>
          <w:lang w:eastAsia="zh-CN"/>
        </w:rPr>
        <w:t>, disability-adjusted-life-year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 xml:space="preserve">s; 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lang w:val="en-US" w:eastAsia="zh-CN"/>
        </w:rPr>
        <w:t>CIs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eastAsia="zh-CN"/>
        </w:rPr>
        <w:t xml:space="preserve">, </w:t>
      </w:r>
      <w:r>
        <w:rPr>
          <w:rFonts w:hint="default" w:ascii="Times New Roman" w:hAnsi="Times New Roman" w:cs="Times New Roman"/>
          <w:sz w:val="24"/>
          <w:szCs w:val="24"/>
          <w:shd w:val="clear"/>
          <w:lang w:eastAsia="zh-CN"/>
        </w:rPr>
        <w:t>confidence interval</w:t>
      </w:r>
      <w:r>
        <w:rPr>
          <w:rFonts w:hint="eastAsia" w:ascii="Times New Roman" w:hAnsi="Times New Roman" w:cs="Times New Roman"/>
          <w:sz w:val="24"/>
          <w:szCs w:val="24"/>
          <w:shd w:val="clear"/>
          <w:lang w:val="en-US" w:eastAsia="zh-CN"/>
        </w:rPr>
        <w:t>s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lang w:val="en-US" w:eastAsia="zh-CN"/>
        </w:rPr>
        <w:t>.</w:t>
      </w:r>
    </w:p>
    <w:p>
      <w:pPr>
        <w:keepNext w:val="0"/>
        <w:keepLines w:val="0"/>
        <w:pageBreakBefore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/>
          <w:lang w:val="en-US" w:eastAsia="zh-CN"/>
        </w:rPr>
      </w:pPr>
      <w:r>
        <w:rPr>
          <w:rFonts w:hint="default" w:ascii="Times New Roman" w:hAnsi="Times New Roman" w:cs="Times New Roman"/>
          <w:sz w:val="24"/>
          <w:szCs w:val="24"/>
          <w:lang w:eastAsia="zh-CN"/>
        </w:rPr>
        <w:fldChar w:fldCharType="begin"/>
      </w:r>
      <w:r>
        <w:rPr>
          <w:rFonts w:hint="default" w:ascii="Times New Roman" w:hAnsi="Times New Roman" w:cs="Times New Roman"/>
          <w:sz w:val="24"/>
          <w:szCs w:val="24"/>
          <w:lang w:eastAsia="zh-CN"/>
        </w:rPr>
        <w:instrText xml:space="preserve"> ADDIN  </w:instrText>
      </w:r>
      <w:r>
        <w:rPr>
          <w:rFonts w:hint="default" w:ascii="Times New Roman" w:hAnsi="Times New Roman" w:cs="Times New Roman"/>
          <w:sz w:val="24"/>
          <w:szCs w:val="24"/>
          <w:lang w:eastAsia="zh-CN"/>
        </w:rPr>
        <w:fldChar w:fldCharType="separate"/>
      </w:r>
      <w:r>
        <w:rPr>
          <w:rFonts w:hint="default" w:ascii="Times New Roman" w:hAnsi="Times New Roman" w:cs="Times New Roman"/>
          <w:sz w:val="24"/>
          <w:szCs w:val="24"/>
          <w:lang w:eastAsia="zh-CN"/>
        </w:rPr>
        <w:fldChar w:fldCharType="end"/>
      </w:r>
    </w:p>
    <w:sectPr>
      <w:pgSz w:w="11906" w:h="16838"/>
      <w:pgMar w:top="1440" w:right="1800" w:bottom="1440" w:left="1800" w:header="851" w:footer="992" w:gutter="0"/>
      <w:lnNumType w:countBy="1" w:restart="continuous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tabs>
        <w:tab w:val="center" w:pos="4153"/>
        <w:tab w:val="right" w:pos="8306"/>
        <w:tab w:val="clear" w:pos="4680"/>
        <w:tab w:val="clear" w:pos="9360"/>
      </w:tabs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8" name="文本框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MeXtc4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DHl7XO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9" name="文本框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tabs>
                              <w:tab w:val="center" w:pos="4153"/>
                              <w:tab w:val="right" w:pos="8306"/>
                              <w:tab w:val="clear" w:pos="4680"/>
                              <w:tab w:val="clear" w:pos="9360"/>
                            </w:tabs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ApUg9D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tabs>
                        <w:tab w:val="center" w:pos="4153"/>
                        <w:tab w:val="right" w:pos="8306"/>
                        <w:tab w:val="clear" w:pos="4680"/>
                        <w:tab w:val="clear" w:pos="9360"/>
                      </w:tabs>
                    </w:pP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hmNjAzMWJlZjFkMmQwODUwMTJkYzE2ODFiYmFmYTcifQ=="/>
  </w:docVars>
  <w:rsids>
    <w:rsidRoot w:val="487321B1"/>
    <w:rsid w:val="01DF2C4E"/>
    <w:rsid w:val="02EE3C38"/>
    <w:rsid w:val="03A859A0"/>
    <w:rsid w:val="09F55C09"/>
    <w:rsid w:val="0A3A5F26"/>
    <w:rsid w:val="0DA85C3E"/>
    <w:rsid w:val="10B22749"/>
    <w:rsid w:val="13255454"/>
    <w:rsid w:val="13552594"/>
    <w:rsid w:val="16013F56"/>
    <w:rsid w:val="16223ECC"/>
    <w:rsid w:val="17D57107"/>
    <w:rsid w:val="17FD699F"/>
    <w:rsid w:val="1B701236"/>
    <w:rsid w:val="1B9E75BF"/>
    <w:rsid w:val="1D4A1125"/>
    <w:rsid w:val="1D540E0F"/>
    <w:rsid w:val="1E214A6A"/>
    <w:rsid w:val="1EC45B21"/>
    <w:rsid w:val="1F5B4DB5"/>
    <w:rsid w:val="1FC433E8"/>
    <w:rsid w:val="205A64D0"/>
    <w:rsid w:val="209D1E8C"/>
    <w:rsid w:val="213C22E6"/>
    <w:rsid w:val="240D7F6A"/>
    <w:rsid w:val="2641214D"/>
    <w:rsid w:val="287E4F92"/>
    <w:rsid w:val="290B4575"/>
    <w:rsid w:val="2AC375D4"/>
    <w:rsid w:val="2ADE7A9A"/>
    <w:rsid w:val="2AFE28F6"/>
    <w:rsid w:val="2C1874AC"/>
    <w:rsid w:val="2D4744ED"/>
    <w:rsid w:val="2DFB52D7"/>
    <w:rsid w:val="2F652FB2"/>
    <w:rsid w:val="31BB2DB3"/>
    <w:rsid w:val="3242046E"/>
    <w:rsid w:val="32BD6FFF"/>
    <w:rsid w:val="32F80037"/>
    <w:rsid w:val="333B5B9B"/>
    <w:rsid w:val="33F75884"/>
    <w:rsid w:val="357B797F"/>
    <w:rsid w:val="36896F32"/>
    <w:rsid w:val="38FD1EE1"/>
    <w:rsid w:val="3AE620F0"/>
    <w:rsid w:val="3B471D0D"/>
    <w:rsid w:val="3C930F82"/>
    <w:rsid w:val="3E401290"/>
    <w:rsid w:val="3F0F1503"/>
    <w:rsid w:val="436031DF"/>
    <w:rsid w:val="448D4A83"/>
    <w:rsid w:val="449138C6"/>
    <w:rsid w:val="44A468C6"/>
    <w:rsid w:val="471303DC"/>
    <w:rsid w:val="483766FE"/>
    <w:rsid w:val="487321B1"/>
    <w:rsid w:val="49D3062E"/>
    <w:rsid w:val="4DB27309"/>
    <w:rsid w:val="4EBA649D"/>
    <w:rsid w:val="51457177"/>
    <w:rsid w:val="51E74589"/>
    <w:rsid w:val="579D6934"/>
    <w:rsid w:val="587826B4"/>
    <w:rsid w:val="59C21180"/>
    <w:rsid w:val="5B0867BA"/>
    <w:rsid w:val="5C361105"/>
    <w:rsid w:val="5DD15589"/>
    <w:rsid w:val="61461DEA"/>
    <w:rsid w:val="63475B4E"/>
    <w:rsid w:val="6659611C"/>
    <w:rsid w:val="685077A7"/>
    <w:rsid w:val="689618A9"/>
    <w:rsid w:val="694977A2"/>
    <w:rsid w:val="6AB92E13"/>
    <w:rsid w:val="6BD526E8"/>
    <w:rsid w:val="6D6830E8"/>
    <w:rsid w:val="6F241291"/>
    <w:rsid w:val="6FFA0647"/>
    <w:rsid w:val="701337DF"/>
    <w:rsid w:val="70F93234"/>
    <w:rsid w:val="718434A6"/>
    <w:rsid w:val="76E252C5"/>
    <w:rsid w:val="7AE71AF0"/>
    <w:rsid w:val="7B362A78"/>
    <w:rsid w:val="7C1C7EBF"/>
    <w:rsid w:val="7D415C46"/>
    <w:rsid w:val="7EE139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5">
    <w:name w:val="font11"/>
    <w:basedOn w:val="4"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6">
    <w:name w:val="font21"/>
    <w:basedOn w:val="4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image" Target="media/image3.tiff"/><Relationship Id="rId6" Type="http://schemas.openxmlformats.org/officeDocument/2006/relationships/image" Target="media/image2.tiff"/><Relationship Id="rId5" Type="http://schemas.openxmlformats.org/officeDocument/2006/relationships/image" Target="media/image1.tiff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13</Pages>
  <Words>1675</Words>
  <Characters>13398</Characters>
  <Lines>0</Lines>
  <Paragraphs>0</Paragraphs>
  <TotalTime>2</TotalTime>
  <ScaleCrop>false</ScaleCrop>
  <LinksUpToDate>false</LinksUpToDate>
  <CharactersWithSpaces>14452</CharactersWithSpaces>
  <Application>WPS Office_11.1.0.11830_F1E327BC-269C-435d-A152-05C5408002CA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2022-01-10T02:50:00Z</dcterms:created>
  <dc:creator>遇见</dc:creator>
  <cp:lastModifiedBy>遇见</cp:lastModifiedBy>
  <dcterms:modified xsi:type="dcterms:W3CDTF">2022-07-13T01:36:16Z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2052-11.1.0.11830</vt:lpwstr>
  </property>
  <property fmtid="{D5CDD505-2E9C-101B-9397-08002B2CF9AE}" pid="3" name="ICV">
    <vt:lpwstr>A4553A3E13C348EA9E80342341A5FB2D</vt:lpwstr>
  </property>
</Properties>
</file>