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08B5" w14:textId="5931A399" w:rsidR="00A70B9A" w:rsidRPr="00F95B4C" w:rsidRDefault="00A70B9A" w:rsidP="00A70B9A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F95B4C">
        <w:rPr>
          <w:rFonts w:ascii="Times New Roman" w:eastAsia="Times New Roman" w:hAnsi="Times New Roman" w:cs="Times New Roman"/>
          <w:b/>
          <w:sz w:val="24"/>
        </w:rPr>
        <w:t>Supplementary Table</w:t>
      </w:r>
      <w:r w:rsidR="0052227E" w:rsidRPr="00F95B4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B1CA8" w:rsidRPr="00F95B4C">
        <w:rPr>
          <w:rFonts w:ascii="Times New Roman" w:eastAsia="Times New Roman" w:hAnsi="Times New Roman" w:cs="Times New Roman"/>
          <w:b/>
          <w:sz w:val="24"/>
        </w:rPr>
        <w:t>S1</w:t>
      </w:r>
      <w:r w:rsidRPr="00F95B4C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F95B4C">
        <w:rPr>
          <w:rFonts w:ascii="Times New Roman" w:eastAsia="Times New Roman" w:hAnsi="Times New Roman" w:cs="Times New Roman"/>
          <w:sz w:val="24"/>
        </w:rPr>
        <w:t>Univariable and multivariable time-varying Cox model analysis of covariates for progression-free survival in the combination therapy and monotherapy groups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4"/>
        <w:gridCol w:w="564"/>
        <w:gridCol w:w="958"/>
        <w:gridCol w:w="806"/>
        <w:gridCol w:w="282"/>
        <w:gridCol w:w="282"/>
        <w:gridCol w:w="989"/>
        <w:gridCol w:w="831"/>
        <w:gridCol w:w="239"/>
        <w:gridCol w:w="563"/>
        <w:gridCol w:w="957"/>
        <w:gridCol w:w="805"/>
        <w:gridCol w:w="281"/>
        <w:gridCol w:w="281"/>
        <w:gridCol w:w="989"/>
        <w:gridCol w:w="831"/>
      </w:tblGrid>
      <w:tr w:rsidR="00F95B4C" w:rsidRPr="00F95B4C" w14:paraId="65F72D35" w14:textId="77777777" w:rsidTr="00A70B9A">
        <w:trPr>
          <w:trHeight w:val="567"/>
        </w:trPr>
        <w:tc>
          <w:tcPr>
            <w:tcW w:w="1328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hideMark/>
          </w:tcPr>
          <w:p w14:paraId="5D53C4E5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</w:p>
        </w:tc>
        <w:tc>
          <w:tcPr>
            <w:tcW w:w="17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5676B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Patients with combination therapy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D791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B660F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Patients with monotherapy</w:t>
            </w:r>
          </w:p>
        </w:tc>
      </w:tr>
      <w:tr w:rsidR="00F95B4C" w:rsidRPr="00F95B4C" w14:paraId="252C9967" w14:textId="77777777" w:rsidTr="00A70B9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68E2956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9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D4B55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Univariate analysis</w:t>
            </w:r>
          </w:p>
        </w:tc>
        <w:tc>
          <w:tcPr>
            <w:tcW w:w="79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3D901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Multivariate analysis</w:t>
            </w:r>
          </w:p>
        </w:tc>
        <w:tc>
          <w:tcPr>
            <w:tcW w:w="91" w:type="pct"/>
          </w:tcPr>
          <w:p w14:paraId="59CC9E43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9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E0522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Univariate analysis</w:t>
            </w:r>
          </w:p>
        </w:tc>
        <w:tc>
          <w:tcPr>
            <w:tcW w:w="79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BB4AA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Multivariate analysis</w:t>
            </w:r>
          </w:p>
        </w:tc>
      </w:tr>
      <w:tr w:rsidR="00F95B4C" w:rsidRPr="00F95B4C" w14:paraId="690437CC" w14:textId="77777777" w:rsidTr="00A70B9A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B05D3FE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9A28D5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HR</w:t>
            </w:r>
          </w:p>
        </w:tc>
        <w:tc>
          <w:tcPr>
            <w:tcW w:w="36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C161DA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95% CI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77D371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i/>
                <w:sz w:val="16"/>
              </w:rPr>
              <w:t>P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value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9B80F0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HR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52561E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95% CI</w:t>
            </w:r>
          </w:p>
        </w:tc>
        <w:tc>
          <w:tcPr>
            <w:tcW w:w="31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62A878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i/>
                <w:sz w:val="16"/>
              </w:rPr>
              <w:t>P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value</w:t>
            </w:r>
          </w:p>
        </w:tc>
        <w:tc>
          <w:tcPr>
            <w:tcW w:w="91" w:type="pct"/>
          </w:tcPr>
          <w:p w14:paraId="089E3C5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97E41A1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HR</w:t>
            </w:r>
          </w:p>
        </w:tc>
        <w:tc>
          <w:tcPr>
            <w:tcW w:w="36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BA89DC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95% CI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EB97811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i/>
                <w:sz w:val="16"/>
              </w:rPr>
              <w:t>P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value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C3FF46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HR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C90C1A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95% CI</w:t>
            </w:r>
          </w:p>
        </w:tc>
        <w:tc>
          <w:tcPr>
            <w:tcW w:w="31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8630002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i/>
                <w:sz w:val="16"/>
              </w:rPr>
              <w:t>P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value</w:t>
            </w:r>
          </w:p>
        </w:tc>
      </w:tr>
      <w:tr w:rsidR="00F95B4C" w:rsidRPr="00F95B4C" w14:paraId="5CBBE8CE" w14:textId="77777777" w:rsidTr="00A70B9A">
        <w:trPr>
          <w:trHeight w:val="564"/>
        </w:trPr>
        <w:tc>
          <w:tcPr>
            <w:tcW w:w="1328" w:type="pct"/>
            <w:vAlign w:val="center"/>
            <w:hideMark/>
          </w:tcPr>
          <w:p w14:paraId="61DD7C9A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>Age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r w:rsidRPr="00F95B4C">
              <w:rPr>
                <w:rFonts w:ascii="ＭＳ Ｐ明朝" w:eastAsia="ＭＳ Ｐ明朝" w:hAnsi="ＭＳ Ｐ明朝" w:cs="ＭＳ Ｐ明朝" w:hint="eastAsia"/>
                <w:sz w:val="16"/>
              </w:rPr>
              <w:t>≤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>70y vs. &gt;70 y)</w:t>
            </w:r>
          </w:p>
        </w:tc>
        <w:tc>
          <w:tcPr>
            <w:tcW w:w="214" w:type="pct"/>
            <w:vAlign w:val="center"/>
          </w:tcPr>
          <w:p w14:paraId="0902049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2D765312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2F5DA0F2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35F441B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768A3FEE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30C3729E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1" w:type="pct"/>
          </w:tcPr>
          <w:p w14:paraId="5510D34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  <w:hideMark/>
          </w:tcPr>
          <w:p w14:paraId="0185B691" w14:textId="77777777" w:rsidR="00A70B9A" w:rsidRPr="00F95B4C" w:rsidRDefault="00A70B9A">
            <w:pPr>
              <w:widowControl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64" w:type="pct"/>
            <w:vAlign w:val="center"/>
          </w:tcPr>
          <w:p w14:paraId="01B98A82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460348B0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07085467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659AB115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7A885F4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95B4C" w:rsidRPr="00F95B4C" w14:paraId="0F52B7EE" w14:textId="77777777" w:rsidTr="00A70B9A">
        <w:trPr>
          <w:trHeight w:val="552"/>
        </w:trPr>
        <w:tc>
          <w:tcPr>
            <w:tcW w:w="1328" w:type="pct"/>
            <w:vAlign w:val="center"/>
            <w:hideMark/>
          </w:tcPr>
          <w:p w14:paraId="2FDF01BA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>Sex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(Male vs. Female)</w:t>
            </w:r>
          </w:p>
        </w:tc>
        <w:tc>
          <w:tcPr>
            <w:tcW w:w="214" w:type="pct"/>
            <w:vAlign w:val="center"/>
          </w:tcPr>
          <w:p w14:paraId="1951FCB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7958982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56D2C9D1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6F953E4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4B820999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56B6FF3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1" w:type="pct"/>
          </w:tcPr>
          <w:p w14:paraId="456A73AB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</w:tcPr>
          <w:p w14:paraId="1FE43CEB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1201B60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66B0D5ED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290BC575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43A2E39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5B02A3C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95B4C" w:rsidRPr="00F95B4C" w14:paraId="7E17B493" w14:textId="77777777" w:rsidTr="00A70B9A">
        <w:trPr>
          <w:trHeight w:val="552"/>
        </w:trPr>
        <w:tc>
          <w:tcPr>
            <w:tcW w:w="1328" w:type="pct"/>
            <w:vAlign w:val="center"/>
            <w:hideMark/>
          </w:tcPr>
          <w:p w14:paraId="7366F1BC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 xml:space="preserve">Performance status 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>(0-1 vs. ≥2)</w:t>
            </w:r>
          </w:p>
        </w:tc>
        <w:tc>
          <w:tcPr>
            <w:tcW w:w="214" w:type="pct"/>
            <w:vAlign w:val="center"/>
          </w:tcPr>
          <w:p w14:paraId="4F54B60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7FD8FB31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42298B4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4ED0DBA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3D87DD6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2046822E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1" w:type="pct"/>
          </w:tcPr>
          <w:p w14:paraId="4BFCE18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</w:tcPr>
          <w:p w14:paraId="3F659299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36B5D02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77FF101A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  <w:vAlign w:val="center"/>
            <w:hideMark/>
          </w:tcPr>
          <w:p w14:paraId="0F19AE8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1.18 </w:t>
            </w:r>
          </w:p>
        </w:tc>
        <w:tc>
          <w:tcPr>
            <w:tcW w:w="376" w:type="pct"/>
            <w:vAlign w:val="center"/>
            <w:hideMark/>
          </w:tcPr>
          <w:p w14:paraId="67495F43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0.51-2.71</w:t>
            </w:r>
          </w:p>
        </w:tc>
        <w:tc>
          <w:tcPr>
            <w:tcW w:w="316" w:type="pct"/>
            <w:vAlign w:val="center"/>
            <w:hideMark/>
          </w:tcPr>
          <w:p w14:paraId="04D86E9A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0.698 </w:t>
            </w:r>
          </w:p>
        </w:tc>
      </w:tr>
      <w:tr w:rsidR="00F95B4C" w:rsidRPr="00F95B4C" w14:paraId="2CD546DC" w14:textId="77777777" w:rsidTr="00A70B9A">
        <w:trPr>
          <w:trHeight w:val="552"/>
        </w:trPr>
        <w:tc>
          <w:tcPr>
            <w:tcW w:w="1328" w:type="pct"/>
            <w:vAlign w:val="center"/>
            <w:hideMark/>
          </w:tcPr>
          <w:p w14:paraId="6E77792A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>Histology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(non-SQ vs. SQ)</w:t>
            </w:r>
          </w:p>
        </w:tc>
        <w:tc>
          <w:tcPr>
            <w:tcW w:w="214" w:type="pct"/>
            <w:vAlign w:val="center"/>
          </w:tcPr>
          <w:p w14:paraId="78703392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037756D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144C024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430014C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752A6FA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780A7DE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1" w:type="pct"/>
          </w:tcPr>
          <w:p w14:paraId="458D337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</w:tcPr>
          <w:p w14:paraId="54FCB572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7DC9C65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40CB7922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  <w:vAlign w:val="center"/>
            <w:hideMark/>
          </w:tcPr>
          <w:p w14:paraId="58F2F2B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6.13 </w:t>
            </w:r>
          </w:p>
        </w:tc>
        <w:tc>
          <w:tcPr>
            <w:tcW w:w="376" w:type="pct"/>
            <w:vAlign w:val="center"/>
            <w:hideMark/>
          </w:tcPr>
          <w:p w14:paraId="7B56C08E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2.42-15.55</w:t>
            </w:r>
          </w:p>
        </w:tc>
        <w:tc>
          <w:tcPr>
            <w:tcW w:w="316" w:type="pct"/>
            <w:vAlign w:val="center"/>
            <w:hideMark/>
          </w:tcPr>
          <w:p w14:paraId="4A25F282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&lt;0.01</w:t>
            </w:r>
          </w:p>
        </w:tc>
      </w:tr>
      <w:tr w:rsidR="00F95B4C" w:rsidRPr="00F95B4C" w14:paraId="45490AA7" w14:textId="77777777" w:rsidTr="00A70B9A">
        <w:trPr>
          <w:trHeight w:val="552"/>
        </w:trPr>
        <w:tc>
          <w:tcPr>
            <w:tcW w:w="1328" w:type="pct"/>
            <w:vAlign w:val="center"/>
            <w:hideMark/>
          </w:tcPr>
          <w:p w14:paraId="0D0C3367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 xml:space="preserve">Postoperative recurrence 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>(Yes vs. No)</w:t>
            </w:r>
          </w:p>
        </w:tc>
        <w:tc>
          <w:tcPr>
            <w:tcW w:w="214" w:type="pct"/>
            <w:vAlign w:val="center"/>
          </w:tcPr>
          <w:p w14:paraId="281CA2D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6DA0540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3AC420F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1131021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2029F0D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040942B3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1" w:type="pct"/>
          </w:tcPr>
          <w:p w14:paraId="7250714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</w:tcPr>
          <w:p w14:paraId="131720CB" w14:textId="77777777" w:rsidR="00A70B9A" w:rsidRPr="00F95B4C" w:rsidRDefault="00A70B9A">
            <w:pPr>
              <w:widowControl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7951B76D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4EF6CCD4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6D1CC125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032AAA5F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16D6B0CB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95B4C" w:rsidRPr="00F95B4C" w14:paraId="72FE6E2A" w14:textId="77777777" w:rsidTr="00A70B9A">
        <w:trPr>
          <w:trHeight w:val="552"/>
        </w:trPr>
        <w:tc>
          <w:tcPr>
            <w:tcW w:w="1328" w:type="pct"/>
            <w:vAlign w:val="center"/>
            <w:hideMark/>
          </w:tcPr>
          <w:p w14:paraId="1E2A8E46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>PD-L1 TPS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(≥50% vs. &lt;50% or unknown)</w:t>
            </w:r>
          </w:p>
        </w:tc>
        <w:tc>
          <w:tcPr>
            <w:tcW w:w="214" w:type="pct"/>
            <w:vAlign w:val="center"/>
          </w:tcPr>
          <w:p w14:paraId="61A0D29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71BBEFC7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  <w:hideMark/>
          </w:tcPr>
          <w:p w14:paraId="51EA87F9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14" w:type="pct"/>
            <w:gridSpan w:val="2"/>
            <w:vAlign w:val="center"/>
            <w:hideMark/>
          </w:tcPr>
          <w:p w14:paraId="2D6F3DD7" w14:textId="77777777" w:rsidR="00A70B9A" w:rsidRPr="00F95B4C" w:rsidRDefault="00A70B9A">
            <w:pPr>
              <w:widowControl/>
              <w:jc w:val="center"/>
              <w:rPr>
                <w:rFonts w:ascii="Times New Roman" w:hAnsi="Times New Roman" w:cs="Times New Roman"/>
                <w:sz w:val="16"/>
              </w:rPr>
            </w:pPr>
            <w:r w:rsidRPr="00F95B4C">
              <w:rPr>
                <w:rFonts w:ascii="Times New Roman" w:hAnsi="Times New Roman" w:cs="Times New Roman"/>
                <w:sz w:val="16"/>
              </w:rPr>
              <w:t>1.98</w:t>
            </w:r>
          </w:p>
        </w:tc>
        <w:tc>
          <w:tcPr>
            <w:tcW w:w="376" w:type="pct"/>
            <w:vAlign w:val="center"/>
            <w:hideMark/>
          </w:tcPr>
          <w:p w14:paraId="1FA4278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0.85-4.62</w:t>
            </w:r>
          </w:p>
        </w:tc>
        <w:tc>
          <w:tcPr>
            <w:tcW w:w="316" w:type="pct"/>
            <w:vAlign w:val="center"/>
            <w:hideMark/>
          </w:tcPr>
          <w:p w14:paraId="778DA91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0.395</w:t>
            </w:r>
          </w:p>
        </w:tc>
        <w:tc>
          <w:tcPr>
            <w:tcW w:w="91" w:type="pct"/>
          </w:tcPr>
          <w:p w14:paraId="109C5D3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vAlign w:val="center"/>
          </w:tcPr>
          <w:p w14:paraId="59B04DF5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4" w:type="pct"/>
            <w:vAlign w:val="center"/>
          </w:tcPr>
          <w:p w14:paraId="5BABA77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6" w:type="pct"/>
            <w:vAlign w:val="center"/>
          </w:tcPr>
          <w:p w14:paraId="6343620E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gridSpan w:val="2"/>
          </w:tcPr>
          <w:p w14:paraId="2B15A248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6" w:type="pct"/>
          </w:tcPr>
          <w:p w14:paraId="77FF6CE9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6" w:type="pct"/>
          </w:tcPr>
          <w:p w14:paraId="1D020ECC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95B4C" w:rsidRPr="00F95B4C" w14:paraId="2669BDF9" w14:textId="77777777" w:rsidTr="00A70B9A">
        <w:trPr>
          <w:trHeight w:val="552"/>
        </w:trPr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53B18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b/>
                <w:sz w:val="16"/>
              </w:rPr>
              <w:t xml:space="preserve">The presence of irAE </w:t>
            </w:r>
            <w:r w:rsidRPr="00F95B4C">
              <w:rPr>
                <w:rFonts w:ascii="Times New Roman" w:eastAsia="Times New Roman" w:hAnsi="Times New Roman" w:cs="Times New Roman"/>
                <w:sz w:val="16"/>
              </w:rPr>
              <w:t>(Yes vs. No; Time-Varying)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8C8B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7A79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0.43-1.65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3E573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0.610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6667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0.74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5232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0.37-1.49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2F6D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0.385 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4AE96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A7C78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 xml:space="preserve">0.53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5E87A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0.28-0.99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C464D7" w14:textId="77777777" w:rsidR="00A70B9A" w:rsidRPr="00F95B4C" w:rsidRDefault="00A70B9A">
            <w:pPr>
              <w:widowControl/>
              <w:jc w:val="left"/>
              <w:rPr>
                <w:rFonts w:ascii="Times New Roman" w:hAnsi="Times New Roman" w:cs="Times New Roman"/>
                <w:sz w:val="16"/>
              </w:rPr>
            </w:pPr>
            <w:r w:rsidRPr="00F95B4C">
              <w:rPr>
                <w:rFonts w:ascii="Times New Roman" w:hAnsi="Times New Roman" w:cs="Times New Roman"/>
                <w:sz w:val="16"/>
              </w:rPr>
              <w:t>0.046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D61C0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0.42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BCDD4" w14:textId="77777777" w:rsidR="00A70B9A" w:rsidRPr="00F95B4C" w:rsidRDefault="00A70B9A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0.21-0.85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41802" w14:textId="77777777" w:rsidR="00A70B9A" w:rsidRPr="00F95B4C" w:rsidRDefault="00A70B9A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  <w:r w:rsidRPr="00F95B4C">
              <w:rPr>
                <w:rFonts w:ascii="Times New Roman" w:eastAsia="Times New Roman" w:hAnsi="Times New Roman" w:cs="Times New Roman"/>
                <w:sz w:val="16"/>
              </w:rPr>
              <w:t>0.017</w:t>
            </w:r>
          </w:p>
        </w:tc>
      </w:tr>
    </w:tbl>
    <w:p w14:paraId="2AD57F3A" w14:textId="0FBFDD49" w:rsidR="00314406" w:rsidRPr="00F95B4C" w:rsidRDefault="00A70B9A" w:rsidP="00D5660A">
      <w:pPr>
        <w:spacing w:line="480" w:lineRule="auto"/>
        <w:rPr>
          <w:rFonts w:ascii="Times New Roman" w:hAnsi="Times New Roman" w:cs="Times New Roman"/>
          <w:sz w:val="24"/>
        </w:rPr>
      </w:pPr>
      <w:r w:rsidRPr="00F95B4C">
        <w:rPr>
          <w:rFonts w:ascii="Times New Roman" w:eastAsia="Times New Roman" w:hAnsi="Times New Roman" w:cs="Times New Roman"/>
          <w:sz w:val="24"/>
        </w:rPr>
        <w:t>Abbreviations: HR, hazard ratio; CI, confidence interval; SQ, squamous cell carcinoma; PD-L1 TPS, programmed cell death 1- ligand 1 tumor proportion score; irAE, immune-related adverse events.</w:t>
      </w:r>
    </w:p>
    <w:sectPr w:rsidR="00314406" w:rsidRPr="00F95B4C" w:rsidSect="00694BF5">
      <w:footerReference w:type="default" r:id="rId8"/>
      <w:pgSz w:w="16838" w:h="11906" w:orient="landscape"/>
      <w:pgMar w:top="1701" w:right="1701" w:bottom="1701" w:left="1985" w:header="851" w:footer="992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2C40" w14:textId="77777777" w:rsidR="00904029" w:rsidRDefault="00904029">
      <w:r>
        <w:separator/>
      </w:r>
    </w:p>
  </w:endnote>
  <w:endnote w:type="continuationSeparator" w:id="0">
    <w:p w14:paraId="40E3F9F1" w14:textId="77777777" w:rsidR="00904029" w:rsidRDefault="0090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2A87" w14:textId="60AB4F4F" w:rsidR="00314406" w:rsidRDefault="006C7C00">
    <w:pPr>
      <w:pStyle w:val="a8"/>
      <w:jc w:val="center"/>
      <w:rPr>
        <w:rFonts w:ascii="游明朝" w:eastAsia="游明朝" w:hAnsi="游明朝" w:cs="游明朝"/>
      </w:rPr>
    </w:pPr>
    <w:r>
      <w:fldChar w:fldCharType="begin"/>
    </w:r>
    <w:r>
      <w:instrText>PAGE   \* MERGEFORMAT</w:instrText>
    </w:r>
    <w:r>
      <w:fldChar w:fldCharType="separate"/>
    </w:r>
    <w:r w:rsidR="00DE0A5C" w:rsidRPr="00DE0A5C">
      <w:rPr>
        <w:rFonts w:ascii="游明朝" w:eastAsia="游明朝" w:hAnsi="游明朝" w:cs="游明朝"/>
        <w:noProof/>
      </w:rPr>
      <w:t>32</w:t>
    </w:r>
    <w:r>
      <w:rPr>
        <w:rFonts w:ascii="游明朝" w:eastAsia="游明朝" w:hAnsi="游明朝" w:cs="游明朝"/>
      </w:rPr>
      <w:fldChar w:fldCharType="end"/>
    </w:r>
  </w:p>
  <w:p w14:paraId="5B6B47BF" w14:textId="77777777" w:rsidR="00314406" w:rsidRDefault="003144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09C0" w14:textId="77777777" w:rsidR="00904029" w:rsidRDefault="00904029">
      <w:r>
        <w:separator/>
      </w:r>
    </w:p>
  </w:footnote>
  <w:footnote w:type="continuationSeparator" w:id="0">
    <w:p w14:paraId="6F30457D" w14:textId="77777777" w:rsidR="00904029" w:rsidRDefault="00904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76375"/>
    <w:multiLevelType w:val="multilevel"/>
    <w:tmpl w:val="8FBA75B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A406C5A"/>
    <w:multiLevelType w:val="multilevel"/>
    <w:tmpl w:val="11F0A828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D0C3D27"/>
    <w:multiLevelType w:val="multilevel"/>
    <w:tmpl w:val="80024648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19AE68E4"/>
    <w:multiLevelType w:val="multilevel"/>
    <w:tmpl w:val="7EE8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254B5"/>
    <w:multiLevelType w:val="multilevel"/>
    <w:tmpl w:val="BB8457BA"/>
    <w:lvl w:ilvl="0">
      <w:start w:val="1"/>
      <w:numFmt w:val="decimal"/>
      <w:lvlText w:val="★"/>
      <w:lvlJc w:val="left"/>
      <w:pPr>
        <w:ind w:left="1200" w:hanging="360"/>
      </w:pPr>
      <w:rPr>
        <w:rFonts w:ascii="游明朝" w:eastAsia="游明朝" w:hAnsi="游明朝" w:cs="游明朝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363A0CF2"/>
    <w:multiLevelType w:val="multilevel"/>
    <w:tmpl w:val="8C0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418DA"/>
    <w:multiLevelType w:val="multilevel"/>
    <w:tmpl w:val="1FBCEEC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3A4C3409"/>
    <w:multiLevelType w:val="multilevel"/>
    <w:tmpl w:val="F64A18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539418FD"/>
    <w:multiLevelType w:val="multilevel"/>
    <w:tmpl w:val="A2FC42C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53967AAE"/>
    <w:multiLevelType w:val="multilevel"/>
    <w:tmpl w:val="631A54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59C40699"/>
    <w:multiLevelType w:val="multilevel"/>
    <w:tmpl w:val="86341A6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60D8058E"/>
    <w:multiLevelType w:val="multilevel"/>
    <w:tmpl w:val="A5A086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1380278328">
    <w:abstractNumId w:val="4"/>
  </w:num>
  <w:num w:numId="2" w16cid:durableId="1353342038">
    <w:abstractNumId w:val="1"/>
  </w:num>
  <w:num w:numId="3" w16cid:durableId="1572078318">
    <w:abstractNumId w:val="10"/>
  </w:num>
  <w:num w:numId="4" w16cid:durableId="642000482">
    <w:abstractNumId w:val="6"/>
  </w:num>
  <w:num w:numId="5" w16cid:durableId="632979336">
    <w:abstractNumId w:val="7"/>
  </w:num>
  <w:num w:numId="6" w16cid:durableId="535970515">
    <w:abstractNumId w:val="9"/>
  </w:num>
  <w:num w:numId="7" w16cid:durableId="163739610">
    <w:abstractNumId w:val="0"/>
  </w:num>
  <w:num w:numId="8" w16cid:durableId="675573415">
    <w:abstractNumId w:val="8"/>
  </w:num>
  <w:num w:numId="9" w16cid:durableId="392002888">
    <w:abstractNumId w:val="11"/>
  </w:num>
  <w:num w:numId="10" w16cid:durableId="78407768">
    <w:abstractNumId w:val="2"/>
  </w:num>
  <w:num w:numId="11" w16cid:durableId="2042313404">
    <w:abstractNumId w:val="3"/>
  </w:num>
  <w:num w:numId="12" w16cid:durableId="1242566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yMzUwNTAysDQ1NbdU0lEKTi0uzszPAykwqgUABru49SwAAAA="/>
  </w:docVars>
  <w:rsids>
    <w:rsidRoot w:val="00314406"/>
    <w:rsid w:val="00007B11"/>
    <w:rsid w:val="00044945"/>
    <w:rsid w:val="00065975"/>
    <w:rsid w:val="000B1823"/>
    <w:rsid w:val="000B28A9"/>
    <w:rsid w:val="000D5DF7"/>
    <w:rsid w:val="000E3124"/>
    <w:rsid w:val="000F5B10"/>
    <w:rsid w:val="000F5D27"/>
    <w:rsid w:val="001400D3"/>
    <w:rsid w:val="00151A7A"/>
    <w:rsid w:val="00185C4C"/>
    <w:rsid w:val="00202388"/>
    <w:rsid w:val="00217574"/>
    <w:rsid w:val="002C32FF"/>
    <w:rsid w:val="002E467D"/>
    <w:rsid w:val="003072BA"/>
    <w:rsid w:val="00314406"/>
    <w:rsid w:val="003179FE"/>
    <w:rsid w:val="00327814"/>
    <w:rsid w:val="00353540"/>
    <w:rsid w:val="0035560E"/>
    <w:rsid w:val="00366542"/>
    <w:rsid w:val="003749E8"/>
    <w:rsid w:val="004A3005"/>
    <w:rsid w:val="004D0317"/>
    <w:rsid w:val="004E09DE"/>
    <w:rsid w:val="0052227E"/>
    <w:rsid w:val="0054769A"/>
    <w:rsid w:val="00562D47"/>
    <w:rsid w:val="005701DD"/>
    <w:rsid w:val="0057440F"/>
    <w:rsid w:val="00575C5C"/>
    <w:rsid w:val="005A0B87"/>
    <w:rsid w:val="005A19DD"/>
    <w:rsid w:val="005B109C"/>
    <w:rsid w:val="005C26AE"/>
    <w:rsid w:val="005C38EF"/>
    <w:rsid w:val="005C799D"/>
    <w:rsid w:val="005F72D3"/>
    <w:rsid w:val="00657AFB"/>
    <w:rsid w:val="006678C0"/>
    <w:rsid w:val="00673238"/>
    <w:rsid w:val="00694BF5"/>
    <w:rsid w:val="00695D9E"/>
    <w:rsid w:val="006C0A57"/>
    <w:rsid w:val="006C7C00"/>
    <w:rsid w:val="006F24F2"/>
    <w:rsid w:val="00700253"/>
    <w:rsid w:val="007454A8"/>
    <w:rsid w:val="00785B74"/>
    <w:rsid w:val="007F78DF"/>
    <w:rsid w:val="008151D8"/>
    <w:rsid w:val="00891362"/>
    <w:rsid w:val="008C25AE"/>
    <w:rsid w:val="008C5CFA"/>
    <w:rsid w:val="008D1A0C"/>
    <w:rsid w:val="008D5D93"/>
    <w:rsid w:val="00904029"/>
    <w:rsid w:val="0091244D"/>
    <w:rsid w:val="00932335"/>
    <w:rsid w:val="00984CE8"/>
    <w:rsid w:val="00990626"/>
    <w:rsid w:val="009E15B5"/>
    <w:rsid w:val="009F470C"/>
    <w:rsid w:val="009F5BEC"/>
    <w:rsid w:val="00A025B8"/>
    <w:rsid w:val="00A163AA"/>
    <w:rsid w:val="00A43C45"/>
    <w:rsid w:val="00A4761B"/>
    <w:rsid w:val="00A70B9A"/>
    <w:rsid w:val="00AA1CC7"/>
    <w:rsid w:val="00AC216E"/>
    <w:rsid w:val="00AC2B9F"/>
    <w:rsid w:val="00B50E69"/>
    <w:rsid w:val="00B861F3"/>
    <w:rsid w:val="00B906A9"/>
    <w:rsid w:val="00BA3F8D"/>
    <w:rsid w:val="00BA68BD"/>
    <w:rsid w:val="00BA7791"/>
    <w:rsid w:val="00C43B1D"/>
    <w:rsid w:val="00C60425"/>
    <w:rsid w:val="00C74522"/>
    <w:rsid w:val="00CB3E09"/>
    <w:rsid w:val="00D0724C"/>
    <w:rsid w:val="00D1708B"/>
    <w:rsid w:val="00D5660A"/>
    <w:rsid w:val="00D63593"/>
    <w:rsid w:val="00D662DC"/>
    <w:rsid w:val="00D762FA"/>
    <w:rsid w:val="00DA7464"/>
    <w:rsid w:val="00DB1CA8"/>
    <w:rsid w:val="00DC2A64"/>
    <w:rsid w:val="00DC49D6"/>
    <w:rsid w:val="00DD63A0"/>
    <w:rsid w:val="00DE0A5C"/>
    <w:rsid w:val="00DF04BD"/>
    <w:rsid w:val="00DF5D47"/>
    <w:rsid w:val="00E1539B"/>
    <w:rsid w:val="00E454E4"/>
    <w:rsid w:val="00E808EB"/>
    <w:rsid w:val="00EA7A76"/>
    <w:rsid w:val="00EB54F3"/>
    <w:rsid w:val="00ED6E5B"/>
    <w:rsid w:val="00F120D9"/>
    <w:rsid w:val="00F131FC"/>
    <w:rsid w:val="00F23D08"/>
    <w:rsid w:val="00F2434F"/>
    <w:rsid w:val="00F95B4C"/>
    <w:rsid w:val="00FA6FBA"/>
    <w:rsid w:val="00FB4BCD"/>
    <w:rsid w:val="00FC0F8D"/>
    <w:rsid w:val="00FD22AF"/>
    <w:rsid w:val="00FE34FF"/>
    <w:rsid w:val="00FF376E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B950B"/>
  <w15:docId w15:val="{1BFC300B-A762-4D86-8E1F-66647C53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"/>
    </w:rPr>
  </w:style>
  <w:style w:type="paragraph" w:styleId="1">
    <w:name w:val="heading 1"/>
    <w:basedOn w:val="a"/>
    <w:next w:val="a"/>
    <w:link w:val="10"/>
    <w:uiPriority w:val="99"/>
    <w:rsid w:val="00D1708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9"/>
    <w:rsid w:val="005701D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9"/>
    <w:rsid w:val="009E15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1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1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uiPriority w:val="99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rPr>
      <w:rFonts w:ascii="游明朝" w:eastAsia="游明朝" w:hAnsi="游明朝" w:cs="游明朝"/>
      <w:sz w:val="20"/>
    </w:rPr>
  </w:style>
  <w:style w:type="character" w:styleId="a9">
    <w:name w:val="Placeholder Text"/>
    <w:basedOn w:val="a0"/>
    <w:rPr>
      <w:color w:val="808080"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rPr>
      <w:color w:val="0000FF"/>
      <w:u w:val="singl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highlight">
    <w:name w:val="highlight"/>
    <w:basedOn w:val="a0"/>
  </w:style>
  <w:style w:type="paragraph" w:styleId="ac">
    <w:name w:val="annotation text"/>
    <w:basedOn w:val="a"/>
    <w:link w:val="ad"/>
    <w:uiPriority w:val="99"/>
    <w:pPr>
      <w:jc w:val="left"/>
    </w:pPr>
    <w:rPr>
      <w:rFonts w:ascii="Calibri" w:eastAsia="Calibri" w:hAnsi="Calibri" w:cs="Calibri"/>
      <w:sz w:val="20"/>
    </w:rPr>
  </w:style>
  <w:style w:type="paragraph" w:styleId="ae">
    <w:name w:val="annotation subject"/>
    <w:basedOn w:val="ac"/>
    <w:rPr>
      <w:b/>
    </w:rPr>
  </w:style>
  <w:style w:type="paragraph" w:styleId="af">
    <w:name w:val="Balloon Text"/>
    <w:basedOn w:val="a"/>
    <w:rPr>
      <w:rFonts w:ascii="游ゴシック Light" w:eastAsia="游ゴシック Light" w:hAnsi="游ゴシック Light" w:cs="游ゴシック Light"/>
      <w:sz w:val="18"/>
    </w:rPr>
  </w:style>
  <w:style w:type="paragraph" w:styleId="af0">
    <w:name w:val="List Paragraph"/>
    <w:basedOn w:val="a"/>
    <w:pPr>
      <w:ind w:left="840"/>
    </w:pPr>
  </w:style>
  <w:style w:type="character" w:styleId="af1">
    <w:name w:val="line number"/>
    <w:basedOn w:val="a0"/>
  </w:style>
  <w:style w:type="character" w:customStyle="1" w:styleId="period">
    <w:name w:val="period"/>
    <w:basedOn w:val="a0"/>
  </w:style>
  <w:style w:type="character" w:customStyle="1" w:styleId="cit">
    <w:name w:val="cit"/>
    <w:basedOn w:val="a0"/>
  </w:style>
  <w:style w:type="paragraph" w:styleId="af2">
    <w:name w:val="Revision"/>
  </w:style>
  <w:style w:type="character" w:styleId="af3">
    <w:name w:val="Strong"/>
    <w:basedOn w:val="a0"/>
    <w:qFormat/>
    <w:rPr>
      <w:b/>
    </w:rPr>
  </w:style>
  <w:style w:type="paragraph" w:styleId="af4">
    <w:name w:val="footnote text"/>
    <w:basedOn w:val="a"/>
    <w:rPr>
      <w:sz w:val="2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</w:style>
  <w:style w:type="character" w:customStyle="1" w:styleId="Postcode">
    <w:name w:val="Postcode"/>
    <w:basedOn w:val="a0"/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styleId="2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</w:style>
  <w:style w:type="paragraph" w:styleId="af5">
    <w:name w:val="endnote text"/>
    <w:basedOn w:val="a"/>
    <w:rPr>
      <w:rFonts w:ascii="Calibri" w:eastAsia="Calibri" w:hAnsi="Calibri" w:cs="Calibri"/>
    </w:rPr>
  </w:style>
  <w:style w:type="paragraph" w:styleId="af6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</w:style>
  <w:style w:type="character" w:customStyle="1" w:styleId="City">
    <w:name w:val="City"/>
    <w:basedOn w:val="a0"/>
  </w:style>
  <w:style w:type="character" w:customStyle="1" w:styleId="Region">
    <w:name w:val="Region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</w:style>
  <w:style w:type="paragraph" w:styleId="af7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character" w:customStyle="1" w:styleId="IssueNumber">
    <w:name w:val="Issue Number"/>
    <w:basedOn w:val="a0"/>
  </w:style>
  <w:style w:type="paragraph" w:styleId="af8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32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f9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</w:style>
  <w:style w:type="paragraph" w:styleId="afa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customStyle="1" w:styleId="12">
    <w:name w:val="未解決のメンション1"/>
    <w:basedOn w:val="a0"/>
    <w:rPr>
      <w:color w:val="605E5C"/>
    </w:rPr>
  </w:style>
  <w:style w:type="character" w:customStyle="1" w:styleId="30">
    <w:name w:val="見出し 3 (文字)"/>
    <w:basedOn w:val="a0"/>
    <w:link w:val="3"/>
    <w:uiPriority w:val="99"/>
    <w:rsid w:val="009E15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"/>
    </w:rPr>
  </w:style>
  <w:style w:type="character" w:customStyle="1" w:styleId="10">
    <w:name w:val="見出し 1 (文字)"/>
    <w:basedOn w:val="a0"/>
    <w:link w:val="1"/>
    <w:uiPriority w:val="99"/>
    <w:rsid w:val="00D1708B"/>
    <w:rPr>
      <w:rFonts w:asciiTheme="majorHAnsi" w:eastAsiaTheme="majorEastAsia" w:hAnsiTheme="majorHAnsi" w:cstheme="majorBidi"/>
      <w:sz w:val="24"/>
      <w:szCs w:val="24"/>
      <w:lang w:val=""/>
    </w:rPr>
  </w:style>
  <w:style w:type="character" w:customStyle="1" w:styleId="20">
    <w:name w:val="見出し 2 (文字)"/>
    <w:basedOn w:val="a0"/>
    <w:link w:val="2"/>
    <w:uiPriority w:val="99"/>
    <w:rsid w:val="005701DD"/>
    <w:rPr>
      <w:rFonts w:asciiTheme="majorHAnsi" w:eastAsiaTheme="majorEastAsia" w:hAnsiTheme="majorHAnsi" w:cstheme="majorBidi"/>
      <w:lang w:val=""/>
    </w:rPr>
  </w:style>
  <w:style w:type="character" w:customStyle="1" w:styleId="ad">
    <w:name w:val="コメント文字列 (文字)"/>
    <w:basedOn w:val="a0"/>
    <w:link w:val="ac"/>
    <w:uiPriority w:val="99"/>
    <w:rsid w:val="00A70B9A"/>
    <w:rPr>
      <w:rFonts w:ascii="Calibri" w:eastAsia="Calibri" w:hAnsi="Calibri" w:cs="Calibri"/>
      <w:sz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F8B7-D8BC-4431-8E05-41321AED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896</Characters>
  <Application>Microsoft Office Word</Application>
  <DocSecurity>0</DocSecurity>
  <Lines>18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SATHIYA DEVI</dc:creator>
  <cp:lastModifiedBy>Kurokawa Kana</cp:lastModifiedBy>
  <cp:revision>4</cp:revision>
  <dcterms:created xsi:type="dcterms:W3CDTF">2022-08-03T12:41:00Z</dcterms:created>
  <dcterms:modified xsi:type="dcterms:W3CDTF">2022-08-03T12:50:00Z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5552</vt:lpwstr>
  </property>
  <property fmtid="{D5CDD505-2E9C-101B-9397-08002B2CF9AE}" pid="16" name="Merops references count">
    <vt:lpwstr>21</vt:lpwstr>
  </property>
  <property fmtid="{D5CDD505-2E9C-101B-9397-08002B2CF9AE}" pid="17" name="Merops PubMed links count">
    <vt:lpwstr>1</vt:lpwstr>
  </property>
  <property fmtid="{D5CDD505-2E9C-101B-9397-08002B2CF9AE}" pid="18" name="Merops DOI links count">
    <vt:lpwstr>21</vt:lpwstr>
  </property>
  <property fmtid="{D5CDD505-2E9C-101B-9397-08002B2CF9AE}" pid="19" name="Merops tables count">
    <vt:lpwstr>5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2022/03/08 01:37:39 AM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grammarly_documentId">
    <vt:lpwstr>documentId_6180</vt:lpwstr>
  </property>
  <property fmtid="{D5CDD505-2E9C-101B-9397-08002B2CF9AE}" pid="35" name="grammarly_documentContext">
    <vt:lpwstr>{"goals":["inform","describe","convince"],"domain":"academic","emotions":["confident","analytical"],"dialect":"american","audience":"expert","style":"formal"}</vt:lpwstr>
  </property>
  <property fmtid="{D5CDD505-2E9C-101B-9397-08002B2CF9AE}" pid="36" name="Merops comment count">
    <vt:lpwstr>0</vt:lpwstr>
  </property>
  <property fmtid="{D5CDD505-2E9C-101B-9397-08002B2CF9AE}" pid="37" name="Merops change count">
    <vt:lpwstr>259</vt:lpwstr>
  </property>
</Properties>
</file>