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6527165"/>
            <wp:effectExtent l="0" t="0" r="11430" b="635"/>
            <wp:docPr id="1" name="图片 1" descr="Supplementary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52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i w:val="0"/>
          <w:iCs w:val="0"/>
          <w:sz w:val="24"/>
          <w:szCs w:val="24"/>
          <w:lang w:eastAsia="zh-CN"/>
        </w:rPr>
        <w:t xml:space="preserve">Supplementary Figure 2: 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Survival analysis, methylated sites and immune infiltration analysis of hub nAChRs. Survival analysis based on the expression of (A) α5, (B)α9, and (C) β4 nAChRs in all HNSCC patients; Methylated sites of (D) α5, (E)α9, and (F) β4 nAChRs in all HNSCC patients; Immune infiltration analysis based on the expression of (G) α5, (H)α9, and (I) β4 nAChRs in HNSCC patients.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95142B"/>
    <w:rsid w:val="4B95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2022-09-05T09:31:00Z</dcterms:created>
  <dc:creator>syj</dc:creator>
  <cp:lastModifiedBy>syj</cp:lastModifiedBy>
  <dcterms:modified xsi:type="dcterms:W3CDTF">2022-09-05T09:33:06Z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</Properties>
</file>