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33797" w14:textId="77777777" w:rsidR="00227245" w:rsidRPr="00F83174" w:rsidRDefault="00227245" w:rsidP="00227245">
      <w:pPr>
        <w:pStyle w:val="MDPI62BackMatter"/>
        <w:spacing w:before="240" w:afterLines="120" w:after="288" w:line="480" w:lineRule="auto"/>
        <w:ind w:left="0"/>
        <w:contextualSpacing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F83174">
        <w:rPr>
          <w:rFonts w:ascii="Times New Roman" w:hAnsi="Times New Roman"/>
          <w:b/>
          <w:color w:val="0D0D0D" w:themeColor="text1" w:themeTint="F2"/>
          <w:sz w:val="28"/>
          <w:szCs w:val="28"/>
        </w:rPr>
        <w:t>Supplementary Materials</w:t>
      </w:r>
    </w:p>
    <w:p w14:paraId="57288A60" w14:textId="77777777" w:rsidR="00227245" w:rsidRPr="00D27677" w:rsidRDefault="00227245" w:rsidP="00227245">
      <w:pPr>
        <w:pStyle w:val="MDPI62BackMatter"/>
        <w:spacing w:before="240" w:afterLines="120" w:after="288" w:line="480" w:lineRule="auto"/>
        <w:ind w:left="0"/>
        <w:contextualSpacing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 xml:space="preserve">Supplementary 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 xml:space="preserve">Table 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>S1. Patient clinical records.</w:t>
      </w:r>
    </w:p>
    <w:p w14:paraId="49515BA4" w14:textId="77777777" w:rsidR="00227245" w:rsidRPr="00D27677" w:rsidRDefault="00227245" w:rsidP="00227245">
      <w:pPr>
        <w:pStyle w:val="MDPI62BackMatter"/>
        <w:spacing w:before="240" w:afterLines="120" w:after="288" w:line="480" w:lineRule="auto"/>
        <w:ind w:left="0"/>
        <w:contextualSpacing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 xml:space="preserve">Supplementary 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>Table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 xml:space="preserve"> S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>2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 xml:space="preserve">. BES for replicates (rank and absolute values with standard deviation). </w:t>
      </w:r>
    </w:p>
    <w:p w14:paraId="51358974" w14:textId="77777777" w:rsidR="00227245" w:rsidRPr="00D27677" w:rsidRDefault="00227245" w:rsidP="00227245">
      <w:pPr>
        <w:pStyle w:val="MDPI62BackMatter"/>
        <w:spacing w:before="240" w:afterLines="120" w:after="288" w:line="480" w:lineRule="auto"/>
        <w:ind w:left="0"/>
        <w:contextualSpacing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 xml:space="preserve">Supplementary 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>Table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 xml:space="preserve"> S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>3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 xml:space="preserve">. Association of 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>gene expression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 xml:space="preserve"> levels and PFS in the experimental, Syn2623706 and TCGA </w:t>
      </w:r>
      <w:proofErr w:type="gramStart"/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>datasets..</w:t>
      </w:r>
      <w:proofErr w:type="gramEnd"/>
    </w:p>
    <w:p w14:paraId="0DE7100B" w14:textId="77777777" w:rsidR="00227245" w:rsidRPr="00D27677" w:rsidRDefault="00227245" w:rsidP="00227245">
      <w:pPr>
        <w:pStyle w:val="MDPI62BackMatter"/>
        <w:spacing w:before="240" w:afterLines="120" w:after="288" w:line="480" w:lineRule="auto"/>
        <w:ind w:left="0"/>
        <w:contextualSpacing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 xml:space="preserve">Supplementary 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 xml:space="preserve">Table 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>S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>4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</w:rPr>
        <w:t>. Association of pathway activation levels and PFS in the experimental, Syn2623706 and TCGA datasets.</w:t>
      </w:r>
    </w:p>
    <w:p w14:paraId="745F34DC" w14:textId="77777777" w:rsidR="00227245" w:rsidRPr="00D27677" w:rsidRDefault="00227245" w:rsidP="00227245">
      <w:pPr>
        <w:pStyle w:val="MDPI62BackMatter"/>
        <w:spacing w:before="240" w:afterLines="120" w:after="288" w:line="480" w:lineRule="auto"/>
        <w:ind w:left="0"/>
        <w:contextualSpacing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D27677"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 xml:space="preserve">Supplementary </w:t>
      </w:r>
      <w:r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>Figure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 xml:space="preserve"> S</w:t>
      </w:r>
      <w:r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>1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>. Clustering and data quality assessment of experimental RNA sequencing profiles. All analyses were performed in the space of log10-transformed DESeq2-normalyzed read counts. (a) - Principal Component Analysis of 14 samples of interest (CRC), four replicates of sample CC-9, six samples of normal colon and six samples of normal liver from ANTE database. (b) – correlation plot between four technical replicates of CC-9 sample. Bottom left side shows gene-wise correlations among replicates, top right side shows Person correlation coefficients. (</w:t>
      </w:r>
      <w:r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>c</w:t>
      </w:r>
      <w:r w:rsidRPr="00D27677"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 xml:space="preserve">) – hierarchical clustering of experimental CRC samples, CC-9 sample replicates, normal </w:t>
      </w:r>
      <w:proofErr w:type="gramStart"/>
      <w:r w:rsidRPr="00D27677"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>colon</w:t>
      </w:r>
      <w:proofErr w:type="gramEnd"/>
      <w:r w:rsidRPr="00D27677"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 xml:space="preserve"> and normal liver samples. Dendrogram was built using ward.d2 method and Euclidean distance. Bar height shows log10-transformed number of </w:t>
      </w:r>
      <w:proofErr w:type="gramStart"/>
      <w:r w:rsidRPr="00D27677"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>sequencing</w:t>
      </w:r>
      <w:proofErr w:type="gramEnd"/>
      <w:r w:rsidRPr="00D27677">
        <w:rPr>
          <w:rFonts w:ascii="Times New Roman" w:hAnsi="Times New Roman"/>
          <w:color w:val="0D0D0D" w:themeColor="text1" w:themeTint="F2"/>
          <w:sz w:val="22"/>
          <w:szCs w:val="22"/>
          <w:lang w:eastAsia="de-DE"/>
        </w:rPr>
        <w:t xml:space="preserve"> reads uniquely mapped on genes.</w:t>
      </w:r>
    </w:p>
    <w:p w14:paraId="037BC4FA" w14:textId="77777777" w:rsidR="00227245" w:rsidRPr="00F83174" w:rsidRDefault="00227245" w:rsidP="00227245">
      <w:pPr>
        <w:pStyle w:val="MDPI62BackMatter"/>
        <w:spacing w:before="240" w:afterLines="120" w:after="288" w:line="480" w:lineRule="auto"/>
        <w:ind w:left="0"/>
        <w:contextualSpacing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F83174">
        <w:rPr>
          <w:rFonts w:ascii="Times New Roman" w:hAnsi="Times New Roman"/>
          <w:color w:val="0D0D0D" w:themeColor="text1" w:themeTint="F2"/>
          <w:sz w:val="22"/>
          <w:szCs w:val="22"/>
        </w:rPr>
        <w:t xml:space="preserve">Supplementary 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>Figure S2</w:t>
      </w:r>
      <w:r w:rsidRPr="00F83174">
        <w:rPr>
          <w:rFonts w:ascii="Times New Roman" w:hAnsi="Times New Roman"/>
          <w:color w:val="0D0D0D" w:themeColor="text1" w:themeTint="F2"/>
          <w:sz w:val="22"/>
          <w:szCs w:val="22"/>
        </w:rPr>
        <w:t>. ROC curves for comparison of overall response rate and drug BES rank. (a) – all lines of therapy (30 lines, 14 patients). (b) – first lines of therapy (12 lines, 12 patients).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 xml:space="preserve"> (c) analysis limited to bevacizumab only treatment outcomes</w:t>
      </w:r>
    </w:p>
    <w:p w14:paraId="3E405169" w14:textId="77777777" w:rsidR="00227245" w:rsidRPr="00F83174" w:rsidRDefault="00227245" w:rsidP="00227245">
      <w:pPr>
        <w:pStyle w:val="MDPI62BackMatter"/>
        <w:spacing w:before="240" w:afterLines="120" w:after="288" w:line="480" w:lineRule="auto"/>
        <w:ind w:left="0"/>
        <w:contextualSpacing/>
        <w:rPr>
          <w:rFonts w:ascii="Times New Roman" w:hAnsi="Times New Roman"/>
          <w:color w:val="0D0D0D" w:themeColor="text1" w:themeTint="F2"/>
          <w:sz w:val="22"/>
          <w:szCs w:val="22"/>
        </w:rPr>
      </w:pPr>
      <w:r w:rsidRPr="00F83174">
        <w:rPr>
          <w:rFonts w:ascii="Times New Roman" w:hAnsi="Times New Roman"/>
          <w:color w:val="0D0D0D" w:themeColor="text1" w:themeTint="F2"/>
          <w:sz w:val="22"/>
          <w:szCs w:val="22"/>
        </w:rPr>
        <w:t xml:space="preserve">Supplementary 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>Figure</w:t>
      </w:r>
      <w:r w:rsidRPr="00F83174">
        <w:rPr>
          <w:rFonts w:ascii="Times New Roman" w:hAnsi="Times New Roman"/>
          <w:color w:val="0D0D0D" w:themeColor="text1" w:themeTint="F2"/>
          <w:sz w:val="22"/>
          <w:szCs w:val="22"/>
        </w:rPr>
        <w:t xml:space="preserve"> S</w:t>
      </w:r>
      <w:r>
        <w:rPr>
          <w:rFonts w:ascii="Times New Roman" w:hAnsi="Times New Roman"/>
          <w:color w:val="0D0D0D" w:themeColor="text1" w:themeTint="F2"/>
          <w:sz w:val="22"/>
          <w:szCs w:val="22"/>
        </w:rPr>
        <w:t>3</w:t>
      </w:r>
      <w:r w:rsidRPr="00F83174">
        <w:rPr>
          <w:rFonts w:ascii="Times New Roman" w:hAnsi="Times New Roman"/>
          <w:color w:val="0D0D0D" w:themeColor="text1" w:themeTint="F2"/>
          <w:sz w:val="22"/>
          <w:szCs w:val="22"/>
        </w:rPr>
        <w:t xml:space="preserve">. ROC curve for comparison of overall response rate and drug BES rank in TCGA data (17 colon cancer patients annotated with drug response data). </w:t>
      </w:r>
    </w:p>
    <w:p w14:paraId="61D6C77F" w14:textId="77777777" w:rsidR="002433A4" w:rsidRDefault="002433A4"/>
    <w:sectPr w:rsidR="002433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45"/>
    <w:rsid w:val="00227245"/>
    <w:rsid w:val="002433A4"/>
    <w:rsid w:val="0042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117F3"/>
  <w15:chartTrackingRefBased/>
  <w15:docId w15:val="{25DC3FB2-7104-4C80-9397-39F9582B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62BackMatter">
    <w:name w:val="MDPI_6.2_BackMatter"/>
    <w:qFormat/>
    <w:rsid w:val="00227245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Максим</dc:creator>
  <cp:keywords/>
  <dc:description/>
  <cp:lastModifiedBy>Максим Максим</cp:lastModifiedBy>
  <cp:revision>1</cp:revision>
  <dcterms:created xsi:type="dcterms:W3CDTF">2022-05-18T13:29:00Z</dcterms:created>
  <dcterms:modified xsi:type="dcterms:W3CDTF">2022-05-18T13:29:00Z</dcterms:modified>
</cp:coreProperties>
</file>