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5B926" w14:textId="77777777" w:rsidR="00116A12" w:rsidRPr="00860DAA" w:rsidRDefault="00116A12" w:rsidP="00116A12">
      <w:pPr>
        <w:adjustRightInd w:val="0"/>
        <w:snapToGrid w:val="0"/>
        <w:spacing w:before="240" w:after="60" w:line="228" w:lineRule="auto"/>
        <w:rPr>
          <w:b/>
          <w:bCs/>
          <w:szCs w:val="18"/>
          <w:lang w:bidi="en-US"/>
        </w:rPr>
      </w:pPr>
      <w:r w:rsidRPr="00860DAA">
        <w:rPr>
          <w:b/>
          <w:bCs/>
          <w:szCs w:val="18"/>
          <w:lang w:bidi="en-US"/>
        </w:rPr>
        <w:t>Appendix A</w:t>
      </w:r>
    </w:p>
    <w:p w14:paraId="26BCB4CF" w14:textId="77777777" w:rsidR="00116A12" w:rsidRPr="00860DAA" w:rsidRDefault="00116A12" w:rsidP="00116A12">
      <w:pPr>
        <w:pStyle w:val="Listenabsatz"/>
        <w:numPr>
          <w:ilvl w:val="0"/>
          <w:numId w:val="2"/>
        </w:numPr>
        <w:adjustRightInd w:val="0"/>
        <w:snapToGrid w:val="0"/>
        <w:spacing w:before="240" w:after="60" w:line="228" w:lineRule="auto"/>
        <w:ind w:left="0"/>
      </w:pPr>
      <w:r w:rsidRPr="00860DAA">
        <w:rPr>
          <w:rFonts w:cs="Arial"/>
          <w:color w:val="auto"/>
          <w:lang w:val="en-GB"/>
        </w:rPr>
        <w:t xml:space="preserve">The retrospective observation period of these study patients was from date of initial diagnosis until December 2018, date of last contact or death. </w:t>
      </w:r>
    </w:p>
    <w:p w14:paraId="3071200C" w14:textId="44FBCD32" w:rsidR="00116A12" w:rsidRPr="00860DAA" w:rsidRDefault="00116A12" w:rsidP="00116A12">
      <w:pPr>
        <w:pStyle w:val="Listenabsatz"/>
        <w:numPr>
          <w:ilvl w:val="0"/>
          <w:numId w:val="2"/>
        </w:numPr>
        <w:adjustRightInd w:val="0"/>
        <w:snapToGrid w:val="0"/>
        <w:spacing w:before="240" w:after="60" w:line="228" w:lineRule="auto"/>
        <w:ind w:left="0"/>
      </w:pPr>
      <w:r w:rsidRPr="00860DAA">
        <w:rPr>
          <w:rFonts w:cs="Arial"/>
          <w:color w:val="auto"/>
          <w:lang w:val="en-GB"/>
        </w:rPr>
        <w:t xml:space="preserve">G1 NET shows a proliferation (Ki-67) </w:t>
      </w:r>
      <w:r w:rsidRPr="00860DAA">
        <w:rPr>
          <w:rFonts w:eastAsia="MS Gothic" w:cs="Arial"/>
          <w:color w:val="auto"/>
          <w:lang w:val="en-GB"/>
        </w:rPr>
        <w:t>&lt;</w:t>
      </w:r>
      <w:r w:rsidRPr="00860DAA">
        <w:rPr>
          <w:rFonts w:cs="Arial"/>
          <w:color w:val="auto"/>
          <w:lang w:val="en-GB"/>
        </w:rPr>
        <w:t xml:space="preserve"> 3%, G2 NET a Ki-67 index between 3% and 20% and NEC a proliferation index &gt; 20%.</w:t>
      </w:r>
      <w:r w:rsidR="00F7360B" w:rsidRPr="00860DAA">
        <w:rPr>
          <w:rFonts w:cs="Arial"/>
          <w:color w:val="auto"/>
          <w:lang w:val="en-GB"/>
        </w:rPr>
        <w:t xml:space="preserve"> </w:t>
      </w:r>
      <w:r w:rsidRPr="00860DAA">
        <w:rPr>
          <w:rFonts w:eastAsia="MS Gothic" w:cs="Arial"/>
          <w:color w:val="auto"/>
          <w:lang w:val="en-GB"/>
        </w:rPr>
        <w:t xml:space="preserve">In our analysis we were not able to consider the updated WHO 2017 or even WHO 2019 </w:t>
      </w:r>
      <w:r w:rsidR="00A409CC" w:rsidRPr="00860DAA">
        <w:rPr>
          <w:rFonts w:eastAsia="MS Gothic" w:cs="Arial"/>
          <w:color w:val="auto"/>
          <w:lang w:val="en-GB"/>
        </w:rPr>
        <w:t>classification since</w:t>
      </w:r>
      <w:r w:rsidRPr="00860DAA">
        <w:rPr>
          <w:rFonts w:eastAsia="MS Gothic" w:cs="Arial"/>
          <w:color w:val="auto"/>
          <w:lang w:val="en-GB"/>
        </w:rPr>
        <w:t xml:space="preserve"> neoplasm have been characterized through pathologists by the earlier WHO definition of 2010.</w:t>
      </w:r>
    </w:p>
    <w:p w14:paraId="7EE744B2" w14:textId="2F42D92A" w:rsidR="00116A12" w:rsidRPr="00860DAA" w:rsidRDefault="00116A12" w:rsidP="00116A12">
      <w:pPr>
        <w:pStyle w:val="Listenabsatz"/>
        <w:numPr>
          <w:ilvl w:val="0"/>
          <w:numId w:val="2"/>
        </w:numPr>
        <w:adjustRightInd w:val="0"/>
        <w:snapToGrid w:val="0"/>
        <w:spacing w:before="240" w:after="60" w:line="228" w:lineRule="auto"/>
        <w:ind w:left="0"/>
      </w:pPr>
      <w:r w:rsidRPr="00860DAA">
        <w:rPr>
          <w:lang w:val="en-GB"/>
        </w:rPr>
        <w:t xml:space="preserve">Treatments were pooled in different groups to investigate their influence on PFS. All surgical interventions including endoscopic resection were summarized as operative treatments; </w:t>
      </w:r>
      <w:proofErr w:type="spellStart"/>
      <w:r w:rsidRPr="00860DAA">
        <w:rPr>
          <w:lang w:val="en-GB"/>
        </w:rPr>
        <w:t>lanreotide</w:t>
      </w:r>
      <w:proofErr w:type="spellEnd"/>
      <w:r w:rsidRPr="00860DAA">
        <w:rPr>
          <w:lang w:val="en-GB"/>
        </w:rPr>
        <w:t xml:space="preserve"> and octreotide were summarized as SSA; chemotherapeutic therapies, as well as targeted treatments (</w:t>
      </w:r>
      <w:r w:rsidR="00F7360B" w:rsidRPr="00860DAA">
        <w:rPr>
          <w:lang w:val="en-GB"/>
        </w:rPr>
        <w:t>S</w:t>
      </w:r>
      <w:r w:rsidRPr="00860DAA">
        <w:rPr>
          <w:lang w:val="en-GB"/>
        </w:rPr>
        <w:t xml:space="preserve">unitinib and </w:t>
      </w:r>
      <w:proofErr w:type="spellStart"/>
      <w:r w:rsidR="00F7360B" w:rsidRPr="00860DAA">
        <w:rPr>
          <w:lang w:val="en-GB"/>
        </w:rPr>
        <w:t>E</w:t>
      </w:r>
      <w:r w:rsidRPr="00860DAA">
        <w:rPr>
          <w:lang w:val="en-GB"/>
        </w:rPr>
        <w:t>verolimus</w:t>
      </w:r>
      <w:proofErr w:type="spellEnd"/>
      <w:r w:rsidRPr="00860DAA">
        <w:rPr>
          <w:lang w:val="en-GB"/>
        </w:rPr>
        <w:t>) formed the group of systemic treatments. Several non-surgical interventions (RFA, SIRT, TA(C)E and radiotherapy) were combined. PRRT formed a group by itself, different PRRT sessions up to an interval of 8 to 10 weeks were reported as a single treatment line.</w:t>
      </w:r>
    </w:p>
    <w:p w14:paraId="094366CA" w14:textId="130AC764" w:rsidR="00116A12" w:rsidRPr="00860DAA" w:rsidRDefault="00116A12" w:rsidP="00116A12">
      <w:pPr>
        <w:pStyle w:val="Listenabsatz"/>
        <w:numPr>
          <w:ilvl w:val="0"/>
          <w:numId w:val="2"/>
        </w:numPr>
        <w:adjustRightInd w:val="0"/>
        <w:snapToGrid w:val="0"/>
        <w:spacing w:before="240" w:after="60" w:line="228" w:lineRule="auto"/>
        <w:ind w:left="0"/>
      </w:pPr>
      <w:r w:rsidRPr="00860DAA">
        <w:rPr>
          <w:lang w:val="en-GB"/>
        </w:rPr>
        <w:t>OS was defined as time from first diagnosis of disease to death of any cause</w:t>
      </w:r>
      <w:r w:rsidR="00F7360B" w:rsidRPr="00860DAA">
        <w:rPr>
          <w:lang w:val="en-GB"/>
        </w:rPr>
        <w:t xml:space="preserve">. </w:t>
      </w:r>
      <w:r w:rsidRPr="00860DAA">
        <w:rPr>
          <w:lang w:val="en-GB"/>
        </w:rPr>
        <w:t xml:space="preserve">Similarly, NET-related OS was defined as time from first diagnosis of disease to NET-related death. As TTP we defined the time between date of first diagnosis and first objective progression (locally or metastatic). In case of death before progression, patients were censored at time of death. PFS for each treatment, was defined as time from treatment initiation to first objective </w:t>
      </w:r>
      <w:proofErr w:type="spellStart"/>
      <w:r w:rsidRPr="00860DAA">
        <w:rPr>
          <w:lang w:val="en-GB"/>
        </w:rPr>
        <w:t>tumor</w:t>
      </w:r>
      <w:proofErr w:type="spellEnd"/>
      <w:r w:rsidRPr="00860DAA">
        <w:rPr>
          <w:lang w:val="en-GB"/>
        </w:rPr>
        <w:t xml:space="preserve"> progression or NET-caused death (whichever comes first). In case of non-NET-related death, patients were censored at time of death.</w:t>
      </w:r>
      <w:r w:rsidRPr="00860DAA">
        <w:rPr>
          <w:vertAlign w:val="superscript"/>
          <w:lang w:val="en-GB"/>
        </w:rPr>
        <w:t xml:space="preserve"> </w:t>
      </w:r>
    </w:p>
    <w:p w14:paraId="79CB0C40" w14:textId="4074DD2C" w:rsidR="00116A12" w:rsidRPr="00860DAA" w:rsidRDefault="00116A12" w:rsidP="00116A12">
      <w:pPr>
        <w:pStyle w:val="berschrift3"/>
        <w:numPr>
          <w:ilvl w:val="0"/>
          <w:numId w:val="2"/>
        </w:numPr>
        <w:tabs>
          <w:tab w:val="num" w:pos="360"/>
        </w:tabs>
        <w:spacing w:before="0" w:line="216" w:lineRule="auto"/>
        <w:ind w:left="0" w:hanging="357"/>
        <w:rPr>
          <w:rFonts w:ascii="Palatino Linotype" w:hAnsi="Palatino Linotype"/>
          <w:sz w:val="20"/>
          <w:lang w:val="en-GB"/>
        </w:rPr>
      </w:pPr>
      <w:r w:rsidRPr="00860DAA">
        <w:rPr>
          <w:rFonts w:ascii="Palatino Linotype" w:hAnsi="Palatino Linotype"/>
          <w:sz w:val="20"/>
          <w:lang w:val="en-GB"/>
        </w:rPr>
        <w:t xml:space="preserve">Patients with their latest documented reports (clinical information system) before December 2018 and without any further information on the course of their disease were defined as lost to follow-up. The respective data of these patients and patients without an event until the end of the observation period were classified as censored for survival analysis at time of last documented observation-date. All study endpoints were compared between different primary sites, stages and grades of NET. </w:t>
      </w:r>
    </w:p>
    <w:p w14:paraId="7DA1EE47" w14:textId="59EB897C" w:rsidR="00116A12" w:rsidRPr="00860DAA" w:rsidRDefault="00116A12" w:rsidP="00116A12">
      <w:pPr>
        <w:pStyle w:val="Listenabsatz"/>
        <w:numPr>
          <w:ilvl w:val="0"/>
          <w:numId w:val="2"/>
        </w:numPr>
        <w:adjustRightInd w:val="0"/>
        <w:snapToGrid w:val="0"/>
        <w:spacing w:line="228" w:lineRule="auto"/>
        <w:ind w:left="0"/>
      </w:pPr>
      <w:r w:rsidRPr="00860DAA">
        <w:rPr>
          <w:lang w:val="en-GB"/>
        </w:rPr>
        <w:t>The patients who were lost to follow-up were censored and therefore considered in the calculation of Kaplan Meier curves (including log-rank test) and Cox regression.</w:t>
      </w:r>
      <w:r w:rsidR="00F7360B" w:rsidRPr="00860DAA">
        <w:rPr>
          <w:color w:val="auto"/>
          <w:lang w:val="en-GB"/>
        </w:rPr>
        <w:t xml:space="preserve"> </w:t>
      </w:r>
      <w:r w:rsidRPr="00860DAA">
        <w:rPr>
          <w:color w:val="auto"/>
          <w:lang w:val="en-GB"/>
        </w:rPr>
        <w:t>Due to lack of statistical power, the single patient with NET of the gallbladder was extracted for survival analysis according to primary site.</w:t>
      </w:r>
      <w:r w:rsidRPr="00860DAA">
        <w:rPr>
          <w:lang w:val="en-GB"/>
        </w:rPr>
        <w:t xml:space="preserve"> Patients without reported treatment were excluded from final analyses comparing PFS of treatment sequences.</w:t>
      </w:r>
    </w:p>
    <w:p w14:paraId="483F23E3" w14:textId="5E7E79F4" w:rsidR="00116A12" w:rsidRPr="00860DAA" w:rsidRDefault="00116A12" w:rsidP="00116A12">
      <w:pPr>
        <w:pStyle w:val="Listenabsatz"/>
        <w:numPr>
          <w:ilvl w:val="0"/>
          <w:numId w:val="2"/>
        </w:numPr>
        <w:adjustRightInd w:val="0"/>
        <w:snapToGrid w:val="0"/>
        <w:spacing w:before="240" w:after="60" w:line="228" w:lineRule="auto"/>
        <w:ind w:left="0"/>
      </w:pPr>
      <w:r w:rsidRPr="00860DAA">
        <w:rPr>
          <w:lang w:val="en-GB"/>
        </w:rPr>
        <w:t>Furthermore, included patients approved by written General Consent that their specific non-coded data was taken from KISIM CISTEC AG or patient files. This Data was then recorded as coded and anonymous data in chart review and used for statistical analysis.</w:t>
      </w:r>
      <w:r w:rsidR="008C404A" w:rsidRPr="00860DAA">
        <w:t xml:space="preserve"> </w:t>
      </w:r>
    </w:p>
    <w:p w14:paraId="39508C50" w14:textId="77777777" w:rsidR="00116A12" w:rsidRPr="00860DAA" w:rsidRDefault="00116A12" w:rsidP="00116A12">
      <w:pPr>
        <w:pStyle w:val="Listenabsatz"/>
        <w:numPr>
          <w:ilvl w:val="0"/>
          <w:numId w:val="2"/>
        </w:numPr>
        <w:adjustRightInd w:val="0"/>
        <w:snapToGrid w:val="0"/>
        <w:spacing w:before="240" w:after="60" w:line="228" w:lineRule="auto"/>
        <w:ind w:left="0"/>
      </w:pPr>
      <w:r w:rsidRPr="00860DAA">
        <w:rPr>
          <w:rFonts w:cs="Arial"/>
          <w:color w:val="auto"/>
          <w:lang w:val="en-GB"/>
        </w:rPr>
        <w:t>186 patients (73%) were censored for calculating OS, due to lost to follow-up or non-occurrence of death until the end of the observation period. 133 patients (52%) were censored for calculation of TTP, due to lost to follow-up or non-occurrence of progression. 115 patients (47%) were censored for calculation of PFS of all therapies, due to lost to follow-up, non-occurrence of NET-related death or progression.</w:t>
      </w:r>
    </w:p>
    <w:p w14:paraId="6223B286" w14:textId="77777777" w:rsidR="00116A12" w:rsidRPr="00860DAA" w:rsidRDefault="00116A12" w:rsidP="00116A12">
      <w:pPr>
        <w:pStyle w:val="Listenabsatz"/>
        <w:numPr>
          <w:ilvl w:val="0"/>
          <w:numId w:val="2"/>
        </w:numPr>
        <w:adjustRightInd w:val="0"/>
        <w:snapToGrid w:val="0"/>
        <w:spacing w:before="240" w:after="60" w:line="228" w:lineRule="auto"/>
        <w:ind w:left="0"/>
      </w:pPr>
      <w:r w:rsidRPr="00860DAA">
        <w:rPr>
          <w:rFonts w:cs="Arial"/>
          <w:color w:val="auto"/>
          <w:lang w:val="en-GB"/>
        </w:rPr>
        <w:t>We observed that appendix-NETs were diagnosed in locoregional disease and mostly as random diagnosis after appendectomy.</w:t>
      </w:r>
    </w:p>
    <w:p w14:paraId="0E84BA3D" w14:textId="77777777" w:rsidR="00116A12" w:rsidRPr="00860DAA" w:rsidRDefault="00116A12" w:rsidP="00116A12">
      <w:pPr>
        <w:pStyle w:val="Listenabsatz"/>
        <w:numPr>
          <w:ilvl w:val="0"/>
          <w:numId w:val="2"/>
        </w:numPr>
        <w:spacing w:line="216" w:lineRule="auto"/>
        <w:ind w:left="0"/>
        <w:rPr>
          <w:rFonts w:cs="Arial"/>
          <w:color w:val="auto"/>
          <w:lang w:val="en-GB"/>
        </w:rPr>
      </w:pPr>
      <w:r w:rsidRPr="00860DAA">
        <w:rPr>
          <w:rFonts w:cs="Arial"/>
          <w:color w:val="auto"/>
          <w:lang w:val="en-GB"/>
        </w:rPr>
        <w:t xml:space="preserve">Patients with Stage I were treated with 1.2 therapy lines, Stage II- with 1.8, Stage III- with 2.2 and Stage IV-patients with 4 treatment lines on average. Patients with G1 GEP-NET underwent 2.3, G2 patients 2.8 and G3 patients 4 treatment lines on average. </w:t>
      </w:r>
    </w:p>
    <w:p w14:paraId="14E97DCB" w14:textId="2CFD2F66" w:rsidR="00116A12" w:rsidRPr="00860DAA" w:rsidRDefault="00116A12" w:rsidP="00116A12">
      <w:pPr>
        <w:pStyle w:val="Listenabsatz"/>
        <w:numPr>
          <w:ilvl w:val="0"/>
          <w:numId w:val="2"/>
        </w:numPr>
        <w:spacing w:line="216" w:lineRule="auto"/>
        <w:ind w:left="0"/>
        <w:rPr>
          <w:rFonts w:cs="Arial"/>
          <w:color w:val="auto"/>
          <w:lang w:val="en-GB"/>
        </w:rPr>
      </w:pPr>
      <w:r w:rsidRPr="00860DAA">
        <w:rPr>
          <w:rFonts w:cs="Arial"/>
          <w:color w:val="auto"/>
          <w:lang w:val="en-GB"/>
        </w:rPr>
        <w:t xml:space="preserve">In our cohort, </w:t>
      </w:r>
      <w:proofErr w:type="spellStart"/>
      <w:r w:rsidRPr="00860DAA">
        <w:rPr>
          <w:rFonts w:cs="Arial"/>
          <w:color w:val="auto"/>
          <w:lang w:val="en-GB"/>
        </w:rPr>
        <w:t>lanreotide</w:t>
      </w:r>
      <w:proofErr w:type="spellEnd"/>
      <w:r w:rsidRPr="00860DAA">
        <w:rPr>
          <w:rFonts w:cs="Arial"/>
          <w:color w:val="auto"/>
          <w:lang w:val="en-GB"/>
        </w:rPr>
        <w:t xml:space="preserve"> was just used between 2013 and 2018, which is caused by late marketing approval for treatment of GEP-NETs in 2016 in Switzerland. Octreotide was prescribed from 1994 to 2018. </w:t>
      </w:r>
    </w:p>
    <w:p w14:paraId="5C8BA119" w14:textId="77777777" w:rsidR="00116A12" w:rsidRPr="00860DAA" w:rsidRDefault="00116A12" w:rsidP="00116A12">
      <w:pPr>
        <w:pStyle w:val="Listenabsatz"/>
        <w:numPr>
          <w:ilvl w:val="0"/>
          <w:numId w:val="2"/>
        </w:numPr>
        <w:spacing w:line="216" w:lineRule="auto"/>
        <w:ind w:left="0"/>
        <w:rPr>
          <w:rFonts w:cs="Arial"/>
          <w:color w:val="auto"/>
          <w:lang w:val="en-GB"/>
        </w:rPr>
      </w:pPr>
      <w:r w:rsidRPr="00860DAA">
        <w:rPr>
          <w:rFonts w:cs="Arial"/>
          <w:color w:val="auto"/>
          <w:lang w:val="en-GB"/>
        </w:rPr>
        <w:t>PRRT was used 26 times as first- or second-line treatment (early PRRT), while 46 times PRRT was applied as third or subsequent therapy line (late PRRT).</w:t>
      </w:r>
    </w:p>
    <w:p w14:paraId="73B01971" w14:textId="77777777" w:rsidR="00116A12" w:rsidRPr="00860DAA" w:rsidRDefault="00116A12" w:rsidP="00116A12">
      <w:pPr>
        <w:pStyle w:val="Listenabsatz"/>
        <w:numPr>
          <w:ilvl w:val="0"/>
          <w:numId w:val="2"/>
        </w:numPr>
        <w:adjustRightInd w:val="0"/>
        <w:snapToGrid w:val="0"/>
        <w:spacing w:before="240" w:after="60" w:line="228" w:lineRule="auto"/>
        <w:ind w:left="0"/>
      </w:pPr>
      <w:r w:rsidRPr="00860DAA">
        <w:rPr>
          <w:rFonts w:cs="Arial"/>
          <w:color w:val="auto"/>
          <w:lang w:val="en-GB"/>
        </w:rPr>
        <w:t>Median NET-related OS was 251 months (95% CI, 188 – 314 months).</w:t>
      </w:r>
      <w:r w:rsidRPr="00860DAA">
        <w:rPr>
          <w:color w:val="auto"/>
          <w:lang w:val="en-GB"/>
        </w:rPr>
        <w:t xml:space="preserve"> 52 NET-related deaths were reported until the end of observation period. </w:t>
      </w:r>
      <w:r w:rsidRPr="00860DAA">
        <w:rPr>
          <w:rFonts w:cs="Arial"/>
          <w:color w:val="auto"/>
          <w:lang w:val="en-GB"/>
        </w:rPr>
        <w:t>21 (40%) of NET-related deaths were associated with p-NETs, while 13 (25%) were related to NETs of small intestine.</w:t>
      </w:r>
    </w:p>
    <w:p w14:paraId="45CCEA54" w14:textId="0C656C0A" w:rsidR="00116A12" w:rsidRPr="00860DAA" w:rsidRDefault="00116A12" w:rsidP="00116A12">
      <w:pPr>
        <w:pStyle w:val="Listenabsatz"/>
        <w:numPr>
          <w:ilvl w:val="0"/>
          <w:numId w:val="2"/>
        </w:numPr>
        <w:adjustRightInd w:val="0"/>
        <w:snapToGrid w:val="0"/>
        <w:spacing w:before="240" w:after="60" w:line="228" w:lineRule="auto"/>
        <w:ind w:left="0"/>
      </w:pPr>
      <w:r w:rsidRPr="00860DAA">
        <w:rPr>
          <w:rFonts w:cs="Arial"/>
          <w:color w:val="auto"/>
          <w:lang w:val="en-GB"/>
        </w:rPr>
        <w:t xml:space="preserve">Well-differentiated (G1) GEP-NETs showed the longest median TTP with 122 months (95% CI, 83 – 161 months), while moderately differentiated (G2) GEP-NETs showed with 37 months (95% CI, 13 – 61 months) a shorter median TTP. G3 GEP-NETs showed the shortest median TTP of 12 months (95% CI, 7 – 16 months), (G1 versus G3; HR, 0.22; 95% CI, 0.13 – 0.38; p &lt; 0.001; G2 versus G3; HR, 0.40; 95% CI, 0.24 – 0.67; p &lt; 0.001). </w:t>
      </w:r>
    </w:p>
    <w:p w14:paraId="18203DE9" w14:textId="194CA864" w:rsidR="0034040A" w:rsidRPr="00860DAA" w:rsidRDefault="0034040A" w:rsidP="0034040A">
      <w:pPr>
        <w:pStyle w:val="Listenabsatz"/>
        <w:numPr>
          <w:ilvl w:val="0"/>
          <w:numId w:val="2"/>
        </w:numPr>
        <w:adjustRightInd w:val="0"/>
        <w:snapToGrid w:val="0"/>
        <w:spacing w:before="240" w:after="60" w:line="228" w:lineRule="auto"/>
        <w:ind w:left="0"/>
      </w:pPr>
      <w:r w:rsidRPr="00860DAA">
        <w:rPr>
          <w:lang w:val="en-GB"/>
        </w:rPr>
        <w:lastRenderedPageBreak/>
        <w:t xml:space="preserve">In our </w:t>
      </w:r>
      <w:proofErr w:type="spellStart"/>
      <w:r w:rsidRPr="00860DAA">
        <w:rPr>
          <w:lang w:val="en-GB"/>
        </w:rPr>
        <w:t>center</w:t>
      </w:r>
      <w:proofErr w:type="spellEnd"/>
      <w:r w:rsidRPr="00860DAA">
        <w:rPr>
          <w:lang w:val="en-GB"/>
        </w:rPr>
        <w:t xml:space="preserve"> there is not only a single team responsible for GEP-NETs but rather these are separated into several departments with a dedicated ENETS responsible specialist (</w:t>
      </w:r>
      <w:r w:rsidR="00A409CC" w:rsidRPr="00860DAA">
        <w:rPr>
          <w:lang w:val="en-GB"/>
        </w:rPr>
        <w:t>e.g.,</w:t>
      </w:r>
      <w:r w:rsidRPr="00860DAA">
        <w:rPr>
          <w:lang w:val="en-GB"/>
        </w:rPr>
        <w:t xml:space="preserve"> oncologist, gastroenterologist, surgeon, nuclear medicine, endocrinologist). Due to this, screening of patients, choice of diagnostics and treatment lines may differ between departments. Thus, up to now, only limited and heterogeneous data of GEP-NETs for ENETS </w:t>
      </w:r>
      <w:proofErr w:type="spellStart"/>
      <w:r w:rsidRPr="00860DAA">
        <w:rPr>
          <w:lang w:val="en-GB"/>
        </w:rPr>
        <w:t>CoEs</w:t>
      </w:r>
      <w:proofErr w:type="spellEnd"/>
      <w:r w:rsidRPr="00860DAA">
        <w:rPr>
          <w:lang w:val="en-GB"/>
        </w:rPr>
        <w:t xml:space="preserve"> exist.</w:t>
      </w:r>
    </w:p>
    <w:p w14:paraId="789C2254" w14:textId="77777777" w:rsidR="001A5AA6" w:rsidRPr="00860DAA" w:rsidRDefault="0034040A" w:rsidP="001A5AA6">
      <w:pPr>
        <w:pStyle w:val="Listenabsatz"/>
        <w:numPr>
          <w:ilvl w:val="0"/>
          <w:numId w:val="2"/>
        </w:numPr>
        <w:adjustRightInd w:val="0"/>
        <w:snapToGrid w:val="0"/>
        <w:spacing w:before="240" w:after="60" w:line="228" w:lineRule="auto"/>
        <w:ind w:left="0"/>
      </w:pPr>
      <w:r w:rsidRPr="00860DAA">
        <w:rPr>
          <w:lang w:val="en-GB"/>
        </w:rPr>
        <w:t xml:space="preserve">Localized colorectal NETs, which were diagnosed and resected entirely by endoscopy, are rarely treated at our </w:t>
      </w:r>
      <w:proofErr w:type="spellStart"/>
      <w:r w:rsidRPr="00860DAA">
        <w:rPr>
          <w:lang w:val="en-GB"/>
        </w:rPr>
        <w:t>center</w:t>
      </w:r>
      <w:proofErr w:type="spellEnd"/>
      <w:r w:rsidRPr="00860DAA">
        <w:rPr>
          <w:lang w:val="en-GB"/>
        </w:rPr>
        <w:t xml:space="preserve">. On the contrary, if colorectal NETs were notified at our </w:t>
      </w:r>
      <w:proofErr w:type="spellStart"/>
      <w:r w:rsidRPr="00860DAA">
        <w:rPr>
          <w:lang w:val="en-GB"/>
        </w:rPr>
        <w:t>center</w:t>
      </w:r>
      <w:proofErr w:type="spellEnd"/>
      <w:r w:rsidRPr="00860DAA">
        <w:rPr>
          <w:lang w:val="en-GB"/>
        </w:rPr>
        <w:t xml:space="preserve">, they were referred due advanced stage for treatment making decisions. On the contrary, p-NETs even in early stages are referred to ENETS </w:t>
      </w:r>
      <w:proofErr w:type="spellStart"/>
      <w:r w:rsidRPr="00860DAA">
        <w:rPr>
          <w:lang w:val="en-GB"/>
        </w:rPr>
        <w:t>CoE</w:t>
      </w:r>
      <w:proofErr w:type="spellEnd"/>
      <w:r w:rsidRPr="00860DAA">
        <w:rPr>
          <w:lang w:val="en-GB"/>
        </w:rPr>
        <w:t xml:space="preserve"> in Switzerland as a multidisciplinary team with an experienced surgeon is mandatorily needed.</w:t>
      </w:r>
    </w:p>
    <w:p w14:paraId="006C4E73" w14:textId="05FD0B52" w:rsidR="001A5AA6" w:rsidRPr="00860DAA" w:rsidRDefault="001A5AA6" w:rsidP="001A5AA6">
      <w:pPr>
        <w:pStyle w:val="Listenabsatz"/>
        <w:numPr>
          <w:ilvl w:val="0"/>
          <w:numId w:val="2"/>
        </w:numPr>
        <w:adjustRightInd w:val="0"/>
        <w:snapToGrid w:val="0"/>
        <w:spacing w:before="240" w:after="60" w:line="228" w:lineRule="auto"/>
        <w:ind w:left="0"/>
      </w:pPr>
      <w:r w:rsidRPr="00860DAA">
        <w:rPr>
          <w:rFonts w:cs="Arial"/>
          <w:color w:val="auto"/>
          <w:lang w:val="en-GB"/>
        </w:rPr>
        <w:t xml:space="preserve">We focused especially on well- (G1) and moderately differentiated (G2) p-NETs and s-NETs, since these represented the largest subgroup of our population (46%). Most of these patients underwent surgery as first treatment line, followed by consecutive surgical intervention or treatment with SSA as second-line therapy. As third therapy line, PRRT was the most used treatment, followed by sunitinib as the second most common used agent. We observed a widespread diversity of treatments in fourth-line. Against our expectation SSA was the most frequently used treatment in fourth-line, followed by PRRT and chemotherapy. Prior treatment with SSA or PRRT didn’t show any effect on PFS after systemic treatment in G2 p-NET or s-NET (log-rank </w:t>
      </w:r>
      <w:proofErr w:type="gramStart"/>
      <w:r w:rsidR="00A409CC" w:rsidRPr="00860DAA">
        <w:rPr>
          <w:rFonts w:cs="Arial"/>
          <w:color w:val="auto"/>
          <w:lang w:val="en-GB"/>
        </w:rPr>
        <w:t xml:space="preserve">test,  </w:t>
      </w:r>
      <w:r w:rsidRPr="00860DAA">
        <w:rPr>
          <w:rFonts w:cs="Arial"/>
          <w:color w:val="auto"/>
          <w:lang w:val="en-GB"/>
        </w:rPr>
        <w:t>p</w:t>
      </w:r>
      <w:proofErr w:type="gramEnd"/>
      <w:r w:rsidRPr="00860DAA">
        <w:rPr>
          <w:rFonts w:cs="Arial"/>
          <w:color w:val="auto"/>
          <w:lang w:val="en-GB"/>
        </w:rPr>
        <w:t xml:space="preserve"> = 0.96 for SSA; log-rank test, p = 0.50 for PRRT) against recommendations in common literature.</w:t>
      </w:r>
      <w:r w:rsidR="00387985" w:rsidRPr="00860DAA">
        <w:t xml:space="preserve"> </w:t>
      </w:r>
    </w:p>
    <w:p w14:paraId="4B018A91" w14:textId="77777777" w:rsidR="0034040A" w:rsidRPr="00860DAA" w:rsidRDefault="0034040A" w:rsidP="0072265E">
      <w:pPr>
        <w:pStyle w:val="Listenabsatz"/>
        <w:numPr>
          <w:ilvl w:val="0"/>
          <w:numId w:val="2"/>
        </w:numPr>
        <w:adjustRightInd w:val="0"/>
        <w:snapToGrid w:val="0"/>
        <w:spacing w:before="240" w:after="60" w:line="228" w:lineRule="auto"/>
        <w:ind w:left="0"/>
      </w:pPr>
      <w:r w:rsidRPr="00860DAA">
        <w:rPr>
          <w:lang w:val="en-GB"/>
        </w:rPr>
        <w:t>Patients who were treated with SSA, surgery or PRRT suffered from a shorter PFS, if they underwent prior systemic treatment. An explanation for this observation may be that patients, who were treated with systemic therapies in an early therapy phase mostly suffered from an aggressive disease, which was spread at time of diagnosis. For these patients, treatment strategies are difficult and consist in efforts to delay progression of disease instead of cure.</w:t>
      </w:r>
    </w:p>
    <w:p w14:paraId="2DD43876" w14:textId="77777777" w:rsidR="00502CDC" w:rsidRPr="00860DAA" w:rsidRDefault="0034040A" w:rsidP="00502CDC">
      <w:pPr>
        <w:pStyle w:val="Listenabsatz"/>
        <w:numPr>
          <w:ilvl w:val="0"/>
          <w:numId w:val="2"/>
        </w:numPr>
        <w:adjustRightInd w:val="0"/>
        <w:snapToGrid w:val="0"/>
        <w:spacing w:before="240" w:after="60" w:line="228" w:lineRule="auto"/>
        <w:ind w:left="0"/>
      </w:pPr>
      <w:r w:rsidRPr="00860DAA">
        <w:rPr>
          <w:lang w:val="en-GB"/>
        </w:rPr>
        <w:t>Outcome (PFS) of patients who underwent systemic therapy or treatment with SSA was shorter after a following operative intervention. One hypothesis of the reduced survival of surgery followed by systemic treatment may be the fact that these patients suffered from distant disease and underwent surgery to resect metastases or to solve complications as ileus within the metastatic setting. Since no distinction was made between different types of surgery when collecting this retrospective data, this assumption cannot be statistically confirmed and must be examined in future prospective studies.</w:t>
      </w:r>
    </w:p>
    <w:p w14:paraId="10CFE542" w14:textId="34ADA422" w:rsidR="00502CDC" w:rsidRPr="00860DAA" w:rsidRDefault="00502CDC" w:rsidP="00502CDC">
      <w:pPr>
        <w:pStyle w:val="Listenabsatz"/>
        <w:numPr>
          <w:ilvl w:val="0"/>
          <w:numId w:val="2"/>
        </w:numPr>
        <w:adjustRightInd w:val="0"/>
        <w:snapToGrid w:val="0"/>
        <w:spacing w:before="240" w:after="60" w:line="228" w:lineRule="auto"/>
        <w:ind w:left="0"/>
      </w:pPr>
      <w:r w:rsidRPr="00860DAA">
        <w:rPr>
          <w:bCs/>
          <w:lang w:val="en-GB"/>
        </w:rPr>
        <w:t>Surgical intervention</w:t>
      </w:r>
      <w:r w:rsidRPr="00860DAA">
        <w:rPr>
          <w:lang w:val="en-GB"/>
        </w:rPr>
        <w:t xml:space="preserve"> is, regarding to survival rates (PFS) in our population, a favourable initial treatment in any stage of disease and should be considered as cytoreductive treatment also in advanced disease to reduce symptoms and to improve better effect of following systemic therapies. In patients with advanced GEP-NET, resection as first-line treatment should only be considered, if over 80% of </w:t>
      </w:r>
      <w:proofErr w:type="spellStart"/>
      <w:r w:rsidRPr="00860DAA">
        <w:rPr>
          <w:lang w:val="en-GB"/>
        </w:rPr>
        <w:t>tumor</w:t>
      </w:r>
      <w:proofErr w:type="spellEnd"/>
      <w:r w:rsidRPr="00860DAA">
        <w:rPr>
          <w:lang w:val="en-GB"/>
        </w:rPr>
        <w:t xml:space="preserve"> burden can be safely resected.</w:t>
      </w:r>
      <w:r w:rsidR="00387985" w:rsidRPr="00860DAA">
        <w:rPr>
          <w:lang w:val="en-GB"/>
        </w:rPr>
        <w:t xml:space="preserve"> </w:t>
      </w:r>
      <w:r w:rsidRPr="00860DAA">
        <w:rPr>
          <w:lang w:val="en-GB"/>
        </w:rPr>
        <w:t xml:space="preserve">Well- or moderately differentiated GEP-NETs show a higher expression of SSTR, which is used for both diagnostic and therapy options. For this </w:t>
      </w:r>
      <w:r w:rsidR="00A409CC" w:rsidRPr="00860DAA">
        <w:rPr>
          <w:lang w:val="en-GB"/>
        </w:rPr>
        <w:t>reason,</w:t>
      </w:r>
      <w:r w:rsidRPr="00860DAA">
        <w:rPr>
          <w:lang w:val="en-GB"/>
        </w:rPr>
        <w:t xml:space="preserve"> SSA is primary choice of first-line treatment but only in well-differentiated GEP-NET, favourable due to its less toxic profile and high tolerance.</w:t>
      </w:r>
      <w:r w:rsidR="00387985" w:rsidRPr="00860DAA">
        <w:rPr>
          <w:lang w:val="en-GB"/>
        </w:rPr>
        <w:t xml:space="preserve"> </w:t>
      </w:r>
      <w:r w:rsidRPr="00860DAA">
        <w:rPr>
          <w:lang w:val="en-GB"/>
        </w:rPr>
        <w:t>If disease relapses, PRRT is considered as second-line treatment, which also makes use of a high expression of SSTR.</w:t>
      </w:r>
      <w:r w:rsidR="00387985" w:rsidRPr="00860DAA">
        <w:rPr>
          <w:lang w:val="en-GB"/>
        </w:rPr>
        <w:t xml:space="preserve"> </w:t>
      </w:r>
      <w:r w:rsidRPr="00860DAA">
        <w:rPr>
          <w:lang w:val="en-GB"/>
        </w:rPr>
        <w:t xml:space="preserve">mTOR or tyrosine kinase inhibitors (in our cohort </w:t>
      </w:r>
      <w:proofErr w:type="spellStart"/>
      <w:r w:rsidRPr="00860DAA">
        <w:rPr>
          <w:lang w:val="en-GB"/>
        </w:rPr>
        <w:t>Everolimus</w:t>
      </w:r>
      <w:proofErr w:type="spellEnd"/>
      <w:r w:rsidRPr="00860DAA">
        <w:rPr>
          <w:lang w:val="en-GB"/>
        </w:rPr>
        <w:t xml:space="preserve"> or Sunitinib) alone or in combination with SSA are considered the best third-line treatment. Fourth-line treatment consists of a chemotherapeutic approach with temozolomide in combination with capecitabine. Patients suffering from a G2 GEP-NET can be treated with chemotherapy with Streptozotocin and 5-FU alone or in combination with PRRT as second-line, if first-line treatment with mTOR or tyrosine kinase inhibitors alone, or in combination with SSA or PRRT has failed. As third-line therapy, another chemotherapeutic approach with temozolomide and capecitabine is considered. As fourth-line treatment, we recommend a platinum-based chemotherapy like carbo- or cisplatin in combination with etoposide. </w:t>
      </w:r>
    </w:p>
    <w:p w14:paraId="069D5D96" w14:textId="7C8A1D5D" w:rsidR="00502CDC" w:rsidRPr="00860DAA" w:rsidRDefault="00502CDC" w:rsidP="00502CDC">
      <w:pPr>
        <w:pStyle w:val="Listenabsatz"/>
        <w:adjustRightInd w:val="0"/>
        <w:snapToGrid w:val="0"/>
        <w:spacing w:before="240" w:after="60" w:line="228" w:lineRule="auto"/>
        <w:ind w:left="0"/>
      </w:pPr>
      <w:r w:rsidRPr="00860DAA">
        <w:rPr>
          <w:lang w:val="en-GB"/>
        </w:rPr>
        <w:t>In high-grade GEP-NETs (</w:t>
      </w:r>
      <w:r w:rsidRPr="00860DAA">
        <w:rPr>
          <w:rFonts w:cs="Arial"/>
          <w:lang w:val="en-GB"/>
        </w:rPr>
        <w:t xml:space="preserve">G3 or </w:t>
      </w:r>
      <w:r w:rsidRPr="00860DAA">
        <w:rPr>
          <w:lang w:val="en-GB"/>
        </w:rPr>
        <w:t>-</w:t>
      </w:r>
      <w:r w:rsidRPr="00860DAA">
        <w:rPr>
          <w:rFonts w:cs="Arial"/>
          <w:lang w:val="en-GB"/>
        </w:rPr>
        <w:t>NECs</w:t>
      </w:r>
      <w:r w:rsidRPr="00860DAA">
        <w:rPr>
          <w:lang w:val="en-GB"/>
        </w:rPr>
        <w:t xml:space="preserve">), the only suggested treatment with evidence of efficacy is chemotherapy. Subdivided into well-differentiated G3 NETs </w:t>
      </w:r>
      <w:r w:rsidRPr="00860DAA">
        <w:rPr>
          <w:rFonts w:cs="Arial"/>
          <w:lang w:val="en-GB"/>
        </w:rPr>
        <w:t xml:space="preserve">and poorly differentiated NECs according to WHO classification 2017, different chemotherapeutic agents are preferred. G3 GEP-NETs </w:t>
      </w:r>
      <w:r w:rsidRPr="00860DAA">
        <w:rPr>
          <w:lang w:val="en-GB"/>
        </w:rPr>
        <w:t>preferably are treated with temozolomide in combination with capecitabine as first choice and carbo- or cisplatin in combination with etoposide as second choice, while in NECs first choice consists in the latter. The only potential alternative treatment of NECs consists of a systemic chemotherapy based on oxaliplatin, irinotecan or 5-FU.</w:t>
      </w:r>
      <w:r w:rsidR="00387985" w:rsidRPr="00860DAA">
        <w:rPr>
          <w:lang w:val="en-GB"/>
        </w:rPr>
        <w:t xml:space="preserve"> </w:t>
      </w:r>
      <w:r w:rsidRPr="00860DAA">
        <w:rPr>
          <w:lang w:val="en-GB"/>
        </w:rPr>
        <w:t xml:space="preserve">Interestingly, our suggestion </w:t>
      </w:r>
      <w:r w:rsidR="00A409CC" w:rsidRPr="00860DAA">
        <w:rPr>
          <w:lang w:val="en-GB"/>
        </w:rPr>
        <w:t>is</w:t>
      </w:r>
      <w:r w:rsidRPr="00860DAA">
        <w:rPr>
          <w:lang w:val="en-GB"/>
        </w:rPr>
        <w:t xml:space="preserve"> in line with most recent treatment recommendation for personalized treatment approaches in G3 NEN and G3 NEC.</w:t>
      </w:r>
      <w:r w:rsidRPr="00860DAA" w:rsidDel="009E5E1D">
        <w:rPr>
          <w:vertAlign w:val="superscript"/>
          <w:lang w:val="en-GB"/>
        </w:rPr>
        <w:t xml:space="preserve"> </w:t>
      </w:r>
    </w:p>
    <w:p w14:paraId="15026106" w14:textId="3FCDB54E" w:rsidR="0034040A" w:rsidRPr="00860DAA" w:rsidRDefault="0034040A" w:rsidP="00502CDC">
      <w:pPr>
        <w:pStyle w:val="Listenabsatz"/>
        <w:numPr>
          <w:ilvl w:val="0"/>
          <w:numId w:val="2"/>
        </w:numPr>
        <w:adjustRightInd w:val="0"/>
        <w:snapToGrid w:val="0"/>
        <w:spacing w:before="240" w:after="60" w:line="228" w:lineRule="auto"/>
        <w:ind w:left="0"/>
      </w:pPr>
      <w:r w:rsidRPr="00860DAA">
        <w:rPr>
          <w:color w:val="auto"/>
          <w:lang w:val="en-GB"/>
        </w:rPr>
        <w:lastRenderedPageBreak/>
        <w:t xml:space="preserve">GEP-NET patients who were diagnosed before 2012 were included in statistical analysis only if they survived the starting point of screening phase in 2012. With dates of first diagnosis ranging back as far as 1986, less aggressive GEP-NETs may have had a higher chance reaching the screening period in 2012, while more severe courses of disease resulting in death before 2012 were not included in statistical analysis. This may result in a bias. Due to the high numbers of different treatments and disease subgroups, a substantial quantity of statistical tests was performed. However, no multiple test correction was made, therefore falsely significant results may have occurred. Hence the comparison to other studies is required. The broad variety of different treatment sequences led to small subgroups of patients who underwent a respective therapy sequence. Under these circumstances no evidence for a superior treatment sequence regarding survival rates was found. </w:t>
      </w:r>
      <w:r w:rsidR="00A409CC" w:rsidRPr="00860DAA">
        <w:rPr>
          <w:color w:val="auto"/>
          <w:lang w:val="en-GB"/>
        </w:rPr>
        <w:t>Nevertheless,</w:t>
      </w:r>
      <w:r w:rsidRPr="00860DAA">
        <w:rPr>
          <w:color w:val="auto"/>
          <w:lang w:val="en-GB"/>
        </w:rPr>
        <w:t xml:space="preserve"> we showed, </w:t>
      </w:r>
      <w:r w:rsidR="00A409CC" w:rsidRPr="00860DAA">
        <w:rPr>
          <w:color w:val="auto"/>
          <w:lang w:val="en-GB"/>
        </w:rPr>
        <w:t>like</w:t>
      </w:r>
      <w:r w:rsidRPr="00860DAA">
        <w:rPr>
          <w:color w:val="auto"/>
          <w:lang w:val="en-GB"/>
        </w:rPr>
        <w:t xml:space="preserve"> common recommendations, that the combination of surgery followed by SSA, PRRT and systemic treatment are favourable for survival (PFS). Last but not least, due the lack of biomarker information of our GEP-NET cohort we could not subcategorize our population based on the molecular class and match them to different treatment responses. A more precise characterization of GEP-NETs by different molecular features as vascular endothelial growth factor (VEGFR) for anti-VEGF targeting, program death ligand-1 (PD-1), mismatch repair deficiency (MMR-d) and combined positive score (CPS) for checkpoint-inhibitor targeting, O-6-methylguanine-DNA methyltransferase (MGMT) status for temozolomide efficacy as well evaluation of the RAS-RAF-MEK-ERK cascade inhibition for </w:t>
      </w:r>
      <w:proofErr w:type="spellStart"/>
      <w:r w:rsidRPr="00860DAA">
        <w:rPr>
          <w:color w:val="auto"/>
          <w:lang w:val="en-GB"/>
        </w:rPr>
        <w:t>multikinase</w:t>
      </w:r>
      <w:proofErr w:type="spellEnd"/>
      <w:r w:rsidRPr="00860DAA">
        <w:rPr>
          <w:color w:val="auto"/>
          <w:lang w:val="en-GB"/>
        </w:rPr>
        <w:t xml:space="preserve"> inhibitors as dabrafenib trametinib would be recommended to perform a personalized treatment profile for GEP-NET patients.</w:t>
      </w:r>
      <w:r w:rsidRPr="00860DAA">
        <w:rPr>
          <w:color w:val="auto"/>
          <w:lang w:val="en-GB"/>
        </w:rPr>
        <w:fldChar w:fldCharType="begin" w:fldLock="1"/>
      </w:r>
      <w:r w:rsidRPr="00860DAA">
        <w:rPr>
          <w:color w:val="auto"/>
          <w:lang w:val="en-GB"/>
        </w:rPr>
        <w:instrText>ADDIN CSL_CITATION {"citationItems":[{"id":"ITEM-1","itemData":{"DOI":"10.1136/gutjnl-2020-321300","abstract":"Gastroenteropancreatic neuroendocrine neoplasia (GEPNEN) comprises clinically as well as prognostically diverse tumour entities often diagnosed at late stage. Current classification provides a uniform terminology and a Ki67-based grading system, thereby facilitating management. Advances in the study of genomic and epigenetic landscapes have amplified knowledge of tumour biology and enhanced identification of prognostic and potentially predictive treatment subgroups. Translation of this genomic and mechanistic biology into advanced GEPNEN management is limited. ‘Targeted’ treatments such as somatostatin analogues, peptide receptor radiotherapy, tyrosine kinase inhibitors and mammalian target of rapamycin inhibitors are treatment options but predictive tools are lacking. The inability to identify clonal heterogeneity and define critical oncoregulatory pathways prior to therapy, restrict therapeutic efficacy as does the inability to monitor disease status in real time. Chemotherapy in the poor prognosis NEN G3 group, though associated with acceptable response rates, only leads to short-term tumour control and their molecular biology requires delineation to provide new and more specific treatment options.The future requires an exploration of the NEN tumour genome, its microenvironment and an identification of critical oncologic checkpoints for precise drug targeting. In the advance to personalised medical treatment of patients with GEPNEN, clinical trials need to be based on mechanistic and multidimensional characterisation of each tumour in order to identify the therapeutic agent effective for the individual tumour.This review surveys advances in NEN research and delineates the current status of translation with a view to laying the basis for a genome-based personalised medicine management of advanced GEPNEN.","author":[{"dropping-particle":"","family":"Rinke","given":"Anja","non-dropping-particle":"","parse-names":false,"suffix":""},{"dropping-particle":"","family":"Auernhammer","given":"Christoph J","non-dropping-particle":"","parse-names":false,"suffix":""},{"dropping-particle":"","family":"Bodei","given":"Lisa","non-dropping-particle":"","parse-names":false,"suffix":""},{"dropping-particle":"","family":"Kidd","given":"Mark","non-dropping-particle":"","parse-names":false,"suffix":""},{"dropping-particle":"","family":"Krug","given":"Sebastian","non-dropping-particle":"","parse-names":false,"suffix":""},{"dropping-particle":"","family":"Lawlor","given":"Rita","non-dropping-particle":"","parse-names":false,"suffix":""},{"dropping-particle":"","family":"Marinoni","given":"Ilaria","non-dropping-particle":"","parse-names":false,"suffix":""},{"dropping-particle":"","family":"Perren","given":"Aurel","non-dropping-particle":"","parse-names":false,"suffix":""},{"dropping-particle":"","family":"Scarpa","given":"Aldo","non-dropping-particle":"","parse-names":false,"suffix":""},{"dropping-particle":"","family":"Sorbye","given":"Halfdan","non-dropping-particle":"","parse-names":false,"suffix":""},{"dropping-particle":"","family":"Pavel","given":"Marianne Ellen","non-dropping-particle":"","parse-names":false,"suffix":""},{"dropping-particle":"","family":"Weber","given":"Matthias M","non-dropping-particle":"","parse-names":false,"suffix":""},{"dropping-particle":"","family":"Modlin","given":"Irvin","non-dropping-particle":"","parse-names":false,"suffix":""},{"dropping-particle":"","family":"Gress","given":"Thomas M","non-dropping-particle":"","parse-names":false,"suffix":""}],"container-title":"Gut","id":"ITEM-1","issue":"9","issued":{"date-parts":[["2021","9","1"]]},"page":"1768 LP  - 1781","title":"Treatment of advanced gastroenteropancreatic neuroendocrine neoplasia, are we on the way to personalised medicine?","type":"article-journal","volume":"70"},"uris":["http://www.mendeley.com/documents/?uuid=3c12270b-4200-40c8-9e20-4f55346781e3"]}],"mendeley":{"formattedCitation":"&lt;sup&gt;63&lt;/sup&gt;","plainTextFormattedCitation":"63"},"properties":{"noteIndex":0},"schema":"https://github.com/citation-style-language/schema/raw/master/csl-citation.json"}</w:instrText>
      </w:r>
      <w:r w:rsidR="00000000" w:rsidRPr="00860DAA">
        <w:rPr>
          <w:color w:val="auto"/>
          <w:lang w:val="en-GB"/>
        </w:rPr>
        <w:fldChar w:fldCharType="separate"/>
      </w:r>
      <w:r w:rsidRPr="00860DAA">
        <w:rPr>
          <w:color w:val="auto"/>
          <w:lang w:val="en-GB"/>
        </w:rPr>
        <w:fldChar w:fldCharType="end"/>
      </w:r>
    </w:p>
    <w:p w14:paraId="1750D1B7" w14:textId="77777777" w:rsidR="0034040A" w:rsidRPr="00860DAA" w:rsidRDefault="0034040A" w:rsidP="0034040A">
      <w:pPr>
        <w:pStyle w:val="Listenabsatz"/>
        <w:adjustRightInd w:val="0"/>
        <w:snapToGrid w:val="0"/>
        <w:spacing w:before="240" w:after="60" w:line="228" w:lineRule="auto"/>
        <w:ind w:left="0"/>
      </w:pPr>
      <w:r w:rsidRPr="00860DAA">
        <w:rPr>
          <w:lang w:val="en-GB"/>
        </w:rPr>
        <w:t xml:space="preserve">In future we aim to follow-up and monitor GEP-NET patients steadily and prospectively at our </w:t>
      </w:r>
      <w:proofErr w:type="spellStart"/>
      <w:r w:rsidRPr="00860DAA">
        <w:rPr>
          <w:rFonts w:cs="Arial"/>
          <w:lang w:val="en-GB"/>
        </w:rPr>
        <w:t>center</w:t>
      </w:r>
      <w:proofErr w:type="spellEnd"/>
      <w:r w:rsidRPr="00860DAA">
        <w:rPr>
          <w:lang w:val="en-GB"/>
        </w:rPr>
        <w:t xml:space="preserve"> to collect complete long-term data of a consistent GEP-NET cohort including an updated WHO 2019 grading system. In addition, collection of material (tissue, blood, stool, urine) for creating a unique biobank is planned.</w:t>
      </w:r>
    </w:p>
    <w:p w14:paraId="24471B2E" w14:textId="75C747D2" w:rsidR="0034040A" w:rsidRPr="00860DAA" w:rsidRDefault="0034040A" w:rsidP="0034040A">
      <w:pPr>
        <w:pStyle w:val="Listenabsatz"/>
        <w:numPr>
          <w:ilvl w:val="0"/>
          <w:numId w:val="2"/>
        </w:numPr>
        <w:adjustRightInd w:val="0"/>
        <w:snapToGrid w:val="0"/>
        <w:spacing w:before="240" w:after="60" w:line="228" w:lineRule="auto"/>
        <w:ind w:left="0"/>
      </w:pPr>
      <w:r w:rsidRPr="00860DAA">
        <w:rPr>
          <w:rFonts w:cs="Arial"/>
          <w:szCs w:val="24"/>
          <w:lang w:val="en-GB"/>
        </w:rPr>
        <w:t>We demonstrated that surgery, as initial and only curative treatment, is favourable regarding to survival rates. Cytoreductive surgery should be also considered for patients with advanced disease to reduce symptoms and to improve the effect of following systemic therapies.</w:t>
      </w:r>
      <w:r w:rsidRPr="00860DAA">
        <w:rPr>
          <w:rFonts w:cs="Arial"/>
          <w:szCs w:val="24"/>
          <w:vertAlign w:val="superscript"/>
          <w:lang w:val="en-GB"/>
        </w:rPr>
        <w:fldChar w:fldCharType="begin" w:fldLock="1"/>
      </w:r>
      <w:r w:rsidRPr="00860DAA">
        <w:rPr>
          <w:rFonts w:cs="Arial"/>
          <w:szCs w:val="24"/>
          <w:vertAlign w:val="superscript"/>
          <w:lang w:val="en-GB"/>
        </w:rPr>
        <w:instrText>ADDIN CSL_CITATION {"citationItems":[{"id":"ITEM-1","itemData":{"DOI":"10.1093/annonc/mds295","ISBN":"1569-8041 (Electronic)\\r0923-7534 (Linking)","ISSN":"09237534","PMID":"22997445","abstract":"An in vivo study of viscous isoamyl 2-cyanoacrylate used in limited amounts as an osseous adhesive was performed to evaluate the ability of the monomer to maintain the reduction of an unstable intra-articular osteochondral osteotomy as well as to allow for healing around the sites of adhesive placement. A histologic evaluation of any inflammatory reaction involving adjacent bone, cartilage, or synovium was also performed. Osteochondral fragments were created in 48 rabbit knees. In 24 knees, reduction of the fragment was secured with one small drop of adhesive at either end of the osteotomy surface. In 24 control knees, no adhesive was used. Ninety-six percent of the osteotomies in the adhesive treated group healed versus 50% of the control group. This difference is statistically significant (p less than 0.05). Osseous and cartilaginous healing was noted to proceed in an apparently unimpaired fashion around the sites of adhesive placement, and no inflammatory reaction involving adjacent viable tissue was evident","author":[{"dropping-particle":"","family":"Öberg","given":"K.","non-dropping-particle":"","parse-names":false,"suffix":""},{"dropping-particle":"","family":"Knigge","given":"U.","non-dropping-particle":"","parse-names":false,"suffix":""},{"dropping-particle":"","family":"Kwekkeboom","given":"D.","non-dropping-particle":"","parse-names":false,"suffix":""},{"dropping-particle":"","family":"Perren","given":"A.","non-dropping-particle":"","parse-names":false,"suffix":""}],"container-title":"Annals of Oncology","id":"ITEM-1","issue":"SUPPL. 7","issued":{"date-parts":[["2012"]]},"title":"Neuroendocrine gastro-entero-pancreatic tumors: ESMO clinical practice guidelines for diagnosis, treatment and follow-up","type":"article-journal","volume":"23"},"uris":["http://www.mendeley.com/documents/?uuid=19649d2f-fbb4-4abf-aea0-212852d75849"]}],"mendeley":{"formattedCitation":"&lt;sup&gt;11&lt;/sup&gt;","plainTextFormattedCitation":"11","previouslyFormattedCitation":"&lt;sup&gt;11&lt;/sup&gt;"},"properties":{"noteIndex":0},"schema":"https://github.com/citation-style-language/schema/raw/master/csl-citation.json"}</w:instrText>
      </w:r>
      <w:r w:rsidRPr="00860DAA">
        <w:rPr>
          <w:rFonts w:cs="Arial"/>
          <w:szCs w:val="24"/>
          <w:vertAlign w:val="superscript"/>
          <w:lang w:val="en-GB"/>
        </w:rPr>
        <w:fldChar w:fldCharType="separate"/>
      </w:r>
      <w:r w:rsidRPr="00860DAA">
        <w:rPr>
          <w:rFonts w:cs="Arial"/>
          <w:noProof/>
          <w:szCs w:val="24"/>
          <w:vertAlign w:val="superscript"/>
          <w:lang w:val="en-GB"/>
        </w:rPr>
        <w:t>11</w:t>
      </w:r>
      <w:r w:rsidRPr="00860DAA">
        <w:rPr>
          <w:rFonts w:cs="Arial"/>
          <w:szCs w:val="24"/>
          <w:vertAlign w:val="superscript"/>
          <w:lang w:val="en-GB"/>
        </w:rPr>
        <w:fldChar w:fldCharType="end"/>
      </w:r>
      <w:r w:rsidRPr="00860DAA">
        <w:rPr>
          <w:rFonts w:cs="Arial"/>
          <w:szCs w:val="24"/>
          <w:vertAlign w:val="superscript"/>
          <w:lang w:val="en-GB"/>
        </w:rPr>
        <w:t xml:space="preserve">, </w:t>
      </w:r>
      <w:r w:rsidRPr="00860DAA">
        <w:rPr>
          <w:szCs w:val="24"/>
          <w:vertAlign w:val="superscript"/>
          <w:lang w:val="en-GB"/>
        </w:rPr>
        <w:fldChar w:fldCharType="begin" w:fldLock="1"/>
      </w:r>
      <w:r w:rsidRPr="00860DAA">
        <w:rPr>
          <w:szCs w:val="24"/>
          <w:vertAlign w:val="superscript"/>
          <w:lang w:val="en-GB"/>
        </w:rPr>
        <w:instrText>ADDIN CSL_CITATION {"citationItems":[{"id":"ITEM-1","itemData":{"DOI":"10.1016/j.bpg.2012.12.005","ISBN":"1532-1916 (Electronic)\r1521-6918 (Linking)","ISSN":"15216918","PMID":"23582921","abstract":"Surgery is the only treatment that may cure the patient with gastroentero-pancreatic (GEP) neuroendocrine tumours (NET) and neuroendocrine carcinomas (NEC) and should always be considered as first line treatment if R0/R1 resection can be achieved. The surgical and interventional procedures for GEP-NET are accordingly described below. Life-long follow-up should be performed in almost all patients at a specialized NET center. © 2013 Elsevier Ltd. All rights reserved.","author":[{"dropping-particle":"","family":"Knigge","given":"Ulrich","non-dropping-particle":"","parse-names":false,"suffix":""},{"dropping-particle":"","family":"Hansen","given":"Carsten Palnæs","non-dropping-particle":"","parse-names":false,"suffix":""}],"container-title":"Best Practice and Research: Clinical Gastroenterology","id":"ITEM-1","issue":"6","issued":{"date-parts":[["2012"]]},"page":"819-831","publisher":"Elsevier Ltd","title":"Surgery for GEP-NETs","type":"article-journal","volume":"26"},"uris":["http://www.mendeley.com/documents/?uuid=37dba69e-3a3b-4af6-b877-f04c2b124168"]}],"mendeley":{"formattedCitation":"&lt;sup&gt;25&lt;/sup&gt;","plainTextFormattedCitation":"25","previouslyFormattedCitation":"&lt;sup&gt;25&lt;/sup&gt;"},"properties":{"noteIndex":0},"schema":"https://github.com/citation-style-language/schema/raw/master/csl-citation.json"}</w:instrText>
      </w:r>
      <w:r w:rsidRPr="00860DAA">
        <w:rPr>
          <w:szCs w:val="24"/>
          <w:vertAlign w:val="superscript"/>
          <w:lang w:val="en-GB"/>
        </w:rPr>
        <w:fldChar w:fldCharType="separate"/>
      </w:r>
      <w:r w:rsidRPr="00860DAA">
        <w:rPr>
          <w:noProof/>
          <w:szCs w:val="24"/>
          <w:vertAlign w:val="superscript"/>
          <w:lang w:val="en-GB"/>
        </w:rPr>
        <w:t>25</w:t>
      </w:r>
      <w:r w:rsidRPr="00860DAA">
        <w:rPr>
          <w:szCs w:val="24"/>
          <w:vertAlign w:val="superscript"/>
          <w:lang w:val="en-GB"/>
        </w:rPr>
        <w:fldChar w:fldCharType="end"/>
      </w:r>
      <w:r w:rsidRPr="00860DAA">
        <w:rPr>
          <w:rFonts w:cs="Arial"/>
          <w:szCs w:val="24"/>
          <w:lang w:val="en-GB"/>
        </w:rPr>
        <w:t xml:space="preserve"> However, </w:t>
      </w:r>
      <w:proofErr w:type="spellStart"/>
      <w:r w:rsidRPr="00860DAA">
        <w:rPr>
          <w:rFonts w:cs="Arial"/>
          <w:szCs w:val="24"/>
          <w:lang w:val="en-GB"/>
        </w:rPr>
        <w:t>tumor</w:t>
      </w:r>
      <w:proofErr w:type="spellEnd"/>
      <w:r w:rsidRPr="00860DAA">
        <w:rPr>
          <w:rFonts w:cs="Arial"/>
          <w:szCs w:val="24"/>
          <w:lang w:val="en-GB"/>
        </w:rPr>
        <w:t xml:space="preserve"> burden should be &gt; 80% resectable. </w:t>
      </w:r>
    </w:p>
    <w:p w14:paraId="03A93A5F" w14:textId="77777777" w:rsidR="0034040A" w:rsidRPr="00860DAA" w:rsidRDefault="0034040A" w:rsidP="0034040A">
      <w:pPr>
        <w:pStyle w:val="Listenabsatz"/>
        <w:adjustRightInd w:val="0"/>
        <w:snapToGrid w:val="0"/>
        <w:spacing w:before="240" w:after="60" w:line="228" w:lineRule="auto"/>
        <w:ind w:left="0"/>
        <w:rPr>
          <w:highlight w:val="yellow"/>
        </w:rPr>
      </w:pPr>
    </w:p>
    <w:p w14:paraId="7E926FEE" w14:textId="77777777" w:rsidR="00FA286C" w:rsidRPr="00860DAA" w:rsidRDefault="00FA286C" w:rsidP="00FA286C">
      <w:pPr>
        <w:spacing w:line="240" w:lineRule="auto"/>
        <w:jc w:val="left"/>
      </w:pPr>
      <w:r w:rsidRPr="00860DAA">
        <w:br w:type="page"/>
      </w:r>
    </w:p>
    <w:p w14:paraId="52DD000F" w14:textId="77777777" w:rsidR="00FA286C" w:rsidRPr="00860DAA" w:rsidRDefault="00FA286C" w:rsidP="00FA286C">
      <w:pPr>
        <w:adjustRightInd w:val="0"/>
        <w:snapToGrid w:val="0"/>
        <w:spacing w:before="240" w:after="60" w:line="228" w:lineRule="auto"/>
        <w:rPr>
          <w:b/>
          <w:bCs/>
          <w:szCs w:val="18"/>
          <w:lang w:bidi="en-US"/>
        </w:rPr>
      </w:pPr>
      <w:r w:rsidRPr="00860DAA">
        <w:rPr>
          <w:b/>
          <w:bCs/>
          <w:szCs w:val="18"/>
          <w:lang w:bidi="en-US"/>
        </w:rPr>
        <w:lastRenderedPageBreak/>
        <w:t>Appendix B</w:t>
      </w:r>
    </w:p>
    <w:p w14:paraId="0358305F" w14:textId="77777777" w:rsidR="00FA286C" w:rsidRPr="00860DAA" w:rsidRDefault="00FA286C" w:rsidP="00FA286C">
      <w:pPr>
        <w:ind w:firstLine="510"/>
        <w:jc w:val="center"/>
        <w:rPr>
          <w:lang w:val="en-GB"/>
        </w:rPr>
      </w:pPr>
      <w:r w:rsidRPr="00860DAA">
        <w:rPr>
          <w:lang w:val="en-GB"/>
        </w:rPr>
        <w:t>No. of patients (%)</w:t>
      </w:r>
    </w:p>
    <w:tbl>
      <w:tblPr>
        <w:tblStyle w:val="TabelleEinfach2"/>
        <w:tblW w:w="5000" w:type="pct"/>
        <w:tblLayout w:type="fixed"/>
        <w:tblLook w:val="04A0" w:firstRow="1" w:lastRow="0" w:firstColumn="1" w:lastColumn="0" w:noHBand="0" w:noVBand="1"/>
      </w:tblPr>
      <w:tblGrid>
        <w:gridCol w:w="2125"/>
        <w:gridCol w:w="1157"/>
        <w:gridCol w:w="1158"/>
        <w:gridCol w:w="1158"/>
        <w:gridCol w:w="1158"/>
        <w:gridCol w:w="1158"/>
        <w:gridCol w:w="1158"/>
      </w:tblGrid>
      <w:tr w:rsidR="00FD61CC" w:rsidRPr="00860DAA" w14:paraId="28D1448C" w14:textId="77777777" w:rsidTr="00FD61CC">
        <w:trPr>
          <w:cnfStyle w:val="100000000000" w:firstRow="1" w:lastRow="0" w:firstColumn="0" w:lastColumn="0" w:oddVBand="0" w:evenVBand="0" w:oddHBand="0" w:evenHBand="0" w:firstRowFirstColumn="0" w:firstRowLastColumn="0" w:lastRowFirstColumn="0" w:lastRowLastColumn="0"/>
          <w:trHeight w:hRule="exact" w:val="113"/>
        </w:trPr>
        <w:tc>
          <w:tcPr>
            <w:cnfStyle w:val="001000000000" w:firstRow="0" w:lastRow="0" w:firstColumn="1" w:lastColumn="0" w:oddVBand="0" w:evenVBand="0" w:oddHBand="0" w:evenHBand="0" w:firstRowFirstColumn="0" w:firstRowLastColumn="0" w:lastRowFirstColumn="0" w:lastRowLastColumn="0"/>
            <w:tcW w:w="1172" w:type="pct"/>
            <w:shd w:val="clear" w:color="auto" w:fill="auto"/>
          </w:tcPr>
          <w:p w14:paraId="02B611A6" w14:textId="77777777" w:rsidR="00FD61CC" w:rsidRPr="00860DAA" w:rsidRDefault="00FD61CC" w:rsidP="00396CB2">
            <w:pPr>
              <w:tabs>
                <w:tab w:val="left" w:pos="1694"/>
                <w:tab w:val="right" w:leader="dot" w:pos="9214"/>
              </w:tabs>
              <w:ind w:left="720"/>
              <w:rPr>
                <w:rFonts w:cs="Arial"/>
                <w:sz w:val="18"/>
                <w:szCs w:val="18"/>
                <w:lang w:val="en-GB"/>
              </w:rPr>
            </w:pPr>
          </w:p>
          <w:p w14:paraId="1DCFACDA" w14:textId="77777777" w:rsidR="00FD61CC" w:rsidRPr="00860DAA" w:rsidRDefault="00FD61CC" w:rsidP="00396CB2">
            <w:pPr>
              <w:tabs>
                <w:tab w:val="left" w:pos="1694"/>
                <w:tab w:val="right" w:leader="dot" w:pos="9214"/>
              </w:tabs>
              <w:ind w:left="720"/>
              <w:rPr>
                <w:rFonts w:cs="Arial"/>
                <w:sz w:val="18"/>
                <w:szCs w:val="18"/>
                <w:lang w:val="en-GB"/>
              </w:rPr>
            </w:pPr>
          </w:p>
        </w:tc>
        <w:tc>
          <w:tcPr>
            <w:tcW w:w="638" w:type="pct"/>
            <w:shd w:val="clear" w:color="auto" w:fill="auto"/>
          </w:tcPr>
          <w:p w14:paraId="4326ECBB" w14:textId="77777777" w:rsidR="00FD61CC" w:rsidRPr="00860DAA" w:rsidRDefault="00FD61CC" w:rsidP="00396CB2">
            <w:pPr>
              <w:tabs>
                <w:tab w:val="left" w:pos="1694"/>
                <w:tab w:val="right" w:leader="dot" w:pos="9214"/>
              </w:tabs>
              <w:ind w:left="720"/>
              <w:cnfStyle w:val="100000000000" w:firstRow="1" w:lastRow="0" w:firstColumn="0" w:lastColumn="0" w:oddVBand="0" w:evenVBand="0" w:oddHBand="0" w:evenHBand="0" w:firstRowFirstColumn="0" w:firstRowLastColumn="0" w:lastRowFirstColumn="0" w:lastRowLastColumn="0"/>
              <w:rPr>
                <w:rFonts w:cs="Arial"/>
                <w:sz w:val="18"/>
                <w:szCs w:val="18"/>
                <w:lang w:val="en-GB"/>
              </w:rPr>
            </w:pPr>
          </w:p>
        </w:tc>
        <w:tc>
          <w:tcPr>
            <w:tcW w:w="638" w:type="pct"/>
            <w:shd w:val="clear" w:color="auto" w:fill="auto"/>
          </w:tcPr>
          <w:p w14:paraId="4754A1FE" w14:textId="77777777" w:rsidR="00FD61CC" w:rsidRPr="00860DAA" w:rsidRDefault="00FD61CC" w:rsidP="00396CB2">
            <w:pPr>
              <w:tabs>
                <w:tab w:val="left" w:pos="1694"/>
                <w:tab w:val="right" w:leader="dot" w:pos="9214"/>
              </w:tabs>
              <w:ind w:left="720"/>
              <w:cnfStyle w:val="100000000000" w:firstRow="1" w:lastRow="0" w:firstColumn="0" w:lastColumn="0" w:oddVBand="0" w:evenVBand="0" w:oddHBand="0" w:evenHBand="0" w:firstRowFirstColumn="0" w:firstRowLastColumn="0" w:lastRowFirstColumn="0" w:lastRowLastColumn="0"/>
              <w:rPr>
                <w:rFonts w:cs="Arial"/>
                <w:sz w:val="18"/>
                <w:szCs w:val="18"/>
                <w:lang w:val="en-GB"/>
              </w:rPr>
            </w:pPr>
          </w:p>
        </w:tc>
        <w:tc>
          <w:tcPr>
            <w:tcW w:w="638" w:type="pct"/>
            <w:shd w:val="clear" w:color="auto" w:fill="auto"/>
          </w:tcPr>
          <w:p w14:paraId="14D761DF" w14:textId="77777777" w:rsidR="00FD61CC" w:rsidRPr="00860DAA" w:rsidRDefault="00FD61CC" w:rsidP="00396CB2">
            <w:pPr>
              <w:tabs>
                <w:tab w:val="left" w:pos="1694"/>
                <w:tab w:val="right" w:leader="dot" w:pos="9214"/>
              </w:tabs>
              <w:ind w:left="720"/>
              <w:cnfStyle w:val="100000000000" w:firstRow="1" w:lastRow="0" w:firstColumn="0" w:lastColumn="0" w:oddVBand="0" w:evenVBand="0" w:oddHBand="0" w:evenHBand="0" w:firstRowFirstColumn="0" w:firstRowLastColumn="0" w:lastRowFirstColumn="0" w:lastRowLastColumn="0"/>
              <w:rPr>
                <w:rFonts w:cs="Arial"/>
                <w:sz w:val="18"/>
                <w:szCs w:val="18"/>
                <w:lang w:val="en-GB"/>
              </w:rPr>
            </w:pPr>
          </w:p>
        </w:tc>
        <w:tc>
          <w:tcPr>
            <w:tcW w:w="638" w:type="pct"/>
            <w:shd w:val="clear" w:color="auto" w:fill="auto"/>
          </w:tcPr>
          <w:p w14:paraId="25D25E43" w14:textId="77777777" w:rsidR="00FD61CC" w:rsidRPr="00860DAA" w:rsidRDefault="00FD61CC" w:rsidP="00396CB2">
            <w:pPr>
              <w:tabs>
                <w:tab w:val="left" w:pos="1694"/>
                <w:tab w:val="right" w:leader="dot" w:pos="9214"/>
              </w:tabs>
              <w:ind w:left="720"/>
              <w:cnfStyle w:val="100000000000" w:firstRow="1" w:lastRow="0" w:firstColumn="0" w:lastColumn="0" w:oddVBand="0" w:evenVBand="0" w:oddHBand="0" w:evenHBand="0" w:firstRowFirstColumn="0" w:firstRowLastColumn="0" w:lastRowFirstColumn="0" w:lastRowLastColumn="0"/>
              <w:rPr>
                <w:rFonts w:cs="Arial"/>
                <w:sz w:val="18"/>
                <w:szCs w:val="18"/>
                <w:lang w:val="en-GB"/>
              </w:rPr>
            </w:pPr>
          </w:p>
        </w:tc>
        <w:tc>
          <w:tcPr>
            <w:tcW w:w="638" w:type="pct"/>
          </w:tcPr>
          <w:p w14:paraId="1276F74D" w14:textId="77777777" w:rsidR="00FD61CC" w:rsidRPr="00860DAA" w:rsidRDefault="00FD61CC" w:rsidP="00396CB2">
            <w:pPr>
              <w:tabs>
                <w:tab w:val="left" w:pos="1694"/>
                <w:tab w:val="right" w:leader="dot" w:pos="9214"/>
              </w:tabs>
              <w:ind w:left="720"/>
              <w:cnfStyle w:val="100000000000" w:firstRow="1" w:lastRow="0" w:firstColumn="0" w:lastColumn="0" w:oddVBand="0" w:evenVBand="0" w:oddHBand="0" w:evenHBand="0" w:firstRowFirstColumn="0" w:firstRowLastColumn="0" w:lastRowFirstColumn="0" w:lastRowLastColumn="0"/>
              <w:rPr>
                <w:rFonts w:cs="Arial"/>
                <w:sz w:val="18"/>
                <w:szCs w:val="18"/>
                <w:lang w:val="en-GB"/>
              </w:rPr>
            </w:pPr>
          </w:p>
        </w:tc>
        <w:tc>
          <w:tcPr>
            <w:tcW w:w="638" w:type="pct"/>
            <w:shd w:val="clear" w:color="auto" w:fill="auto"/>
          </w:tcPr>
          <w:p w14:paraId="78F9F8F8" w14:textId="77777777" w:rsidR="00FD61CC" w:rsidRPr="00860DAA" w:rsidRDefault="00FD61CC" w:rsidP="00396CB2">
            <w:pPr>
              <w:tabs>
                <w:tab w:val="left" w:pos="1694"/>
                <w:tab w:val="right" w:leader="dot" w:pos="9214"/>
              </w:tabs>
              <w:ind w:left="720"/>
              <w:cnfStyle w:val="100000000000" w:firstRow="1" w:lastRow="0" w:firstColumn="0" w:lastColumn="0" w:oddVBand="0" w:evenVBand="0" w:oddHBand="0" w:evenHBand="0" w:firstRowFirstColumn="0" w:firstRowLastColumn="0" w:lastRowFirstColumn="0" w:lastRowLastColumn="0"/>
              <w:rPr>
                <w:rFonts w:cs="Arial"/>
                <w:sz w:val="18"/>
                <w:szCs w:val="18"/>
                <w:lang w:val="en-GB"/>
              </w:rPr>
            </w:pPr>
          </w:p>
        </w:tc>
      </w:tr>
      <w:tr w:rsidR="00FD61CC" w:rsidRPr="00860DAA" w14:paraId="7E3A9AF7" w14:textId="77777777" w:rsidTr="00FD61CC">
        <w:trPr>
          <w:trHeight w:val="350"/>
        </w:trPr>
        <w:tc>
          <w:tcPr>
            <w:cnfStyle w:val="001000000000" w:firstRow="0" w:lastRow="0" w:firstColumn="1" w:lastColumn="0" w:oddVBand="0" w:evenVBand="0" w:oddHBand="0" w:evenHBand="0" w:firstRowFirstColumn="0" w:firstRowLastColumn="0" w:lastRowFirstColumn="0" w:lastRowLastColumn="0"/>
            <w:tcW w:w="1172" w:type="pct"/>
            <w:shd w:val="clear" w:color="auto" w:fill="BFBFBF" w:themeFill="background1" w:themeFillShade="BF"/>
          </w:tcPr>
          <w:p w14:paraId="7F3F6B79" w14:textId="77777777" w:rsidR="00FD61CC" w:rsidRPr="00860DAA" w:rsidRDefault="00FD61CC" w:rsidP="00396CB2">
            <w:pPr>
              <w:tabs>
                <w:tab w:val="left" w:pos="1141"/>
                <w:tab w:val="right" w:pos="9214"/>
              </w:tabs>
              <w:ind w:left="567" w:hanging="567"/>
              <w:rPr>
                <w:rFonts w:cs="Arial"/>
                <w:sz w:val="18"/>
                <w:szCs w:val="18"/>
                <w:lang w:val="en-GB"/>
              </w:rPr>
            </w:pPr>
            <w:r w:rsidRPr="00860DAA">
              <w:rPr>
                <w:rFonts w:cs="Arial"/>
                <w:sz w:val="18"/>
                <w:szCs w:val="18"/>
                <w:lang w:val="en-GB"/>
              </w:rPr>
              <w:t>Primary Site</w:t>
            </w:r>
          </w:p>
        </w:tc>
        <w:tc>
          <w:tcPr>
            <w:tcW w:w="638" w:type="pct"/>
            <w:shd w:val="clear" w:color="auto" w:fill="BFBFBF" w:themeFill="background1" w:themeFillShade="BF"/>
          </w:tcPr>
          <w:p w14:paraId="3F0AFF23"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Stage I</w:t>
            </w:r>
          </w:p>
        </w:tc>
        <w:tc>
          <w:tcPr>
            <w:tcW w:w="638" w:type="pct"/>
            <w:shd w:val="clear" w:color="auto" w:fill="BFBFBF" w:themeFill="background1" w:themeFillShade="BF"/>
          </w:tcPr>
          <w:p w14:paraId="23EAB70F"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Stage II</w:t>
            </w:r>
          </w:p>
        </w:tc>
        <w:tc>
          <w:tcPr>
            <w:tcW w:w="638" w:type="pct"/>
            <w:shd w:val="clear" w:color="auto" w:fill="BFBFBF" w:themeFill="background1" w:themeFillShade="BF"/>
          </w:tcPr>
          <w:p w14:paraId="7E7D9004"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Stage III</w:t>
            </w:r>
          </w:p>
        </w:tc>
        <w:tc>
          <w:tcPr>
            <w:tcW w:w="638" w:type="pct"/>
            <w:shd w:val="clear" w:color="auto" w:fill="BFBFBF" w:themeFill="background1" w:themeFillShade="BF"/>
          </w:tcPr>
          <w:p w14:paraId="320AD3ED"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Stage IV</w:t>
            </w:r>
          </w:p>
        </w:tc>
        <w:tc>
          <w:tcPr>
            <w:tcW w:w="638" w:type="pct"/>
            <w:shd w:val="clear" w:color="auto" w:fill="BFBFBF" w:themeFill="background1" w:themeFillShade="BF"/>
          </w:tcPr>
          <w:p w14:paraId="64710948"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Unknown</w:t>
            </w:r>
          </w:p>
        </w:tc>
        <w:tc>
          <w:tcPr>
            <w:tcW w:w="638" w:type="pct"/>
            <w:shd w:val="clear" w:color="auto" w:fill="BFBFBF" w:themeFill="background1" w:themeFillShade="BF"/>
          </w:tcPr>
          <w:p w14:paraId="5F7DF55B"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Total</w:t>
            </w:r>
          </w:p>
        </w:tc>
      </w:tr>
      <w:tr w:rsidR="00FD61CC" w:rsidRPr="00860DAA" w14:paraId="2CF9CBF1" w14:textId="77777777" w:rsidTr="00FD61CC">
        <w:trPr>
          <w:trHeight w:val="350"/>
        </w:trPr>
        <w:tc>
          <w:tcPr>
            <w:cnfStyle w:val="001000000000" w:firstRow="0" w:lastRow="0" w:firstColumn="1" w:lastColumn="0" w:oddVBand="0" w:evenVBand="0" w:oddHBand="0" w:evenHBand="0" w:firstRowFirstColumn="0" w:firstRowLastColumn="0" w:lastRowFirstColumn="0" w:lastRowLastColumn="0"/>
            <w:tcW w:w="1172" w:type="pct"/>
          </w:tcPr>
          <w:p w14:paraId="2958000D" w14:textId="77777777" w:rsidR="00FD61CC" w:rsidRPr="00860DAA" w:rsidRDefault="00FD61CC" w:rsidP="00396CB2">
            <w:pPr>
              <w:tabs>
                <w:tab w:val="right" w:pos="2257"/>
              </w:tabs>
              <w:rPr>
                <w:rFonts w:cs="Arial"/>
                <w:b w:val="0"/>
                <w:bCs w:val="0"/>
                <w:sz w:val="18"/>
                <w:szCs w:val="18"/>
                <w:lang w:val="en-GB"/>
              </w:rPr>
            </w:pPr>
            <w:r w:rsidRPr="00860DAA">
              <w:rPr>
                <w:rFonts w:eastAsia="MS Gothic" w:cs="Arial"/>
                <w:sz w:val="18"/>
                <w:szCs w:val="18"/>
                <w:lang w:val="en-GB"/>
              </w:rPr>
              <w:t>Small intestine</w:t>
            </w:r>
          </w:p>
        </w:tc>
        <w:tc>
          <w:tcPr>
            <w:tcW w:w="638" w:type="pct"/>
          </w:tcPr>
          <w:p w14:paraId="3006B230" w14:textId="77777777" w:rsidR="00FD61CC" w:rsidRPr="00860DAA" w:rsidRDefault="00FD61CC" w:rsidP="00396CB2">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5 (5%)</w:t>
            </w:r>
          </w:p>
        </w:tc>
        <w:tc>
          <w:tcPr>
            <w:tcW w:w="638" w:type="pct"/>
          </w:tcPr>
          <w:p w14:paraId="0BEEAF83" w14:textId="77777777" w:rsidR="00FD61CC" w:rsidRPr="00860DAA" w:rsidRDefault="00FD61CC" w:rsidP="00396CB2">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10 (11%)</w:t>
            </w:r>
          </w:p>
        </w:tc>
        <w:tc>
          <w:tcPr>
            <w:tcW w:w="638" w:type="pct"/>
          </w:tcPr>
          <w:p w14:paraId="5ECFE06C" w14:textId="77777777" w:rsidR="00FD61CC" w:rsidRPr="00860DAA" w:rsidRDefault="00FD61CC" w:rsidP="00396CB2">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29 (31%)</w:t>
            </w:r>
          </w:p>
        </w:tc>
        <w:tc>
          <w:tcPr>
            <w:tcW w:w="638" w:type="pct"/>
          </w:tcPr>
          <w:p w14:paraId="67E17309"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41 (44%)</w:t>
            </w:r>
          </w:p>
        </w:tc>
        <w:tc>
          <w:tcPr>
            <w:tcW w:w="638" w:type="pct"/>
          </w:tcPr>
          <w:p w14:paraId="4F071E60" w14:textId="77777777" w:rsidR="00FD61CC" w:rsidRPr="00860DAA" w:rsidRDefault="00FD61CC" w:rsidP="00396CB2">
            <w:pP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8 (9%)</w:t>
            </w:r>
          </w:p>
        </w:tc>
        <w:tc>
          <w:tcPr>
            <w:tcW w:w="638" w:type="pct"/>
          </w:tcPr>
          <w:p w14:paraId="5F251740"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93 (36%)</w:t>
            </w:r>
          </w:p>
        </w:tc>
      </w:tr>
      <w:tr w:rsidR="00FD61CC" w:rsidRPr="00860DAA" w14:paraId="1850E255" w14:textId="77777777" w:rsidTr="00FD61CC">
        <w:trPr>
          <w:trHeight w:val="350"/>
        </w:trPr>
        <w:tc>
          <w:tcPr>
            <w:cnfStyle w:val="001000000000" w:firstRow="0" w:lastRow="0" w:firstColumn="1" w:lastColumn="0" w:oddVBand="0" w:evenVBand="0" w:oddHBand="0" w:evenHBand="0" w:firstRowFirstColumn="0" w:firstRowLastColumn="0" w:lastRowFirstColumn="0" w:lastRowLastColumn="0"/>
            <w:tcW w:w="1172" w:type="pct"/>
          </w:tcPr>
          <w:p w14:paraId="0611A04A" w14:textId="77777777" w:rsidR="00FD61CC" w:rsidRPr="00860DAA" w:rsidRDefault="00FD61CC" w:rsidP="00396CB2">
            <w:pPr>
              <w:tabs>
                <w:tab w:val="left" w:pos="1141"/>
                <w:tab w:val="right" w:pos="9214"/>
              </w:tabs>
              <w:ind w:left="567" w:hanging="567"/>
              <w:rPr>
                <w:rFonts w:eastAsia="MS Gothic" w:cs="Arial"/>
                <w:b w:val="0"/>
                <w:sz w:val="18"/>
                <w:szCs w:val="18"/>
                <w:lang w:val="en-GB"/>
              </w:rPr>
            </w:pPr>
            <w:r w:rsidRPr="00860DAA">
              <w:rPr>
                <w:rFonts w:eastAsia="MS Gothic" w:cs="Arial"/>
                <w:sz w:val="18"/>
                <w:szCs w:val="18"/>
                <w:lang w:val="en-GB"/>
              </w:rPr>
              <w:t>Pancreas</w:t>
            </w:r>
          </w:p>
        </w:tc>
        <w:tc>
          <w:tcPr>
            <w:tcW w:w="638" w:type="pct"/>
          </w:tcPr>
          <w:p w14:paraId="6D3EF226"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13 (15%)</w:t>
            </w:r>
          </w:p>
        </w:tc>
        <w:tc>
          <w:tcPr>
            <w:tcW w:w="638" w:type="pct"/>
          </w:tcPr>
          <w:p w14:paraId="22DC8FA5"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14 (16%)</w:t>
            </w:r>
          </w:p>
        </w:tc>
        <w:tc>
          <w:tcPr>
            <w:tcW w:w="638" w:type="pct"/>
          </w:tcPr>
          <w:p w14:paraId="027F7FE4"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15 (17%)</w:t>
            </w:r>
          </w:p>
        </w:tc>
        <w:tc>
          <w:tcPr>
            <w:tcW w:w="638" w:type="pct"/>
          </w:tcPr>
          <w:p w14:paraId="705A0439"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32 (36%)</w:t>
            </w:r>
          </w:p>
        </w:tc>
        <w:tc>
          <w:tcPr>
            <w:tcW w:w="638" w:type="pct"/>
          </w:tcPr>
          <w:p w14:paraId="4860F9F7"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14 (16%)</w:t>
            </w:r>
          </w:p>
        </w:tc>
        <w:tc>
          <w:tcPr>
            <w:tcW w:w="638" w:type="pct"/>
          </w:tcPr>
          <w:p w14:paraId="4B6261DB"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88 (35%)</w:t>
            </w:r>
          </w:p>
        </w:tc>
      </w:tr>
      <w:tr w:rsidR="00FD61CC" w:rsidRPr="00860DAA" w14:paraId="6D1446F2" w14:textId="77777777" w:rsidTr="00FD61CC">
        <w:trPr>
          <w:trHeight w:val="350"/>
        </w:trPr>
        <w:tc>
          <w:tcPr>
            <w:cnfStyle w:val="001000000000" w:firstRow="0" w:lastRow="0" w:firstColumn="1" w:lastColumn="0" w:oddVBand="0" w:evenVBand="0" w:oddHBand="0" w:evenHBand="0" w:firstRowFirstColumn="0" w:firstRowLastColumn="0" w:lastRowFirstColumn="0" w:lastRowLastColumn="0"/>
            <w:tcW w:w="1172" w:type="pct"/>
          </w:tcPr>
          <w:p w14:paraId="72078D33" w14:textId="77777777" w:rsidR="00FD61CC" w:rsidRPr="00860DAA" w:rsidRDefault="00FD61CC" w:rsidP="00396CB2">
            <w:pPr>
              <w:tabs>
                <w:tab w:val="left" w:pos="1141"/>
                <w:tab w:val="right" w:pos="9214"/>
              </w:tabs>
              <w:ind w:left="567" w:hanging="567"/>
              <w:rPr>
                <w:rFonts w:eastAsia="MS Gothic" w:cs="Arial"/>
                <w:b w:val="0"/>
                <w:sz w:val="18"/>
                <w:szCs w:val="18"/>
                <w:lang w:val="en-GB"/>
              </w:rPr>
            </w:pPr>
            <w:r w:rsidRPr="00860DAA">
              <w:rPr>
                <w:rFonts w:eastAsia="MS Gothic" w:cs="Arial"/>
                <w:sz w:val="18"/>
                <w:szCs w:val="18"/>
                <w:lang w:val="en-GB"/>
              </w:rPr>
              <w:t>Appendix</w:t>
            </w:r>
          </w:p>
        </w:tc>
        <w:tc>
          <w:tcPr>
            <w:tcW w:w="638" w:type="pct"/>
          </w:tcPr>
          <w:p w14:paraId="26C0D1D1"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7 (37%)</w:t>
            </w:r>
          </w:p>
        </w:tc>
        <w:tc>
          <w:tcPr>
            <w:tcW w:w="638" w:type="pct"/>
          </w:tcPr>
          <w:p w14:paraId="4E3E152B"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6 (32%)</w:t>
            </w:r>
          </w:p>
        </w:tc>
        <w:tc>
          <w:tcPr>
            <w:tcW w:w="638" w:type="pct"/>
          </w:tcPr>
          <w:p w14:paraId="3EBEEF15"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 (10%)</w:t>
            </w:r>
          </w:p>
        </w:tc>
        <w:tc>
          <w:tcPr>
            <w:tcW w:w="638" w:type="pct"/>
          </w:tcPr>
          <w:p w14:paraId="3DE6D803"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3 (16%)</w:t>
            </w:r>
          </w:p>
        </w:tc>
        <w:tc>
          <w:tcPr>
            <w:tcW w:w="638" w:type="pct"/>
          </w:tcPr>
          <w:p w14:paraId="5BF9CDB2"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 (5%)</w:t>
            </w:r>
          </w:p>
        </w:tc>
        <w:tc>
          <w:tcPr>
            <w:tcW w:w="638" w:type="pct"/>
          </w:tcPr>
          <w:p w14:paraId="19550101"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19 (7.5%)</w:t>
            </w:r>
          </w:p>
        </w:tc>
      </w:tr>
      <w:tr w:rsidR="00FD61CC" w:rsidRPr="00860DAA" w14:paraId="20DF6854" w14:textId="77777777" w:rsidTr="00FD61CC">
        <w:trPr>
          <w:trHeight w:val="350"/>
        </w:trPr>
        <w:tc>
          <w:tcPr>
            <w:cnfStyle w:val="001000000000" w:firstRow="0" w:lastRow="0" w:firstColumn="1" w:lastColumn="0" w:oddVBand="0" w:evenVBand="0" w:oddHBand="0" w:evenHBand="0" w:firstRowFirstColumn="0" w:firstRowLastColumn="0" w:lastRowFirstColumn="0" w:lastRowLastColumn="0"/>
            <w:tcW w:w="1172" w:type="pct"/>
          </w:tcPr>
          <w:p w14:paraId="3DF2ABF9" w14:textId="77777777" w:rsidR="00FD61CC" w:rsidRPr="00860DAA" w:rsidRDefault="00FD61CC" w:rsidP="00396CB2">
            <w:pPr>
              <w:tabs>
                <w:tab w:val="left" w:pos="1141"/>
                <w:tab w:val="right" w:pos="9214"/>
              </w:tabs>
              <w:ind w:left="567" w:hanging="567"/>
              <w:rPr>
                <w:rFonts w:eastAsia="MS Gothic" w:cs="Arial"/>
                <w:b w:val="0"/>
                <w:sz w:val="18"/>
                <w:szCs w:val="18"/>
                <w:lang w:val="en-GB"/>
              </w:rPr>
            </w:pPr>
            <w:r w:rsidRPr="00860DAA">
              <w:rPr>
                <w:rFonts w:eastAsia="MS Gothic" w:cs="Arial"/>
                <w:sz w:val="18"/>
                <w:szCs w:val="18"/>
                <w:lang w:val="en-GB"/>
              </w:rPr>
              <w:t>Stomach</w:t>
            </w:r>
          </w:p>
        </w:tc>
        <w:tc>
          <w:tcPr>
            <w:tcW w:w="638" w:type="pct"/>
          </w:tcPr>
          <w:p w14:paraId="21BC4541"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5 (31%)</w:t>
            </w:r>
          </w:p>
        </w:tc>
        <w:tc>
          <w:tcPr>
            <w:tcW w:w="638" w:type="pct"/>
          </w:tcPr>
          <w:p w14:paraId="4EB98144"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0 (0%)</w:t>
            </w:r>
          </w:p>
        </w:tc>
        <w:tc>
          <w:tcPr>
            <w:tcW w:w="638" w:type="pct"/>
          </w:tcPr>
          <w:p w14:paraId="3DA0DF73"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3 (19%)</w:t>
            </w:r>
          </w:p>
        </w:tc>
        <w:tc>
          <w:tcPr>
            <w:tcW w:w="638" w:type="pct"/>
          </w:tcPr>
          <w:p w14:paraId="5FA91F22"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 (12.5%)</w:t>
            </w:r>
          </w:p>
        </w:tc>
        <w:tc>
          <w:tcPr>
            <w:tcW w:w="638" w:type="pct"/>
          </w:tcPr>
          <w:p w14:paraId="761C4BD1"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6 (37.5%)</w:t>
            </w:r>
          </w:p>
        </w:tc>
        <w:tc>
          <w:tcPr>
            <w:tcW w:w="638" w:type="pct"/>
          </w:tcPr>
          <w:p w14:paraId="3695836B"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16 (6%)</w:t>
            </w:r>
          </w:p>
        </w:tc>
      </w:tr>
      <w:tr w:rsidR="00FD61CC" w:rsidRPr="00860DAA" w14:paraId="7461BB34" w14:textId="77777777" w:rsidTr="00FD61CC">
        <w:trPr>
          <w:trHeight w:val="350"/>
        </w:trPr>
        <w:tc>
          <w:tcPr>
            <w:cnfStyle w:val="001000000000" w:firstRow="0" w:lastRow="0" w:firstColumn="1" w:lastColumn="0" w:oddVBand="0" w:evenVBand="0" w:oddHBand="0" w:evenHBand="0" w:firstRowFirstColumn="0" w:firstRowLastColumn="0" w:lastRowFirstColumn="0" w:lastRowLastColumn="0"/>
            <w:tcW w:w="1172" w:type="pct"/>
          </w:tcPr>
          <w:p w14:paraId="35B22ACB" w14:textId="77777777" w:rsidR="00FD61CC" w:rsidRPr="00860DAA" w:rsidRDefault="00FD61CC" w:rsidP="00396CB2">
            <w:pPr>
              <w:tabs>
                <w:tab w:val="left" w:pos="1141"/>
                <w:tab w:val="right" w:pos="9214"/>
              </w:tabs>
              <w:ind w:left="567" w:hanging="567"/>
              <w:rPr>
                <w:rFonts w:eastAsia="MS Gothic" w:cs="Arial"/>
                <w:b w:val="0"/>
                <w:sz w:val="18"/>
                <w:szCs w:val="18"/>
                <w:lang w:val="en-GB"/>
              </w:rPr>
            </w:pPr>
            <w:r w:rsidRPr="00860DAA">
              <w:rPr>
                <w:rFonts w:eastAsia="MS Gothic" w:cs="Arial"/>
                <w:sz w:val="18"/>
                <w:szCs w:val="18"/>
                <w:lang w:val="en-GB"/>
              </w:rPr>
              <w:t>Rectum</w:t>
            </w:r>
          </w:p>
        </w:tc>
        <w:tc>
          <w:tcPr>
            <w:tcW w:w="638" w:type="pct"/>
          </w:tcPr>
          <w:p w14:paraId="0F208424"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 (18%)</w:t>
            </w:r>
          </w:p>
        </w:tc>
        <w:tc>
          <w:tcPr>
            <w:tcW w:w="638" w:type="pct"/>
          </w:tcPr>
          <w:p w14:paraId="6D7A1D1C"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0 (0%)</w:t>
            </w:r>
          </w:p>
        </w:tc>
        <w:tc>
          <w:tcPr>
            <w:tcW w:w="638" w:type="pct"/>
          </w:tcPr>
          <w:p w14:paraId="00BBB8AE"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3 (27%)</w:t>
            </w:r>
          </w:p>
        </w:tc>
        <w:tc>
          <w:tcPr>
            <w:tcW w:w="638" w:type="pct"/>
          </w:tcPr>
          <w:p w14:paraId="3CA8A847"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 (18%)</w:t>
            </w:r>
          </w:p>
        </w:tc>
        <w:tc>
          <w:tcPr>
            <w:tcW w:w="638" w:type="pct"/>
          </w:tcPr>
          <w:p w14:paraId="2D4C870F"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4 (37%)</w:t>
            </w:r>
          </w:p>
        </w:tc>
        <w:tc>
          <w:tcPr>
            <w:tcW w:w="638" w:type="pct"/>
          </w:tcPr>
          <w:p w14:paraId="6BE61287"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11 (4%)</w:t>
            </w:r>
          </w:p>
        </w:tc>
      </w:tr>
      <w:tr w:rsidR="00FD61CC" w:rsidRPr="00860DAA" w14:paraId="57601D36" w14:textId="77777777" w:rsidTr="00FD61CC">
        <w:trPr>
          <w:trHeight w:val="350"/>
        </w:trPr>
        <w:tc>
          <w:tcPr>
            <w:cnfStyle w:val="001000000000" w:firstRow="0" w:lastRow="0" w:firstColumn="1" w:lastColumn="0" w:oddVBand="0" w:evenVBand="0" w:oddHBand="0" w:evenHBand="0" w:firstRowFirstColumn="0" w:firstRowLastColumn="0" w:lastRowFirstColumn="0" w:lastRowLastColumn="0"/>
            <w:tcW w:w="1172" w:type="pct"/>
          </w:tcPr>
          <w:p w14:paraId="6457A4F6" w14:textId="77777777" w:rsidR="00FD61CC" w:rsidRPr="00860DAA" w:rsidRDefault="00FD61CC" w:rsidP="00396CB2">
            <w:pPr>
              <w:tabs>
                <w:tab w:val="left" w:pos="1141"/>
                <w:tab w:val="right" w:pos="9214"/>
              </w:tabs>
              <w:ind w:left="567" w:hanging="567"/>
              <w:rPr>
                <w:rFonts w:eastAsia="MS Gothic" w:cs="Arial"/>
                <w:b w:val="0"/>
                <w:sz w:val="18"/>
                <w:szCs w:val="18"/>
                <w:lang w:val="en-GB"/>
              </w:rPr>
            </w:pPr>
            <w:r w:rsidRPr="00860DAA">
              <w:rPr>
                <w:rFonts w:eastAsia="MS Gothic" w:cs="Arial"/>
                <w:sz w:val="18"/>
                <w:szCs w:val="18"/>
                <w:lang w:val="en-GB"/>
              </w:rPr>
              <w:t>Colon or Cecum</w:t>
            </w:r>
          </w:p>
        </w:tc>
        <w:tc>
          <w:tcPr>
            <w:tcW w:w="638" w:type="pct"/>
          </w:tcPr>
          <w:p w14:paraId="116060F0"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 (14%)</w:t>
            </w:r>
          </w:p>
        </w:tc>
        <w:tc>
          <w:tcPr>
            <w:tcW w:w="638" w:type="pct"/>
          </w:tcPr>
          <w:p w14:paraId="39739C6C"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 (14%)</w:t>
            </w:r>
          </w:p>
        </w:tc>
        <w:tc>
          <w:tcPr>
            <w:tcW w:w="638" w:type="pct"/>
          </w:tcPr>
          <w:p w14:paraId="2344AEC8"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3 (43%)</w:t>
            </w:r>
          </w:p>
        </w:tc>
        <w:tc>
          <w:tcPr>
            <w:tcW w:w="638" w:type="pct"/>
          </w:tcPr>
          <w:p w14:paraId="1CF1F671" w14:textId="77777777" w:rsidR="00FD61CC" w:rsidRPr="00860DAA" w:rsidRDefault="00FD61CC" w:rsidP="00396CB2">
            <w:pPr>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 (29%)</w:t>
            </w:r>
          </w:p>
        </w:tc>
        <w:tc>
          <w:tcPr>
            <w:tcW w:w="638" w:type="pct"/>
          </w:tcPr>
          <w:p w14:paraId="098800FB"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0 (0%)</w:t>
            </w:r>
          </w:p>
        </w:tc>
        <w:tc>
          <w:tcPr>
            <w:tcW w:w="638" w:type="pct"/>
          </w:tcPr>
          <w:p w14:paraId="419A4BF0"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7 (3%)</w:t>
            </w:r>
          </w:p>
        </w:tc>
      </w:tr>
      <w:tr w:rsidR="00FD61CC" w:rsidRPr="00860DAA" w14:paraId="1A47BD3F" w14:textId="77777777" w:rsidTr="00FD61CC">
        <w:trPr>
          <w:trHeight w:val="350"/>
        </w:trPr>
        <w:tc>
          <w:tcPr>
            <w:cnfStyle w:val="001000000000" w:firstRow="0" w:lastRow="0" w:firstColumn="1" w:lastColumn="0" w:oddVBand="0" w:evenVBand="0" w:oddHBand="0" w:evenHBand="0" w:firstRowFirstColumn="0" w:firstRowLastColumn="0" w:lastRowFirstColumn="0" w:lastRowLastColumn="0"/>
            <w:tcW w:w="1172" w:type="pct"/>
          </w:tcPr>
          <w:p w14:paraId="1D4D9775" w14:textId="77777777" w:rsidR="00FD61CC" w:rsidRPr="00860DAA" w:rsidRDefault="00FD61CC" w:rsidP="00396CB2">
            <w:pPr>
              <w:keepNext/>
              <w:keepLines/>
              <w:tabs>
                <w:tab w:val="left" w:pos="1141"/>
                <w:tab w:val="right" w:pos="9214"/>
              </w:tabs>
              <w:ind w:left="567" w:hanging="567"/>
              <w:outlineLvl w:val="4"/>
              <w:rPr>
                <w:rFonts w:eastAsia="MS Gothic" w:cs="Arial"/>
                <w:b w:val="0"/>
                <w:sz w:val="18"/>
                <w:szCs w:val="18"/>
                <w:lang w:val="en-GB"/>
              </w:rPr>
            </w:pPr>
            <w:r w:rsidRPr="00860DAA">
              <w:rPr>
                <w:rFonts w:cs="Arial"/>
                <w:sz w:val="18"/>
                <w:szCs w:val="18"/>
                <w:lang w:val="en-GB"/>
              </w:rPr>
              <w:t>Gallbladder</w:t>
            </w:r>
          </w:p>
        </w:tc>
        <w:tc>
          <w:tcPr>
            <w:tcW w:w="638" w:type="pct"/>
          </w:tcPr>
          <w:p w14:paraId="44B81A20" w14:textId="77777777" w:rsidR="00FD61CC" w:rsidRPr="00860DAA" w:rsidRDefault="00FD61CC" w:rsidP="00396CB2">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0 (0%)</w:t>
            </w:r>
          </w:p>
        </w:tc>
        <w:tc>
          <w:tcPr>
            <w:tcW w:w="638" w:type="pct"/>
          </w:tcPr>
          <w:p w14:paraId="65CF276C" w14:textId="77777777" w:rsidR="00FD61CC" w:rsidRPr="00860DAA" w:rsidRDefault="00FD61CC" w:rsidP="00396CB2">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 (100%)</w:t>
            </w:r>
          </w:p>
        </w:tc>
        <w:tc>
          <w:tcPr>
            <w:tcW w:w="638" w:type="pct"/>
          </w:tcPr>
          <w:p w14:paraId="5728465B" w14:textId="77777777" w:rsidR="00FD61CC" w:rsidRPr="00860DAA" w:rsidRDefault="00FD61CC" w:rsidP="00396CB2">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0 (0%)</w:t>
            </w:r>
          </w:p>
        </w:tc>
        <w:tc>
          <w:tcPr>
            <w:tcW w:w="638" w:type="pct"/>
          </w:tcPr>
          <w:p w14:paraId="3F1FEF05" w14:textId="77777777" w:rsidR="00FD61CC" w:rsidRPr="00860DAA" w:rsidRDefault="00FD61CC" w:rsidP="00396CB2">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0 (0%)</w:t>
            </w:r>
          </w:p>
        </w:tc>
        <w:tc>
          <w:tcPr>
            <w:tcW w:w="638" w:type="pct"/>
          </w:tcPr>
          <w:p w14:paraId="4721641D" w14:textId="77777777" w:rsidR="00FD61CC" w:rsidRPr="00860DAA" w:rsidRDefault="00FD61CC" w:rsidP="00396CB2">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0 (0%)</w:t>
            </w:r>
          </w:p>
        </w:tc>
        <w:tc>
          <w:tcPr>
            <w:tcW w:w="638" w:type="pct"/>
          </w:tcPr>
          <w:p w14:paraId="670A8972" w14:textId="77777777" w:rsidR="00FD61CC" w:rsidRPr="00860DAA" w:rsidRDefault="00FD61CC" w:rsidP="00396CB2">
            <w:pPr>
              <w:keepNext/>
              <w:keepLine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 (0.5%)</w:t>
            </w:r>
          </w:p>
        </w:tc>
      </w:tr>
      <w:tr w:rsidR="00FD61CC" w:rsidRPr="00860DAA" w14:paraId="6A5EB10A" w14:textId="77777777" w:rsidTr="00FD61CC">
        <w:trPr>
          <w:trHeight w:val="350"/>
        </w:trPr>
        <w:tc>
          <w:tcPr>
            <w:cnfStyle w:val="001000000000" w:firstRow="0" w:lastRow="0" w:firstColumn="1" w:lastColumn="0" w:oddVBand="0" w:evenVBand="0" w:oddHBand="0" w:evenHBand="0" w:firstRowFirstColumn="0" w:firstRowLastColumn="0" w:lastRowFirstColumn="0" w:lastRowLastColumn="0"/>
            <w:tcW w:w="1172" w:type="pct"/>
          </w:tcPr>
          <w:p w14:paraId="4D33E3C4" w14:textId="197164E2" w:rsidR="00FD61CC" w:rsidRPr="00860DAA" w:rsidRDefault="00FD61CC" w:rsidP="00FD61CC">
            <w:pPr>
              <w:tabs>
                <w:tab w:val="left" w:pos="1141"/>
                <w:tab w:val="right" w:pos="9214"/>
              </w:tabs>
              <w:ind w:left="567" w:hanging="567"/>
              <w:jc w:val="left"/>
              <w:rPr>
                <w:rFonts w:eastAsia="MS Gothic" w:cs="Arial"/>
                <w:b w:val="0"/>
                <w:sz w:val="18"/>
                <w:szCs w:val="18"/>
                <w:lang w:val="en-GB"/>
              </w:rPr>
            </w:pPr>
            <w:r w:rsidRPr="00860DAA">
              <w:rPr>
                <w:rFonts w:cs="Arial"/>
                <w:sz w:val="18"/>
                <w:szCs w:val="18"/>
                <w:lang w:val="en-GB"/>
              </w:rPr>
              <w:t>Unknown primary site</w:t>
            </w:r>
          </w:p>
        </w:tc>
        <w:tc>
          <w:tcPr>
            <w:tcW w:w="638" w:type="pct"/>
          </w:tcPr>
          <w:p w14:paraId="5AB5B3CA"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0 (0%)</w:t>
            </w:r>
          </w:p>
        </w:tc>
        <w:tc>
          <w:tcPr>
            <w:tcW w:w="638" w:type="pct"/>
          </w:tcPr>
          <w:p w14:paraId="07BF2135"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0 (0%)</w:t>
            </w:r>
          </w:p>
        </w:tc>
        <w:tc>
          <w:tcPr>
            <w:tcW w:w="638" w:type="pct"/>
          </w:tcPr>
          <w:p w14:paraId="4A69930B"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 (9%)</w:t>
            </w:r>
          </w:p>
        </w:tc>
        <w:tc>
          <w:tcPr>
            <w:tcW w:w="638" w:type="pct"/>
          </w:tcPr>
          <w:p w14:paraId="4F3AEDF4"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19 (91%)</w:t>
            </w:r>
          </w:p>
        </w:tc>
        <w:tc>
          <w:tcPr>
            <w:tcW w:w="638" w:type="pct"/>
          </w:tcPr>
          <w:p w14:paraId="22C78521"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0 (0%)</w:t>
            </w:r>
          </w:p>
        </w:tc>
        <w:tc>
          <w:tcPr>
            <w:tcW w:w="638" w:type="pct"/>
          </w:tcPr>
          <w:p w14:paraId="5B4B1482"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21 (8%)</w:t>
            </w:r>
          </w:p>
        </w:tc>
      </w:tr>
      <w:tr w:rsidR="00FD61CC" w:rsidRPr="00860DAA" w14:paraId="5EB79F6B" w14:textId="77777777" w:rsidTr="00FD61CC">
        <w:trPr>
          <w:trHeight w:val="350"/>
        </w:trPr>
        <w:tc>
          <w:tcPr>
            <w:cnfStyle w:val="001000000000" w:firstRow="0" w:lastRow="0" w:firstColumn="1" w:lastColumn="0" w:oddVBand="0" w:evenVBand="0" w:oddHBand="0" w:evenHBand="0" w:firstRowFirstColumn="0" w:firstRowLastColumn="0" w:lastRowFirstColumn="0" w:lastRowLastColumn="0"/>
            <w:tcW w:w="1172" w:type="pct"/>
          </w:tcPr>
          <w:p w14:paraId="4DBAC976" w14:textId="77777777" w:rsidR="00FD61CC" w:rsidRPr="00860DAA" w:rsidRDefault="00FD61CC" w:rsidP="00396CB2">
            <w:pPr>
              <w:tabs>
                <w:tab w:val="left" w:pos="1141"/>
                <w:tab w:val="right" w:pos="9214"/>
              </w:tabs>
              <w:ind w:left="567" w:hanging="567"/>
              <w:rPr>
                <w:rFonts w:cs="Arial"/>
                <w:b w:val="0"/>
                <w:sz w:val="18"/>
                <w:szCs w:val="18"/>
                <w:lang w:val="en-GB"/>
              </w:rPr>
            </w:pPr>
            <w:r w:rsidRPr="00860DAA">
              <w:rPr>
                <w:rFonts w:cs="Arial"/>
                <w:sz w:val="18"/>
                <w:szCs w:val="18"/>
                <w:lang w:val="en-GB"/>
              </w:rPr>
              <w:t>Total</w:t>
            </w:r>
          </w:p>
        </w:tc>
        <w:tc>
          <w:tcPr>
            <w:tcW w:w="638" w:type="pct"/>
          </w:tcPr>
          <w:p w14:paraId="11CFA53D"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33 (13%)</w:t>
            </w:r>
          </w:p>
        </w:tc>
        <w:tc>
          <w:tcPr>
            <w:tcW w:w="638" w:type="pct"/>
          </w:tcPr>
          <w:p w14:paraId="6602C1D1"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32 (12%)</w:t>
            </w:r>
          </w:p>
        </w:tc>
        <w:tc>
          <w:tcPr>
            <w:tcW w:w="638" w:type="pct"/>
          </w:tcPr>
          <w:p w14:paraId="12D252A9"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57 (22%)</w:t>
            </w:r>
          </w:p>
        </w:tc>
        <w:tc>
          <w:tcPr>
            <w:tcW w:w="638" w:type="pct"/>
          </w:tcPr>
          <w:p w14:paraId="29B9C7CE"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101 (40%)</w:t>
            </w:r>
          </w:p>
        </w:tc>
        <w:tc>
          <w:tcPr>
            <w:tcW w:w="638" w:type="pct"/>
          </w:tcPr>
          <w:p w14:paraId="5732FC55"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33 (13%)</w:t>
            </w:r>
          </w:p>
        </w:tc>
        <w:tc>
          <w:tcPr>
            <w:tcW w:w="638" w:type="pct"/>
          </w:tcPr>
          <w:p w14:paraId="5A072231" w14:textId="77777777" w:rsidR="00FD61CC" w:rsidRPr="00860DAA" w:rsidRDefault="00FD61CC" w:rsidP="00396CB2">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256 (100%)</w:t>
            </w:r>
          </w:p>
        </w:tc>
      </w:tr>
    </w:tbl>
    <w:p w14:paraId="45BB62B8" w14:textId="77777777" w:rsidR="00FA286C" w:rsidRPr="00860DAA" w:rsidRDefault="00FA286C" w:rsidP="00FA286C">
      <w:pPr>
        <w:jc w:val="center"/>
        <w:rPr>
          <w:rFonts w:cs="Arial"/>
          <w:color w:val="auto"/>
          <w:lang w:val="en-GB"/>
        </w:rPr>
      </w:pPr>
      <w:r w:rsidRPr="00860DAA">
        <w:rPr>
          <w:rFonts w:cs="Arial"/>
          <w:color w:val="auto"/>
          <w:lang w:val="en-GB"/>
        </w:rPr>
        <w:t xml:space="preserve"> </w:t>
      </w:r>
    </w:p>
    <w:p w14:paraId="40C703E9" w14:textId="77777777" w:rsidR="00FA286C" w:rsidRPr="00860DAA" w:rsidRDefault="00FA286C" w:rsidP="00FA286C">
      <w:pPr>
        <w:tabs>
          <w:tab w:val="right" w:pos="9354"/>
        </w:tabs>
        <w:rPr>
          <w:rFonts w:cs="Arial"/>
          <w:color w:val="auto"/>
          <w:lang w:val="en-GB"/>
        </w:rPr>
      </w:pPr>
      <w:r w:rsidRPr="00860DAA">
        <w:rPr>
          <w:rFonts w:cs="Arial"/>
          <w:b/>
          <w:color w:val="auto"/>
          <w:lang w:val="en-GB"/>
        </w:rPr>
        <w:t>Table B1:</w:t>
      </w:r>
      <w:r w:rsidRPr="00860DAA">
        <w:rPr>
          <w:rFonts w:cs="Arial"/>
          <w:color w:val="auto"/>
          <w:lang w:val="en-GB"/>
        </w:rPr>
        <w:t xml:space="preserve"> Stages (ENETS) at initial diagnosis according to primary site.</w:t>
      </w:r>
    </w:p>
    <w:p w14:paraId="2DEDDE08" w14:textId="77777777" w:rsidR="00FA286C" w:rsidRPr="00860DAA" w:rsidRDefault="00FA286C" w:rsidP="00FA286C">
      <w:pPr>
        <w:tabs>
          <w:tab w:val="right" w:pos="9354"/>
        </w:tabs>
        <w:rPr>
          <w:rFonts w:cs="Arial"/>
          <w:color w:val="auto"/>
          <w:shd w:val="clear" w:color="auto" w:fill="FFFFFF"/>
          <w:lang w:val="en-GB"/>
        </w:rPr>
      </w:pPr>
      <w:r w:rsidRPr="00860DAA">
        <w:rPr>
          <w:color w:val="auto"/>
          <w:u w:val="single"/>
          <w:lang w:val="en-GB"/>
        </w:rPr>
        <w:t>Abbreviations:</w:t>
      </w:r>
      <w:r w:rsidRPr="00860DAA">
        <w:rPr>
          <w:color w:val="auto"/>
          <w:lang w:val="en-GB"/>
        </w:rPr>
        <w:t xml:space="preserve"> </w:t>
      </w:r>
      <w:r w:rsidRPr="00860DAA">
        <w:rPr>
          <w:rFonts w:cs="Arial"/>
          <w:color w:val="auto"/>
          <w:shd w:val="clear" w:color="auto" w:fill="FFFFFF"/>
          <w:lang w:val="en-GB"/>
        </w:rPr>
        <w:t xml:space="preserve">ENETS, European Neuroendocrine </w:t>
      </w:r>
      <w:proofErr w:type="spellStart"/>
      <w:r w:rsidRPr="00860DAA">
        <w:rPr>
          <w:rFonts w:cs="Arial"/>
          <w:color w:val="auto"/>
          <w:shd w:val="clear" w:color="auto" w:fill="FFFFFF"/>
          <w:lang w:val="en-GB"/>
        </w:rPr>
        <w:t>Tumor</w:t>
      </w:r>
      <w:proofErr w:type="spellEnd"/>
      <w:r w:rsidRPr="00860DAA">
        <w:rPr>
          <w:rFonts w:cs="Arial"/>
          <w:color w:val="auto"/>
          <w:shd w:val="clear" w:color="auto" w:fill="FFFFFF"/>
          <w:lang w:val="en-GB"/>
        </w:rPr>
        <w:t xml:space="preserve"> Society.</w:t>
      </w:r>
    </w:p>
    <w:p w14:paraId="196BB153" w14:textId="77777777" w:rsidR="00FA286C" w:rsidRPr="00860DAA" w:rsidRDefault="00FA286C" w:rsidP="00FA286C">
      <w:pPr>
        <w:pStyle w:val="MDPI62BackMatter"/>
        <w:ind w:left="0"/>
        <w:rPr>
          <w:sz w:val="20"/>
        </w:rPr>
      </w:pPr>
    </w:p>
    <w:p w14:paraId="537E7D84" w14:textId="77777777" w:rsidR="00FA286C" w:rsidRPr="00860DAA" w:rsidRDefault="00FA286C" w:rsidP="00FA286C">
      <w:pPr>
        <w:pStyle w:val="MDPI62BackMatter"/>
        <w:ind w:left="0"/>
        <w:rPr>
          <w:sz w:val="20"/>
        </w:rPr>
      </w:pPr>
    </w:p>
    <w:p w14:paraId="36A20BEB" w14:textId="77777777" w:rsidR="00FA286C" w:rsidRPr="00860DAA" w:rsidRDefault="00FA286C" w:rsidP="00FA286C">
      <w:pPr>
        <w:ind w:firstLine="1843"/>
        <w:jc w:val="center"/>
        <w:rPr>
          <w:lang w:val="en-GB"/>
        </w:rPr>
      </w:pPr>
      <w:r w:rsidRPr="00860DAA">
        <w:rPr>
          <w:lang w:val="en-GB"/>
        </w:rPr>
        <w:t>No. of patients</w:t>
      </w:r>
    </w:p>
    <w:tbl>
      <w:tblPr>
        <w:tblStyle w:val="TabelleEinfach2"/>
        <w:tblW w:w="5000" w:type="pct"/>
        <w:tblLook w:val="04A0" w:firstRow="1" w:lastRow="0" w:firstColumn="1" w:lastColumn="0" w:noHBand="0" w:noVBand="1"/>
      </w:tblPr>
      <w:tblGrid>
        <w:gridCol w:w="2410"/>
        <w:gridCol w:w="1334"/>
        <w:gridCol w:w="20"/>
        <w:gridCol w:w="1314"/>
        <w:gridCol w:w="40"/>
        <w:gridCol w:w="1294"/>
        <w:gridCol w:w="64"/>
        <w:gridCol w:w="1270"/>
        <w:gridCol w:w="83"/>
        <w:gridCol w:w="1243"/>
      </w:tblGrid>
      <w:tr w:rsidR="00FA286C" w:rsidRPr="00860DAA" w14:paraId="197F0528" w14:textId="77777777" w:rsidTr="005105D4">
        <w:trPr>
          <w:cnfStyle w:val="100000000000" w:firstRow="1" w:lastRow="0" w:firstColumn="0" w:lastColumn="0" w:oddVBand="0" w:evenVBand="0" w:oddHBand="0" w:evenHBand="0" w:firstRowFirstColumn="0" w:firstRowLastColumn="0" w:lastRowFirstColumn="0" w:lastRowLastColumn="0"/>
          <w:trHeight w:hRule="exact" w:val="113"/>
        </w:trPr>
        <w:tc>
          <w:tcPr>
            <w:cnfStyle w:val="001000000000" w:firstRow="0" w:lastRow="0" w:firstColumn="1" w:lastColumn="0" w:oddVBand="0" w:evenVBand="0" w:oddHBand="0" w:evenHBand="0" w:firstRowFirstColumn="0" w:firstRowLastColumn="0" w:lastRowFirstColumn="0" w:lastRowLastColumn="0"/>
            <w:tcW w:w="1329" w:type="pct"/>
          </w:tcPr>
          <w:p w14:paraId="01AFFD7B" w14:textId="77777777" w:rsidR="00FA286C" w:rsidRPr="00860DAA" w:rsidRDefault="00FA286C" w:rsidP="00FA286C">
            <w:pPr>
              <w:tabs>
                <w:tab w:val="left" w:pos="1694"/>
                <w:tab w:val="right" w:leader="dot" w:pos="9214"/>
              </w:tabs>
              <w:rPr>
                <w:rFonts w:cs="Arial"/>
                <w:sz w:val="18"/>
                <w:szCs w:val="18"/>
                <w:lang w:val="en-GB"/>
              </w:rPr>
            </w:pPr>
          </w:p>
        </w:tc>
        <w:tc>
          <w:tcPr>
            <w:tcW w:w="746" w:type="pct"/>
            <w:gridSpan w:val="2"/>
          </w:tcPr>
          <w:p w14:paraId="579C199F" w14:textId="77777777" w:rsidR="00FA286C" w:rsidRPr="00860DAA" w:rsidRDefault="00FA286C" w:rsidP="00FA286C">
            <w:pPr>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lang w:val="en-GB"/>
              </w:rPr>
            </w:pPr>
          </w:p>
        </w:tc>
        <w:tc>
          <w:tcPr>
            <w:tcW w:w="746" w:type="pct"/>
            <w:gridSpan w:val="2"/>
          </w:tcPr>
          <w:p w14:paraId="1A8FBC9D" w14:textId="77777777" w:rsidR="00FA286C" w:rsidRPr="00860DAA" w:rsidRDefault="00FA286C" w:rsidP="00FA286C">
            <w:pPr>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lang w:val="en-GB"/>
              </w:rPr>
            </w:pPr>
          </w:p>
        </w:tc>
        <w:tc>
          <w:tcPr>
            <w:tcW w:w="748" w:type="pct"/>
            <w:gridSpan w:val="2"/>
          </w:tcPr>
          <w:p w14:paraId="174380F8" w14:textId="77777777" w:rsidR="00FA286C" w:rsidRPr="00860DAA" w:rsidRDefault="00FA286C" w:rsidP="00FA286C">
            <w:pPr>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lang w:val="en-GB"/>
              </w:rPr>
            </w:pPr>
          </w:p>
        </w:tc>
        <w:tc>
          <w:tcPr>
            <w:tcW w:w="746" w:type="pct"/>
            <w:gridSpan w:val="2"/>
          </w:tcPr>
          <w:p w14:paraId="13B76AD6" w14:textId="77777777" w:rsidR="00FA286C" w:rsidRPr="00860DAA" w:rsidRDefault="00FA286C" w:rsidP="00FA286C">
            <w:pPr>
              <w:tabs>
                <w:tab w:val="left" w:pos="1694"/>
                <w:tab w:val="right" w:leader="dot" w:pos="9214"/>
              </w:tabs>
              <w:cnfStyle w:val="100000000000" w:firstRow="1" w:lastRow="0" w:firstColumn="0" w:lastColumn="0" w:oddVBand="0" w:evenVBand="0" w:oddHBand="0" w:evenHBand="0" w:firstRowFirstColumn="0" w:firstRowLastColumn="0" w:lastRowFirstColumn="0" w:lastRowLastColumn="0"/>
              <w:rPr>
                <w:rFonts w:cs="Arial"/>
                <w:sz w:val="18"/>
                <w:szCs w:val="18"/>
                <w:lang w:val="en-GB"/>
              </w:rPr>
            </w:pPr>
          </w:p>
        </w:tc>
        <w:tc>
          <w:tcPr>
            <w:tcW w:w="685" w:type="pct"/>
          </w:tcPr>
          <w:p w14:paraId="7E8A44D1" w14:textId="77777777" w:rsidR="00FA286C" w:rsidRPr="00860DAA" w:rsidRDefault="00FA286C" w:rsidP="00FA286C">
            <w:pPr>
              <w:tabs>
                <w:tab w:val="left" w:pos="1694"/>
                <w:tab w:val="right" w:leader="dot" w:pos="9214"/>
              </w:tabs>
              <w:cnfStyle w:val="100000000000" w:firstRow="1" w:lastRow="0" w:firstColumn="0" w:lastColumn="0" w:oddVBand="0" w:evenVBand="0" w:oddHBand="0" w:evenHBand="0" w:firstRowFirstColumn="0" w:firstRowLastColumn="0" w:lastRowFirstColumn="0" w:lastRowLastColumn="0"/>
              <w:rPr>
                <w:rFonts w:cs="Arial"/>
                <w:sz w:val="18"/>
                <w:szCs w:val="18"/>
                <w:lang w:val="en-GB"/>
              </w:rPr>
            </w:pPr>
          </w:p>
        </w:tc>
      </w:tr>
      <w:tr w:rsidR="00FA286C" w:rsidRPr="00860DAA" w14:paraId="241D956C" w14:textId="77777777" w:rsidTr="005105D4">
        <w:trPr>
          <w:trHeight w:val="350"/>
        </w:trPr>
        <w:tc>
          <w:tcPr>
            <w:cnfStyle w:val="001000000000" w:firstRow="0" w:lastRow="0" w:firstColumn="1" w:lastColumn="0" w:oddVBand="0" w:evenVBand="0" w:oddHBand="0" w:evenHBand="0" w:firstRowFirstColumn="0" w:firstRowLastColumn="0" w:lastRowFirstColumn="0" w:lastRowLastColumn="0"/>
            <w:tcW w:w="1329" w:type="pct"/>
            <w:shd w:val="clear" w:color="auto" w:fill="BFBFBF" w:themeFill="background1" w:themeFillShade="BF"/>
          </w:tcPr>
          <w:p w14:paraId="38F5937E" w14:textId="77777777" w:rsidR="00FA286C" w:rsidRPr="00860DAA" w:rsidRDefault="00FA286C" w:rsidP="00FA286C">
            <w:pPr>
              <w:tabs>
                <w:tab w:val="left" w:pos="1141"/>
                <w:tab w:val="right" w:pos="9214"/>
              </w:tabs>
              <w:rPr>
                <w:rFonts w:cs="Arial"/>
                <w:sz w:val="18"/>
                <w:szCs w:val="18"/>
                <w:lang w:val="en-GB"/>
              </w:rPr>
            </w:pPr>
            <w:r w:rsidRPr="00860DAA">
              <w:rPr>
                <w:rFonts w:cs="Arial"/>
                <w:sz w:val="18"/>
                <w:szCs w:val="18"/>
                <w:lang w:val="en-GB"/>
              </w:rPr>
              <w:t>Kind of treatment</w:t>
            </w:r>
          </w:p>
        </w:tc>
        <w:tc>
          <w:tcPr>
            <w:tcW w:w="735" w:type="pct"/>
            <w:shd w:val="clear" w:color="auto" w:fill="BFBFBF" w:themeFill="background1" w:themeFillShade="BF"/>
          </w:tcPr>
          <w:p w14:paraId="402818F2" w14:textId="77777777" w:rsidR="00FA286C" w:rsidRPr="00860DAA" w:rsidRDefault="00FA286C" w:rsidP="00FA286C">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G1</w:t>
            </w:r>
          </w:p>
        </w:tc>
        <w:tc>
          <w:tcPr>
            <w:tcW w:w="735" w:type="pct"/>
            <w:gridSpan w:val="2"/>
            <w:shd w:val="clear" w:color="auto" w:fill="BFBFBF" w:themeFill="background1" w:themeFillShade="BF"/>
          </w:tcPr>
          <w:p w14:paraId="5D51E363" w14:textId="77777777" w:rsidR="00FA286C" w:rsidRPr="00860DAA" w:rsidRDefault="00FA286C" w:rsidP="00FA286C">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G2</w:t>
            </w:r>
          </w:p>
        </w:tc>
        <w:tc>
          <w:tcPr>
            <w:tcW w:w="735" w:type="pct"/>
            <w:gridSpan w:val="2"/>
            <w:shd w:val="clear" w:color="auto" w:fill="BFBFBF" w:themeFill="background1" w:themeFillShade="BF"/>
          </w:tcPr>
          <w:p w14:paraId="298D4740" w14:textId="77777777" w:rsidR="00FA286C" w:rsidRPr="00860DAA" w:rsidRDefault="00FA286C" w:rsidP="00FA286C">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G3</w:t>
            </w:r>
          </w:p>
        </w:tc>
        <w:tc>
          <w:tcPr>
            <w:tcW w:w="735" w:type="pct"/>
            <w:gridSpan w:val="2"/>
            <w:shd w:val="clear" w:color="auto" w:fill="BFBFBF" w:themeFill="background1" w:themeFillShade="BF"/>
          </w:tcPr>
          <w:p w14:paraId="2BF32683" w14:textId="77777777" w:rsidR="00FA286C" w:rsidRPr="00860DAA" w:rsidRDefault="00FA286C" w:rsidP="00FA286C">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Unknown</w:t>
            </w:r>
          </w:p>
        </w:tc>
        <w:tc>
          <w:tcPr>
            <w:tcW w:w="731" w:type="pct"/>
            <w:gridSpan w:val="2"/>
            <w:shd w:val="clear" w:color="auto" w:fill="BFBFBF" w:themeFill="background1" w:themeFillShade="BF"/>
          </w:tcPr>
          <w:p w14:paraId="2A193546" w14:textId="77777777" w:rsidR="00FA286C" w:rsidRPr="00860DAA" w:rsidRDefault="00FA286C" w:rsidP="00FA286C">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Total</w:t>
            </w:r>
          </w:p>
        </w:tc>
      </w:tr>
      <w:tr w:rsidR="00FA286C" w:rsidRPr="00860DAA" w14:paraId="7D874AFC" w14:textId="77777777" w:rsidTr="005105D4">
        <w:trPr>
          <w:trHeight w:val="350"/>
        </w:trPr>
        <w:tc>
          <w:tcPr>
            <w:cnfStyle w:val="001000000000" w:firstRow="0" w:lastRow="0" w:firstColumn="1" w:lastColumn="0" w:oddVBand="0" w:evenVBand="0" w:oddHBand="0" w:evenHBand="0" w:firstRowFirstColumn="0" w:firstRowLastColumn="0" w:lastRowFirstColumn="0" w:lastRowLastColumn="0"/>
            <w:tcW w:w="1329" w:type="pct"/>
          </w:tcPr>
          <w:p w14:paraId="1DFA25A8" w14:textId="77777777" w:rsidR="00FA286C" w:rsidRPr="00860DAA" w:rsidRDefault="00FA286C" w:rsidP="00FA286C">
            <w:pPr>
              <w:tabs>
                <w:tab w:val="left" w:pos="1141"/>
                <w:tab w:val="right" w:pos="9214"/>
              </w:tabs>
              <w:rPr>
                <w:rFonts w:cs="Arial"/>
                <w:b w:val="0"/>
                <w:sz w:val="18"/>
                <w:szCs w:val="18"/>
                <w:lang w:val="en-GB"/>
              </w:rPr>
            </w:pPr>
            <w:r w:rsidRPr="00860DAA">
              <w:rPr>
                <w:rFonts w:eastAsia="MS Gothic" w:cs="Arial"/>
                <w:sz w:val="18"/>
                <w:szCs w:val="18"/>
                <w:lang w:val="en-GB"/>
              </w:rPr>
              <w:t>Surgery</w:t>
            </w:r>
          </w:p>
        </w:tc>
        <w:tc>
          <w:tcPr>
            <w:tcW w:w="735" w:type="pct"/>
          </w:tcPr>
          <w:p w14:paraId="20835435"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68</w:t>
            </w:r>
          </w:p>
        </w:tc>
        <w:tc>
          <w:tcPr>
            <w:tcW w:w="735" w:type="pct"/>
            <w:gridSpan w:val="2"/>
          </w:tcPr>
          <w:p w14:paraId="6942353E"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52</w:t>
            </w:r>
          </w:p>
        </w:tc>
        <w:tc>
          <w:tcPr>
            <w:tcW w:w="735" w:type="pct"/>
            <w:gridSpan w:val="2"/>
          </w:tcPr>
          <w:p w14:paraId="2C016A02"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12</w:t>
            </w:r>
          </w:p>
        </w:tc>
        <w:tc>
          <w:tcPr>
            <w:tcW w:w="735" w:type="pct"/>
            <w:gridSpan w:val="2"/>
          </w:tcPr>
          <w:p w14:paraId="4D4CAA70" w14:textId="77777777" w:rsidR="00FA286C" w:rsidRPr="00860DAA" w:rsidRDefault="00FA286C" w:rsidP="00FA286C">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40</w:t>
            </w:r>
          </w:p>
        </w:tc>
        <w:tc>
          <w:tcPr>
            <w:tcW w:w="731" w:type="pct"/>
            <w:gridSpan w:val="2"/>
          </w:tcPr>
          <w:p w14:paraId="1133711E" w14:textId="77777777" w:rsidR="00FA286C" w:rsidRPr="00860DAA" w:rsidRDefault="00FA286C" w:rsidP="00FA286C">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172</w:t>
            </w:r>
          </w:p>
        </w:tc>
      </w:tr>
      <w:tr w:rsidR="00FA286C" w:rsidRPr="00860DAA" w14:paraId="2D7AF645" w14:textId="77777777" w:rsidTr="005105D4">
        <w:trPr>
          <w:trHeight w:val="350"/>
        </w:trPr>
        <w:tc>
          <w:tcPr>
            <w:cnfStyle w:val="001000000000" w:firstRow="0" w:lastRow="0" w:firstColumn="1" w:lastColumn="0" w:oddVBand="0" w:evenVBand="0" w:oddHBand="0" w:evenHBand="0" w:firstRowFirstColumn="0" w:firstRowLastColumn="0" w:lastRowFirstColumn="0" w:lastRowLastColumn="0"/>
            <w:tcW w:w="1329" w:type="pct"/>
          </w:tcPr>
          <w:p w14:paraId="4A54A380" w14:textId="77777777" w:rsidR="00FA286C" w:rsidRPr="00860DAA" w:rsidRDefault="00FA286C" w:rsidP="00E63F26">
            <w:pPr>
              <w:tabs>
                <w:tab w:val="left" w:pos="1141"/>
                <w:tab w:val="right" w:pos="9214"/>
              </w:tabs>
              <w:jc w:val="left"/>
              <w:rPr>
                <w:rFonts w:eastAsia="MS Gothic" w:cs="Arial"/>
                <w:b w:val="0"/>
                <w:sz w:val="18"/>
                <w:szCs w:val="18"/>
                <w:lang w:val="en-GB"/>
              </w:rPr>
            </w:pPr>
            <w:r w:rsidRPr="00860DAA">
              <w:rPr>
                <w:rFonts w:eastAsia="MS Gothic" w:cs="Arial"/>
                <w:sz w:val="18"/>
                <w:szCs w:val="18"/>
                <w:lang w:val="en-GB"/>
              </w:rPr>
              <w:t xml:space="preserve">SSA (Octreotide, </w:t>
            </w:r>
            <w:proofErr w:type="spellStart"/>
            <w:r w:rsidRPr="00860DAA">
              <w:rPr>
                <w:rFonts w:eastAsia="MS Gothic" w:cs="Arial"/>
                <w:sz w:val="18"/>
                <w:szCs w:val="18"/>
                <w:lang w:val="en-GB"/>
              </w:rPr>
              <w:t>Lanreotide</w:t>
            </w:r>
            <w:proofErr w:type="spellEnd"/>
            <w:r w:rsidRPr="00860DAA">
              <w:rPr>
                <w:rFonts w:eastAsia="MS Gothic" w:cs="Arial"/>
                <w:sz w:val="18"/>
                <w:szCs w:val="18"/>
                <w:lang w:val="en-GB"/>
              </w:rPr>
              <w:t xml:space="preserve">, </w:t>
            </w:r>
            <w:proofErr w:type="spellStart"/>
            <w:r w:rsidRPr="00860DAA">
              <w:rPr>
                <w:rFonts w:eastAsia="MS Gothic" w:cs="Arial"/>
                <w:sz w:val="18"/>
                <w:szCs w:val="18"/>
                <w:lang w:val="en-GB"/>
              </w:rPr>
              <w:t>Pasireotide</w:t>
            </w:r>
            <w:proofErr w:type="spellEnd"/>
            <w:r w:rsidRPr="00860DAA">
              <w:rPr>
                <w:rFonts w:eastAsia="MS Gothic" w:cs="Arial"/>
                <w:sz w:val="18"/>
                <w:szCs w:val="18"/>
                <w:lang w:val="en-GB"/>
              </w:rPr>
              <w:t>)</w:t>
            </w:r>
          </w:p>
        </w:tc>
        <w:tc>
          <w:tcPr>
            <w:tcW w:w="735" w:type="pct"/>
          </w:tcPr>
          <w:p w14:paraId="2C114C61"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29</w:t>
            </w:r>
          </w:p>
        </w:tc>
        <w:tc>
          <w:tcPr>
            <w:tcW w:w="735" w:type="pct"/>
            <w:gridSpan w:val="2"/>
          </w:tcPr>
          <w:p w14:paraId="2EABE7C7"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28</w:t>
            </w:r>
          </w:p>
        </w:tc>
        <w:tc>
          <w:tcPr>
            <w:tcW w:w="735" w:type="pct"/>
            <w:gridSpan w:val="2"/>
          </w:tcPr>
          <w:p w14:paraId="13E77C29"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7</w:t>
            </w:r>
          </w:p>
        </w:tc>
        <w:tc>
          <w:tcPr>
            <w:tcW w:w="735" w:type="pct"/>
            <w:gridSpan w:val="2"/>
          </w:tcPr>
          <w:p w14:paraId="3292F395"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13</w:t>
            </w:r>
          </w:p>
        </w:tc>
        <w:tc>
          <w:tcPr>
            <w:tcW w:w="731" w:type="pct"/>
            <w:gridSpan w:val="2"/>
          </w:tcPr>
          <w:p w14:paraId="4A9767EE"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77</w:t>
            </w:r>
          </w:p>
        </w:tc>
      </w:tr>
      <w:tr w:rsidR="00FA286C" w:rsidRPr="00860DAA" w14:paraId="45106392" w14:textId="77777777" w:rsidTr="005105D4">
        <w:trPr>
          <w:trHeight w:val="350"/>
        </w:trPr>
        <w:tc>
          <w:tcPr>
            <w:cnfStyle w:val="001000000000" w:firstRow="0" w:lastRow="0" w:firstColumn="1" w:lastColumn="0" w:oddVBand="0" w:evenVBand="0" w:oddHBand="0" w:evenHBand="0" w:firstRowFirstColumn="0" w:firstRowLastColumn="0" w:lastRowFirstColumn="0" w:lastRowLastColumn="0"/>
            <w:tcW w:w="1329" w:type="pct"/>
          </w:tcPr>
          <w:p w14:paraId="6146829E" w14:textId="77777777" w:rsidR="00FA286C" w:rsidRPr="00860DAA" w:rsidRDefault="00FA286C" w:rsidP="00FA286C">
            <w:pPr>
              <w:tabs>
                <w:tab w:val="left" w:pos="1141"/>
                <w:tab w:val="right" w:pos="9214"/>
              </w:tabs>
              <w:rPr>
                <w:rFonts w:eastAsia="MS Gothic" w:cs="Arial"/>
                <w:b w:val="0"/>
                <w:sz w:val="18"/>
                <w:szCs w:val="18"/>
                <w:lang w:val="en-GB"/>
              </w:rPr>
            </w:pPr>
            <w:r w:rsidRPr="00860DAA">
              <w:rPr>
                <w:rFonts w:eastAsia="MS Gothic" w:cs="Arial"/>
                <w:sz w:val="18"/>
                <w:szCs w:val="18"/>
                <w:lang w:val="en-GB"/>
              </w:rPr>
              <w:t>PRRT</w:t>
            </w:r>
          </w:p>
        </w:tc>
        <w:tc>
          <w:tcPr>
            <w:tcW w:w="735" w:type="pct"/>
          </w:tcPr>
          <w:p w14:paraId="690DC129" w14:textId="77777777" w:rsidR="00FA286C" w:rsidRPr="00860DAA" w:rsidRDefault="00FA286C" w:rsidP="00FA286C">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14</w:t>
            </w:r>
          </w:p>
        </w:tc>
        <w:tc>
          <w:tcPr>
            <w:tcW w:w="735" w:type="pct"/>
            <w:gridSpan w:val="2"/>
          </w:tcPr>
          <w:p w14:paraId="4FB832F6" w14:textId="77777777" w:rsidR="00FA286C" w:rsidRPr="00860DAA" w:rsidRDefault="00FA286C" w:rsidP="00FA286C">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19</w:t>
            </w:r>
          </w:p>
        </w:tc>
        <w:tc>
          <w:tcPr>
            <w:tcW w:w="735" w:type="pct"/>
            <w:gridSpan w:val="2"/>
          </w:tcPr>
          <w:p w14:paraId="6887E4E0" w14:textId="77777777" w:rsidR="00FA286C" w:rsidRPr="00860DAA" w:rsidRDefault="00FA286C" w:rsidP="00FA286C">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9</w:t>
            </w:r>
          </w:p>
        </w:tc>
        <w:tc>
          <w:tcPr>
            <w:tcW w:w="735" w:type="pct"/>
            <w:gridSpan w:val="2"/>
          </w:tcPr>
          <w:p w14:paraId="40645997"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15</w:t>
            </w:r>
          </w:p>
        </w:tc>
        <w:tc>
          <w:tcPr>
            <w:tcW w:w="731" w:type="pct"/>
            <w:gridSpan w:val="2"/>
          </w:tcPr>
          <w:p w14:paraId="64CDC521" w14:textId="77777777" w:rsidR="00FA286C" w:rsidRPr="00860DAA" w:rsidRDefault="00FA286C" w:rsidP="00FA286C">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57</w:t>
            </w:r>
          </w:p>
        </w:tc>
      </w:tr>
      <w:tr w:rsidR="00FA286C" w:rsidRPr="00860DAA" w14:paraId="527001E0" w14:textId="77777777" w:rsidTr="005105D4">
        <w:trPr>
          <w:trHeight w:val="350"/>
        </w:trPr>
        <w:tc>
          <w:tcPr>
            <w:cnfStyle w:val="001000000000" w:firstRow="0" w:lastRow="0" w:firstColumn="1" w:lastColumn="0" w:oddVBand="0" w:evenVBand="0" w:oddHBand="0" w:evenHBand="0" w:firstRowFirstColumn="0" w:firstRowLastColumn="0" w:lastRowFirstColumn="0" w:lastRowLastColumn="0"/>
            <w:tcW w:w="1329" w:type="pct"/>
          </w:tcPr>
          <w:p w14:paraId="20C8B70D" w14:textId="77777777" w:rsidR="00FA286C" w:rsidRPr="00860DAA" w:rsidRDefault="00FA286C" w:rsidP="00FA286C">
            <w:pPr>
              <w:tabs>
                <w:tab w:val="left" w:pos="1141"/>
                <w:tab w:val="right" w:pos="9214"/>
              </w:tabs>
              <w:rPr>
                <w:rFonts w:eastAsia="MS Gothic" w:cs="Arial"/>
                <w:b w:val="0"/>
                <w:sz w:val="18"/>
                <w:szCs w:val="18"/>
                <w:lang w:val="en-GB"/>
              </w:rPr>
            </w:pPr>
            <w:r w:rsidRPr="00860DAA">
              <w:rPr>
                <w:rFonts w:eastAsia="MS Gothic" w:cs="Arial"/>
                <w:sz w:val="18"/>
                <w:szCs w:val="18"/>
                <w:lang w:val="en-GB"/>
              </w:rPr>
              <w:t>Chemotherapy</w:t>
            </w:r>
          </w:p>
        </w:tc>
        <w:tc>
          <w:tcPr>
            <w:tcW w:w="735" w:type="pct"/>
          </w:tcPr>
          <w:p w14:paraId="4F232D7C"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3</w:t>
            </w:r>
          </w:p>
        </w:tc>
        <w:tc>
          <w:tcPr>
            <w:tcW w:w="735" w:type="pct"/>
            <w:gridSpan w:val="2"/>
          </w:tcPr>
          <w:p w14:paraId="1394DDFE"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19</w:t>
            </w:r>
          </w:p>
        </w:tc>
        <w:tc>
          <w:tcPr>
            <w:tcW w:w="735" w:type="pct"/>
            <w:gridSpan w:val="2"/>
          </w:tcPr>
          <w:p w14:paraId="51151AFC"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15</w:t>
            </w:r>
          </w:p>
        </w:tc>
        <w:tc>
          <w:tcPr>
            <w:tcW w:w="735" w:type="pct"/>
            <w:gridSpan w:val="2"/>
          </w:tcPr>
          <w:p w14:paraId="31B91ADA"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3</w:t>
            </w:r>
          </w:p>
        </w:tc>
        <w:tc>
          <w:tcPr>
            <w:tcW w:w="731" w:type="pct"/>
            <w:gridSpan w:val="2"/>
          </w:tcPr>
          <w:p w14:paraId="2547E6DA" w14:textId="77777777" w:rsidR="00FA286C" w:rsidRPr="00860DAA" w:rsidRDefault="00FA286C" w:rsidP="00FA286C">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40</w:t>
            </w:r>
          </w:p>
        </w:tc>
      </w:tr>
      <w:tr w:rsidR="00FA286C" w:rsidRPr="00860DAA" w14:paraId="037BD4C2" w14:textId="77777777" w:rsidTr="005105D4">
        <w:trPr>
          <w:trHeight w:val="350"/>
        </w:trPr>
        <w:tc>
          <w:tcPr>
            <w:cnfStyle w:val="001000000000" w:firstRow="0" w:lastRow="0" w:firstColumn="1" w:lastColumn="0" w:oddVBand="0" w:evenVBand="0" w:oddHBand="0" w:evenHBand="0" w:firstRowFirstColumn="0" w:firstRowLastColumn="0" w:lastRowFirstColumn="0" w:lastRowLastColumn="0"/>
            <w:tcW w:w="1329" w:type="pct"/>
          </w:tcPr>
          <w:p w14:paraId="2E04CF8F" w14:textId="77777777" w:rsidR="00FA286C" w:rsidRPr="00860DAA" w:rsidRDefault="00FA286C" w:rsidP="00FA286C">
            <w:pPr>
              <w:keepNext/>
              <w:keepLines/>
              <w:tabs>
                <w:tab w:val="left" w:pos="1141"/>
                <w:tab w:val="right" w:pos="9214"/>
              </w:tabs>
              <w:outlineLvl w:val="4"/>
              <w:rPr>
                <w:rFonts w:eastAsia="MS Gothic" w:cs="Arial"/>
                <w:b w:val="0"/>
                <w:sz w:val="18"/>
                <w:szCs w:val="18"/>
                <w:lang w:val="en-GB"/>
              </w:rPr>
            </w:pPr>
            <w:r w:rsidRPr="00860DAA">
              <w:rPr>
                <w:rFonts w:eastAsia="MS Gothic" w:cs="Arial"/>
                <w:sz w:val="18"/>
                <w:szCs w:val="18"/>
                <w:lang w:val="en-GB"/>
              </w:rPr>
              <w:t>Endoscopic resection</w:t>
            </w:r>
          </w:p>
        </w:tc>
        <w:tc>
          <w:tcPr>
            <w:tcW w:w="735" w:type="pct"/>
          </w:tcPr>
          <w:p w14:paraId="099B6AFB"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10</w:t>
            </w:r>
          </w:p>
        </w:tc>
        <w:tc>
          <w:tcPr>
            <w:tcW w:w="735" w:type="pct"/>
            <w:gridSpan w:val="2"/>
          </w:tcPr>
          <w:p w14:paraId="2A63E458"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6</w:t>
            </w:r>
          </w:p>
        </w:tc>
        <w:tc>
          <w:tcPr>
            <w:tcW w:w="735" w:type="pct"/>
            <w:gridSpan w:val="2"/>
          </w:tcPr>
          <w:p w14:paraId="553BD08B"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w:t>
            </w:r>
          </w:p>
        </w:tc>
        <w:tc>
          <w:tcPr>
            <w:tcW w:w="735" w:type="pct"/>
            <w:gridSpan w:val="2"/>
          </w:tcPr>
          <w:p w14:paraId="72BC56C2"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12</w:t>
            </w:r>
          </w:p>
        </w:tc>
        <w:tc>
          <w:tcPr>
            <w:tcW w:w="731" w:type="pct"/>
            <w:gridSpan w:val="2"/>
          </w:tcPr>
          <w:p w14:paraId="3E5950C1" w14:textId="77777777" w:rsidR="00FA286C" w:rsidRPr="00860DAA" w:rsidRDefault="00FA286C" w:rsidP="00FA286C">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29</w:t>
            </w:r>
          </w:p>
        </w:tc>
      </w:tr>
      <w:tr w:rsidR="00FA286C" w:rsidRPr="00860DAA" w14:paraId="3729F765" w14:textId="77777777" w:rsidTr="005105D4">
        <w:trPr>
          <w:trHeight w:val="350"/>
        </w:trPr>
        <w:tc>
          <w:tcPr>
            <w:cnfStyle w:val="001000000000" w:firstRow="0" w:lastRow="0" w:firstColumn="1" w:lastColumn="0" w:oddVBand="0" w:evenVBand="0" w:oddHBand="0" w:evenHBand="0" w:firstRowFirstColumn="0" w:firstRowLastColumn="0" w:lastRowFirstColumn="0" w:lastRowLastColumn="0"/>
            <w:tcW w:w="1329" w:type="pct"/>
          </w:tcPr>
          <w:p w14:paraId="409DC562" w14:textId="77777777" w:rsidR="00FA286C" w:rsidRPr="00860DAA" w:rsidRDefault="00FA286C" w:rsidP="00FA286C">
            <w:pPr>
              <w:tabs>
                <w:tab w:val="left" w:pos="1141"/>
                <w:tab w:val="right" w:pos="9214"/>
              </w:tabs>
              <w:rPr>
                <w:rFonts w:eastAsia="MS Gothic" w:cs="Arial"/>
                <w:b w:val="0"/>
                <w:sz w:val="18"/>
                <w:szCs w:val="18"/>
                <w:lang w:val="en-GB"/>
              </w:rPr>
            </w:pPr>
            <w:r w:rsidRPr="00860DAA">
              <w:rPr>
                <w:rFonts w:eastAsia="MS Gothic" w:cs="Arial"/>
                <w:sz w:val="18"/>
                <w:szCs w:val="18"/>
                <w:lang w:val="en-GB"/>
              </w:rPr>
              <w:t>SIRT</w:t>
            </w:r>
          </w:p>
        </w:tc>
        <w:tc>
          <w:tcPr>
            <w:tcW w:w="735" w:type="pct"/>
          </w:tcPr>
          <w:p w14:paraId="7FAA0F33"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6</w:t>
            </w:r>
          </w:p>
        </w:tc>
        <w:tc>
          <w:tcPr>
            <w:tcW w:w="735" w:type="pct"/>
            <w:gridSpan w:val="2"/>
          </w:tcPr>
          <w:p w14:paraId="3A16061F"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9</w:t>
            </w:r>
          </w:p>
        </w:tc>
        <w:tc>
          <w:tcPr>
            <w:tcW w:w="735" w:type="pct"/>
            <w:gridSpan w:val="2"/>
          </w:tcPr>
          <w:p w14:paraId="79F5B0FE"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4</w:t>
            </w:r>
          </w:p>
        </w:tc>
        <w:tc>
          <w:tcPr>
            <w:tcW w:w="735" w:type="pct"/>
            <w:gridSpan w:val="2"/>
          </w:tcPr>
          <w:p w14:paraId="61940964"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6</w:t>
            </w:r>
          </w:p>
        </w:tc>
        <w:tc>
          <w:tcPr>
            <w:tcW w:w="731" w:type="pct"/>
            <w:gridSpan w:val="2"/>
          </w:tcPr>
          <w:p w14:paraId="07392AC2" w14:textId="77777777" w:rsidR="00FA286C" w:rsidRPr="00860DAA" w:rsidRDefault="00FA286C" w:rsidP="00FA286C">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25</w:t>
            </w:r>
          </w:p>
        </w:tc>
      </w:tr>
      <w:tr w:rsidR="00FA286C" w:rsidRPr="00860DAA" w14:paraId="1A4ED86B" w14:textId="77777777" w:rsidTr="005105D4">
        <w:trPr>
          <w:trHeight w:val="350"/>
        </w:trPr>
        <w:tc>
          <w:tcPr>
            <w:cnfStyle w:val="001000000000" w:firstRow="0" w:lastRow="0" w:firstColumn="1" w:lastColumn="0" w:oddVBand="0" w:evenVBand="0" w:oddHBand="0" w:evenHBand="0" w:firstRowFirstColumn="0" w:firstRowLastColumn="0" w:lastRowFirstColumn="0" w:lastRowLastColumn="0"/>
            <w:tcW w:w="1329" w:type="pct"/>
          </w:tcPr>
          <w:p w14:paraId="6004A9E4" w14:textId="77777777" w:rsidR="00FA286C" w:rsidRPr="00860DAA" w:rsidRDefault="00FA286C" w:rsidP="00FA286C">
            <w:pPr>
              <w:tabs>
                <w:tab w:val="left" w:pos="1141"/>
                <w:tab w:val="right" w:pos="9214"/>
              </w:tabs>
              <w:rPr>
                <w:rFonts w:eastAsia="MS Gothic" w:cs="Arial"/>
                <w:b w:val="0"/>
                <w:sz w:val="18"/>
                <w:szCs w:val="18"/>
                <w:lang w:val="en-GB"/>
              </w:rPr>
            </w:pPr>
            <w:proofErr w:type="spellStart"/>
            <w:r w:rsidRPr="00860DAA">
              <w:rPr>
                <w:rFonts w:eastAsia="MS Gothic" w:cs="Arial"/>
                <w:sz w:val="18"/>
                <w:szCs w:val="18"/>
                <w:lang w:val="en-GB"/>
              </w:rPr>
              <w:t>Everolimus</w:t>
            </w:r>
            <w:proofErr w:type="spellEnd"/>
          </w:p>
        </w:tc>
        <w:tc>
          <w:tcPr>
            <w:tcW w:w="735" w:type="pct"/>
          </w:tcPr>
          <w:p w14:paraId="2DF6859E"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6</w:t>
            </w:r>
          </w:p>
        </w:tc>
        <w:tc>
          <w:tcPr>
            <w:tcW w:w="735" w:type="pct"/>
            <w:gridSpan w:val="2"/>
          </w:tcPr>
          <w:p w14:paraId="6570C68D" w14:textId="77777777" w:rsidR="00FA286C" w:rsidRPr="00860DAA" w:rsidRDefault="00FA286C" w:rsidP="00FA286C">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10</w:t>
            </w:r>
          </w:p>
        </w:tc>
        <w:tc>
          <w:tcPr>
            <w:tcW w:w="735" w:type="pct"/>
            <w:gridSpan w:val="2"/>
          </w:tcPr>
          <w:p w14:paraId="327E0C5B"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4</w:t>
            </w:r>
          </w:p>
        </w:tc>
        <w:tc>
          <w:tcPr>
            <w:tcW w:w="735" w:type="pct"/>
            <w:gridSpan w:val="2"/>
          </w:tcPr>
          <w:p w14:paraId="28ACBF93" w14:textId="77777777" w:rsidR="00FA286C" w:rsidRPr="00860DAA" w:rsidRDefault="00FA286C" w:rsidP="00FA286C">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3</w:t>
            </w:r>
          </w:p>
        </w:tc>
        <w:tc>
          <w:tcPr>
            <w:tcW w:w="731" w:type="pct"/>
            <w:gridSpan w:val="2"/>
          </w:tcPr>
          <w:p w14:paraId="063E2CF1" w14:textId="77777777" w:rsidR="00FA286C" w:rsidRPr="00860DAA" w:rsidRDefault="00FA286C" w:rsidP="00FA286C">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23</w:t>
            </w:r>
          </w:p>
        </w:tc>
      </w:tr>
      <w:tr w:rsidR="00FA286C" w:rsidRPr="00860DAA" w14:paraId="077AD44C" w14:textId="77777777" w:rsidTr="005105D4">
        <w:trPr>
          <w:trHeight w:val="350"/>
        </w:trPr>
        <w:tc>
          <w:tcPr>
            <w:cnfStyle w:val="001000000000" w:firstRow="0" w:lastRow="0" w:firstColumn="1" w:lastColumn="0" w:oddVBand="0" w:evenVBand="0" w:oddHBand="0" w:evenHBand="0" w:firstRowFirstColumn="0" w:firstRowLastColumn="0" w:lastRowFirstColumn="0" w:lastRowLastColumn="0"/>
            <w:tcW w:w="1329" w:type="pct"/>
          </w:tcPr>
          <w:p w14:paraId="5DD1438E" w14:textId="77777777" w:rsidR="00FA286C" w:rsidRPr="00860DAA" w:rsidRDefault="00FA286C" w:rsidP="00FA286C">
            <w:pPr>
              <w:tabs>
                <w:tab w:val="left" w:pos="1141"/>
                <w:tab w:val="right" w:pos="9214"/>
              </w:tabs>
              <w:rPr>
                <w:rFonts w:eastAsia="MS Gothic" w:cs="Arial"/>
                <w:b w:val="0"/>
                <w:sz w:val="18"/>
                <w:szCs w:val="18"/>
                <w:lang w:val="en-GB"/>
              </w:rPr>
            </w:pPr>
            <w:r w:rsidRPr="00860DAA">
              <w:rPr>
                <w:rFonts w:eastAsia="MS Gothic" w:cs="Arial"/>
                <w:sz w:val="18"/>
                <w:szCs w:val="18"/>
                <w:lang w:val="en-GB"/>
              </w:rPr>
              <w:t>Watch and wait</w:t>
            </w:r>
          </w:p>
        </w:tc>
        <w:tc>
          <w:tcPr>
            <w:tcW w:w="735" w:type="pct"/>
          </w:tcPr>
          <w:p w14:paraId="401991C0" w14:textId="77777777" w:rsidR="00FA286C" w:rsidRPr="00860DAA" w:rsidRDefault="00FA286C" w:rsidP="00FA286C">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4</w:t>
            </w:r>
          </w:p>
        </w:tc>
        <w:tc>
          <w:tcPr>
            <w:tcW w:w="735" w:type="pct"/>
            <w:gridSpan w:val="2"/>
          </w:tcPr>
          <w:p w14:paraId="2FF9538F"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4</w:t>
            </w:r>
          </w:p>
        </w:tc>
        <w:tc>
          <w:tcPr>
            <w:tcW w:w="735" w:type="pct"/>
            <w:gridSpan w:val="2"/>
          </w:tcPr>
          <w:p w14:paraId="0B076281"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0</w:t>
            </w:r>
          </w:p>
        </w:tc>
        <w:tc>
          <w:tcPr>
            <w:tcW w:w="735" w:type="pct"/>
            <w:gridSpan w:val="2"/>
          </w:tcPr>
          <w:p w14:paraId="355AA244" w14:textId="77777777" w:rsidR="00FA286C" w:rsidRPr="00860DAA" w:rsidRDefault="00FA286C" w:rsidP="00FA286C">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10</w:t>
            </w:r>
          </w:p>
        </w:tc>
        <w:tc>
          <w:tcPr>
            <w:tcW w:w="731" w:type="pct"/>
            <w:gridSpan w:val="2"/>
          </w:tcPr>
          <w:p w14:paraId="710FD567" w14:textId="77777777" w:rsidR="00FA286C" w:rsidRPr="00860DAA" w:rsidRDefault="00FA286C" w:rsidP="00FA286C">
            <w:pPr>
              <w:tabs>
                <w:tab w:val="left" w:pos="1141"/>
                <w:tab w:val="right" w:pos="9214"/>
              </w:tabs>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18</w:t>
            </w:r>
          </w:p>
        </w:tc>
      </w:tr>
      <w:tr w:rsidR="00FA286C" w:rsidRPr="00860DAA" w14:paraId="01E474B0" w14:textId="77777777" w:rsidTr="005105D4">
        <w:trPr>
          <w:trHeight w:val="350"/>
        </w:trPr>
        <w:tc>
          <w:tcPr>
            <w:cnfStyle w:val="001000000000" w:firstRow="0" w:lastRow="0" w:firstColumn="1" w:lastColumn="0" w:oddVBand="0" w:evenVBand="0" w:oddHBand="0" w:evenHBand="0" w:firstRowFirstColumn="0" w:firstRowLastColumn="0" w:lastRowFirstColumn="0" w:lastRowLastColumn="0"/>
            <w:tcW w:w="1329" w:type="pct"/>
          </w:tcPr>
          <w:p w14:paraId="0E2F0F1A" w14:textId="77777777" w:rsidR="00FA286C" w:rsidRPr="00860DAA" w:rsidRDefault="00FA286C" w:rsidP="00FA286C">
            <w:pPr>
              <w:tabs>
                <w:tab w:val="left" w:pos="1141"/>
                <w:tab w:val="right" w:pos="9214"/>
              </w:tabs>
              <w:rPr>
                <w:rFonts w:eastAsia="MS Gothic" w:cs="Arial"/>
                <w:b w:val="0"/>
                <w:sz w:val="18"/>
                <w:szCs w:val="18"/>
                <w:lang w:val="en-GB"/>
              </w:rPr>
            </w:pPr>
            <w:r w:rsidRPr="00860DAA">
              <w:rPr>
                <w:rFonts w:eastAsia="MS Gothic" w:cs="Arial"/>
                <w:sz w:val="18"/>
                <w:szCs w:val="18"/>
                <w:lang w:val="en-GB"/>
              </w:rPr>
              <w:t>Radiotherapy</w:t>
            </w:r>
          </w:p>
        </w:tc>
        <w:tc>
          <w:tcPr>
            <w:tcW w:w="735" w:type="pct"/>
          </w:tcPr>
          <w:p w14:paraId="3E63015B"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w:t>
            </w:r>
          </w:p>
        </w:tc>
        <w:tc>
          <w:tcPr>
            <w:tcW w:w="735" w:type="pct"/>
            <w:gridSpan w:val="2"/>
          </w:tcPr>
          <w:p w14:paraId="7737E0A3"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3</w:t>
            </w:r>
          </w:p>
        </w:tc>
        <w:tc>
          <w:tcPr>
            <w:tcW w:w="735" w:type="pct"/>
            <w:gridSpan w:val="2"/>
          </w:tcPr>
          <w:p w14:paraId="35B1D297"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4</w:t>
            </w:r>
          </w:p>
        </w:tc>
        <w:tc>
          <w:tcPr>
            <w:tcW w:w="735" w:type="pct"/>
            <w:gridSpan w:val="2"/>
          </w:tcPr>
          <w:p w14:paraId="01E8AAA0"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4</w:t>
            </w:r>
          </w:p>
        </w:tc>
        <w:tc>
          <w:tcPr>
            <w:tcW w:w="731" w:type="pct"/>
            <w:gridSpan w:val="2"/>
          </w:tcPr>
          <w:p w14:paraId="55E65F57" w14:textId="77777777" w:rsidR="00FA286C" w:rsidRPr="00860DAA" w:rsidRDefault="00FA286C" w:rsidP="00FA286C">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13</w:t>
            </w:r>
          </w:p>
        </w:tc>
      </w:tr>
      <w:tr w:rsidR="00FA286C" w:rsidRPr="00860DAA" w14:paraId="3AB0CFD9" w14:textId="77777777" w:rsidTr="005105D4">
        <w:trPr>
          <w:trHeight w:val="350"/>
        </w:trPr>
        <w:tc>
          <w:tcPr>
            <w:cnfStyle w:val="001000000000" w:firstRow="0" w:lastRow="0" w:firstColumn="1" w:lastColumn="0" w:oddVBand="0" w:evenVBand="0" w:oddHBand="0" w:evenHBand="0" w:firstRowFirstColumn="0" w:firstRowLastColumn="0" w:lastRowFirstColumn="0" w:lastRowLastColumn="0"/>
            <w:tcW w:w="1329" w:type="pct"/>
          </w:tcPr>
          <w:p w14:paraId="345D3385" w14:textId="77777777" w:rsidR="00FA286C" w:rsidRPr="00860DAA" w:rsidRDefault="00FA286C" w:rsidP="00FA286C">
            <w:pPr>
              <w:tabs>
                <w:tab w:val="left" w:pos="1141"/>
                <w:tab w:val="right" w:pos="9214"/>
              </w:tabs>
              <w:rPr>
                <w:rFonts w:eastAsia="MS Gothic" w:cs="Arial"/>
                <w:b w:val="0"/>
                <w:sz w:val="18"/>
                <w:szCs w:val="18"/>
                <w:lang w:val="en-GB"/>
              </w:rPr>
            </w:pPr>
            <w:r w:rsidRPr="00860DAA">
              <w:rPr>
                <w:rFonts w:eastAsia="MS Gothic" w:cs="Arial"/>
                <w:sz w:val="18"/>
                <w:szCs w:val="18"/>
                <w:lang w:val="en-GB"/>
              </w:rPr>
              <w:t>Sunitinib</w:t>
            </w:r>
          </w:p>
        </w:tc>
        <w:tc>
          <w:tcPr>
            <w:tcW w:w="735" w:type="pct"/>
          </w:tcPr>
          <w:p w14:paraId="768E35E7"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w:t>
            </w:r>
          </w:p>
        </w:tc>
        <w:tc>
          <w:tcPr>
            <w:tcW w:w="735" w:type="pct"/>
            <w:gridSpan w:val="2"/>
          </w:tcPr>
          <w:p w14:paraId="48B6E5CA"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4</w:t>
            </w:r>
          </w:p>
        </w:tc>
        <w:tc>
          <w:tcPr>
            <w:tcW w:w="735" w:type="pct"/>
            <w:gridSpan w:val="2"/>
          </w:tcPr>
          <w:p w14:paraId="2B9A4E6D" w14:textId="77777777" w:rsidR="00FA286C" w:rsidRPr="00860DAA" w:rsidRDefault="00FA286C" w:rsidP="00FA286C">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0</w:t>
            </w:r>
          </w:p>
        </w:tc>
        <w:tc>
          <w:tcPr>
            <w:tcW w:w="735" w:type="pct"/>
            <w:gridSpan w:val="2"/>
          </w:tcPr>
          <w:p w14:paraId="59BF6F7B"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w:t>
            </w:r>
          </w:p>
        </w:tc>
        <w:tc>
          <w:tcPr>
            <w:tcW w:w="731" w:type="pct"/>
            <w:gridSpan w:val="2"/>
          </w:tcPr>
          <w:p w14:paraId="2024B141" w14:textId="77777777" w:rsidR="00FA286C" w:rsidRPr="00860DAA" w:rsidRDefault="00FA286C" w:rsidP="00FA286C">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7</w:t>
            </w:r>
          </w:p>
        </w:tc>
      </w:tr>
      <w:tr w:rsidR="00FA286C" w:rsidRPr="00860DAA" w14:paraId="6D1BF511" w14:textId="77777777" w:rsidTr="005105D4">
        <w:trPr>
          <w:trHeight w:val="350"/>
        </w:trPr>
        <w:tc>
          <w:tcPr>
            <w:cnfStyle w:val="001000000000" w:firstRow="0" w:lastRow="0" w:firstColumn="1" w:lastColumn="0" w:oddVBand="0" w:evenVBand="0" w:oddHBand="0" w:evenHBand="0" w:firstRowFirstColumn="0" w:firstRowLastColumn="0" w:lastRowFirstColumn="0" w:lastRowLastColumn="0"/>
            <w:tcW w:w="1329" w:type="pct"/>
          </w:tcPr>
          <w:p w14:paraId="2C228B61" w14:textId="77777777" w:rsidR="00FA286C" w:rsidRPr="00860DAA" w:rsidRDefault="00FA286C" w:rsidP="00FA286C">
            <w:pPr>
              <w:tabs>
                <w:tab w:val="left" w:pos="1141"/>
                <w:tab w:val="right" w:pos="9214"/>
              </w:tabs>
              <w:rPr>
                <w:rFonts w:eastAsia="MS Gothic" w:cs="Arial"/>
                <w:b w:val="0"/>
                <w:sz w:val="18"/>
                <w:szCs w:val="18"/>
                <w:lang w:val="en-GB"/>
              </w:rPr>
            </w:pPr>
            <w:r w:rsidRPr="00860DAA">
              <w:rPr>
                <w:rFonts w:eastAsia="MS Gothic" w:cs="Arial"/>
                <w:sz w:val="18"/>
                <w:szCs w:val="18"/>
                <w:lang w:val="en-GB"/>
              </w:rPr>
              <w:t>RFA</w:t>
            </w:r>
          </w:p>
        </w:tc>
        <w:tc>
          <w:tcPr>
            <w:tcW w:w="735" w:type="pct"/>
          </w:tcPr>
          <w:p w14:paraId="4449D005"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w:t>
            </w:r>
          </w:p>
        </w:tc>
        <w:tc>
          <w:tcPr>
            <w:tcW w:w="735" w:type="pct"/>
            <w:gridSpan w:val="2"/>
          </w:tcPr>
          <w:p w14:paraId="5EBE2A1A" w14:textId="77777777" w:rsidR="00FA286C" w:rsidRPr="00860DAA" w:rsidRDefault="00FA286C" w:rsidP="00FA286C">
            <w:pPr>
              <w:jc w:val="left"/>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w:t>
            </w:r>
          </w:p>
        </w:tc>
        <w:tc>
          <w:tcPr>
            <w:tcW w:w="735" w:type="pct"/>
            <w:gridSpan w:val="2"/>
          </w:tcPr>
          <w:p w14:paraId="406222ED"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w:t>
            </w:r>
          </w:p>
        </w:tc>
        <w:tc>
          <w:tcPr>
            <w:tcW w:w="735" w:type="pct"/>
            <w:gridSpan w:val="2"/>
          </w:tcPr>
          <w:p w14:paraId="0FE2C521"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w:t>
            </w:r>
          </w:p>
        </w:tc>
        <w:tc>
          <w:tcPr>
            <w:tcW w:w="731" w:type="pct"/>
            <w:gridSpan w:val="2"/>
          </w:tcPr>
          <w:p w14:paraId="09B12D1A" w14:textId="77777777" w:rsidR="00FA286C" w:rsidRPr="00860DAA" w:rsidRDefault="00FA286C" w:rsidP="00FA286C">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7</w:t>
            </w:r>
          </w:p>
        </w:tc>
      </w:tr>
      <w:tr w:rsidR="00FA286C" w:rsidRPr="00860DAA" w14:paraId="7F753888" w14:textId="77777777" w:rsidTr="005105D4">
        <w:trPr>
          <w:trHeight w:val="350"/>
        </w:trPr>
        <w:tc>
          <w:tcPr>
            <w:cnfStyle w:val="001000000000" w:firstRow="0" w:lastRow="0" w:firstColumn="1" w:lastColumn="0" w:oddVBand="0" w:evenVBand="0" w:oddHBand="0" w:evenHBand="0" w:firstRowFirstColumn="0" w:firstRowLastColumn="0" w:lastRowFirstColumn="0" w:lastRowLastColumn="0"/>
            <w:tcW w:w="1329" w:type="pct"/>
          </w:tcPr>
          <w:p w14:paraId="649576F9" w14:textId="77777777" w:rsidR="00FA286C" w:rsidRPr="00860DAA" w:rsidRDefault="00FA286C" w:rsidP="00FA286C">
            <w:pPr>
              <w:keepNext/>
              <w:keepLines/>
              <w:tabs>
                <w:tab w:val="left" w:pos="1141"/>
                <w:tab w:val="right" w:pos="9214"/>
              </w:tabs>
              <w:outlineLvl w:val="4"/>
              <w:rPr>
                <w:rFonts w:eastAsia="MS Gothic" w:cs="Arial"/>
                <w:b w:val="0"/>
                <w:sz w:val="18"/>
                <w:szCs w:val="18"/>
                <w:lang w:val="en-GB"/>
              </w:rPr>
            </w:pPr>
            <w:r w:rsidRPr="00860DAA">
              <w:rPr>
                <w:rFonts w:eastAsia="MS Gothic" w:cs="Arial"/>
                <w:sz w:val="18"/>
                <w:szCs w:val="18"/>
                <w:lang w:val="en-GB"/>
              </w:rPr>
              <w:t>TACE</w:t>
            </w:r>
          </w:p>
        </w:tc>
        <w:tc>
          <w:tcPr>
            <w:tcW w:w="735" w:type="pct"/>
          </w:tcPr>
          <w:p w14:paraId="55021A94"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4</w:t>
            </w:r>
          </w:p>
        </w:tc>
        <w:tc>
          <w:tcPr>
            <w:tcW w:w="735" w:type="pct"/>
            <w:gridSpan w:val="2"/>
          </w:tcPr>
          <w:p w14:paraId="4CC27DBA"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2</w:t>
            </w:r>
          </w:p>
        </w:tc>
        <w:tc>
          <w:tcPr>
            <w:tcW w:w="735" w:type="pct"/>
            <w:gridSpan w:val="2"/>
          </w:tcPr>
          <w:p w14:paraId="5C5E19DE"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1</w:t>
            </w:r>
          </w:p>
        </w:tc>
        <w:tc>
          <w:tcPr>
            <w:tcW w:w="735" w:type="pct"/>
            <w:gridSpan w:val="2"/>
          </w:tcPr>
          <w:p w14:paraId="21133690" w14:textId="77777777" w:rsidR="00FA286C" w:rsidRPr="00860DAA" w:rsidRDefault="00FA286C" w:rsidP="00FA286C">
            <w:pPr>
              <w:keepNext/>
              <w:keepLines/>
              <w:jc w:val="left"/>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0</w:t>
            </w:r>
          </w:p>
        </w:tc>
        <w:tc>
          <w:tcPr>
            <w:tcW w:w="731" w:type="pct"/>
            <w:gridSpan w:val="2"/>
          </w:tcPr>
          <w:p w14:paraId="7920EEC7" w14:textId="77777777" w:rsidR="00FA286C" w:rsidRPr="00860DAA" w:rsidRDefault="00FA286C" w:rsidP="00FA286C">
            <w:pPr>
              <w:keepNext/>
              <w:keepLines/>
              <w:tabs>
                <w:tab w:val="left" w:pos="1141"/>
                <w:tab w:val="right" w:pos="9214"/>
              </w:tabs>
              <w:outlineLvl w:val="4"/>
              <w:cnfStyle w:val="000000000000" w:firstRow="0" w:lastRow="0" w:firstColumn="0" w:lastColumn="0" w:oddVBand="0" w:evenVBand="0" w:oddHBand="0" w:evenHBand="0" w:firstRowFirstColumn="0" w:firstRowLastColumn="0" w:lastRowFirstColumn="0" w:lastRowLastColumn="0"/>
              <w:rPr>
                <w:rFonts w:cs="Arial"/>
                <w:sz w:val="18"/>
                <w:szCs w:val="18"/>
                <w:lang w:val="en-GB"/>
              </w:rPr>
            </w:pPr>
            <w:r w:rsidRPr="00860DAA">
              <w:rPr>
                <w:rFonts w:cs="Arial"/>
                <w:sz w:val="18"/>
                <w:szCs w:val="18"/>
                <w:lang w:val="en-GB"/>
              </w:rPr>
              <w:t>7</w:t>
            </w:r>
          </w:p>
        </w:tc>
      </w:tr>
    </w:tbl>
    <w:p w14:paraId="4F06BD81" w14:textId="77777777" w:rsidR="00FA286C" w:rsidRPr="00860DAA" w:rsidRDefault="00FA286C" w:rsidP="00FA286C">
      <w:pPr>
        <w:tabs>
          <w:tab w:val="right" w:pos="9354"/>
        </w:tabs>
        <w:rPr>
          <w:rFonts w:cs="Arial"/>
          <w:b/>
          <w:color w:val="auto"/>
          <w:lang w:val="en-GB"/>
        </w:rPr>
      </w:pPr>
    </w:p>
    <w:p w14:paraId="50A0E0B1" w14:textId="77777777" w:rsidR="00FA286C" w:rsidRPr="00860DAA" w:rsidRDefault="00FA286C" w:rsidP="00FA286C">
      <w:pPr>
        <w:tabs>
          <w:tab w:val="right" w:pos="9354"/>
        </w:tabs>
        <w:rPr>
          <w:rFonts w:cs="Arial"/>
          <w:color w:val="auto"/>
          <w:sz w:val="18"/>
          <w:szCs w:val="18"/>
          <w:lang w:val="en-GB"/>
        </w:rPr>
      </w:pPr>
      <w:r w:rsidRPr="00860DAA">
        <w:rPr>
          <w:rFonts w:cs="Arial"/>
          <w:b/>
          <w:color w:val="auto"/>
          <w:sz w:val="18"/>
          <w:szCs w:val="18"/>
          <w:lang w:val="en-GB"/>
        </w:rPr>
        <w:t>Table B2:</w:t>
      </w:r>
      <w:r w:rsidRPr="00860DAA">
        <w:rPr>
          <w:rFonts w:cs="Arial"/>
          <w:color w:val="auto"/>
          <w:sz w:val="18"/>
          <w:szCs w:val="18"/>
          <w:lang w:val="en-GB"/>
        </w:rPr>
        <w:t xml:space="preserve"> Different treatments (all subsequent lines) according to initial grade (ENETS/WHO 2010) of disease.</w:t>
      </w:r>
    </w:p>
    <w:p w14:paraId="46D8D68B" w14:textId="77777777" w:rsidR="00FA286C" w:rsidRPr="00860DAA" w:rsidRDefault="00FA286C" w:rsidP="00FA286C">
      <w:pPr>
        <w:tabs>
          <w:tab w:val="right" w:pos="9354"/>
        </w:tabs>
        <w:rPr>
          <w:color w:val="auto"/>
          <w:sz w:val="18"/>
          <w:szCs w:val="18"/>
          <w:lang w:val="en-GB"/>
        </w:rPr>
      </w:pPr>
      <w:r w:rsidRPr="00860DAA">
        <w:rPr>
          <w:color w:val="auto"/>
          <w:sz w:val="18"/>
          <w:szCs w:val="18"/>
          <w:u w:val="single"/>
          <w:lang w:val="en-GB"/>
        </w:rPr>
        <w:t>Notes:</w:t>
      </w:r>
      <w:r w:rsidRPr="00860DAA">
        <w:rPr>
          <w:color w:val="auto"/>
          <w:sz w:val="18"/>
          <w:szCs w:val="18"/>
          <w:lang w:val="en-GB"/>
        </w:rPr>
        <w:t xml:space="preserve"> 12 patients without any documented treatment were excluded. Multiple treatment options per patient are possible.</w:t>
      </w:r>
    </w:p>
    <w:p w14:paraId="07AB7016" w14:textId="77777777" w:rsidR="00FA286C" w:rsidRPr="00860DAA" w:rsidRDefault="00FA286C" w:rsidP="00FA286C">
      <w:pPr>
        <w:tabs>
          <w:tab w:val="right" w:pos="9354"/>
        </w:tabs>
        <w:rPr>
          <w:rFonts w:cs="Helvetica"/>
          <w:color w:val="auto"/>
          <w:sz w:val="18"/>
          <w:szCs w:val="18"/>
          <w:lang w:val="en-GB"/>
        </w:rPr>
      </w:pPr>
      <w:r w:rsidRPr="00860DAA">
        <w:rPr>
          <w:color w:val="auto"/>
          <w:sz w:val="18"/>
          <w:szCs w:val="18"/>
          <w:u w:val="single"/>
          <w:lang w:val="en-GB"/>
        </w:rPr>
        <w:t>Abbreviations:</w:t>
      </w:r>
      <w:r w:rsidRPr="00860DAA">
        <w:rPr>
          <w:color w:val="auto"/>
          <w:sz w:val="18"/>
          <w:szCs w:val="18"/>
          <w:lang w:val="en-GB"/>
        </w:rPr>
        <w:t xml:space="preserve"> </w:t>
      </w:r>
      <w:r w:rsidRPr="00860DAA">
        <w:rPr>
          <w:rFonts w:cs="Arial"/>
          <w:color w:val="auto"/>
          <w:sz w:val="18"/>
          <w:szCs w:val="18"/>
          <w:shd w:val="clear" w:color="auto" w:fill="FFFFFF"/>
          <w:lang w:val="en-GB"/>
        </w:rPr>
        <w:t xml:space="preserve">ENETS, European Neuroendocrine </w:t>
      </w:r>
      <w:proofErr w:type="spellStart"/>
      <w:r w:rsidRPr="00860DAA">
        <w:rPr>
          <w:rFonts w:cs="Arial"/>
          <w:color w:val="auto"/>
          <w:sz w:val="18"/>
          <w:szCs w:val="18"/>
          <w:shd w:val="clear" w:color="auto" w:fill="FFFFFF"/>
          <w:lang w:val="en-GB"/>
        </w:rPr>
        <w:t>Tumor</w:t>
      </w:r>
      <w:proofErr w:type="spellEnd"/>
      <w:r w:rsidRPr="00860DAA">
        <w:rPr>
          <w:rFonts w:cs="Arial"/>
          <w:color w:val="auto"/>
          <w:sz w:val="18"/>
          <w:szCs w:val="18"/>
          <w:shd w:val="clear" w:color="auto" w:fill="FFFFFF"/>
          <w:lang w:val="en-GB"/>
        </w:rPr>
        <w:t xml:space="preserve"> Society; G1 – G3, Grade 1 – Grade 3; PRRT, p</w:t>
      </w:r>
      <w:r w:rsidRPr="00860DAA">
        <w:rPr>
          <w:rFonts w:cs="Arial"/>
          <w:color w:val="auto"/>
          <w:sz w:val="18"/>
          <w:szCs w:val="18"/>
          <w:lang w:val="en-GB"/>
        </w:rPr>
        <w:t xml:space="preserve">eptide receptor radionucleotide therapy; </w:t>
      </w:r>
      <w:r w:rsidRPr="00860DAA">
        <w:rPr>
          <w:rFonts w:cs="Arial"/>
          <w:color w:val="auto"/>
          <w:sz w:val="18"/>
          <w:szCs w:val="18"/>
          <w:shd w:val="clear" w:color="auto" w:fill="FFFFFF"/>
          <w:lang w:val="en-GB"/>
        </w:rPr>
        <w:t>RFA,</w:t>
      </w:r>
      <w:r w:rsidRPr="00860DAA">
        <w:rPr>
          <w:rFonts w:cs="Arial"/>
          <w:color w:val="auto"/>
          <w:sz w:val="18"/>
          <w:szCs w:val="18"/>
          <w:lang w:val="en-GB"/>
        </w:rPr>
        <w:t xml:space="preserve"> radiofrequency ablation; SIRT, selective internal radiation therapy; </w:t>
      </w:r>
      <w:r w:rsidRPr="00860DAA">
        <w:rPr>
          <w:rFonts w:cs="Arial"/>
          <w:color w:val="auto"/>
          <w:sz w:val="18"/>
          <w:szCs w:val="18"/>
          <w:shd w:val="clear" w:color="auto" w:fill="FFFFFF"/>
          <w:lang w:val="en-GB"/>
        </w:rPr>
        <w:t xml:space="preserve">SSA, somatostatin analogues; TA(C)E, </w:t>
      </w:r>
      <w:proofErr w:type="spellStart"/>
      <w:r w:rsidRPr="00860DAA">
        <w:rPr>
          <w:rFonts w:cs="Arial"/>
          <w:color w:val="auto"/>
          <w:sz w:val="18"/>
          <w:szCs w:val="18"/>
          <w:lang w:val="en-GB"/>
        </w:rPr>
        <w:t>transarterial</w:t>
      </w:r>
      <w:proofErr w:type="spellEnd"/>
      <w:r w:rsidRPr="00860DAA">
        <w:rPr>
          <w:rFonts w:cs="Arial"/>
          <w:color w:val="auto"/>
          <w:sz w:val="18"/>
          <w:szCs w:val="18"/>
          <w:lang w:val="en-GB"/>
        </w:rPr>
        <w:t xml:space="preserve"> (chemo-) embolization; WHO, World Health Organization.</w:t>
      </w:r>
    </w:p>
    <w:p w14:paraId="56F7AA72" w14:textId="77777777" w:rsidR="00FA286C" w:rsidRPr="00860DAA" w:rsidRDefault="00FA286C" w:rsidP="00FA286C">
      <w:pPr>
        <w:pStyle w:val="MDPI62BackMatter"/>
        <w:ind w:left="0"/>
        <w:rPr>
          <w:sz w:val="20"/>
          <w:lang w:val="en-GB"/>
        </w:rPr>
      </w:pPr>
    </w:p>
    <w:p w14:paraId="7652C8ED" w14:textId="77777777" w:rsidR="00FA286C" w:rsidRPr="00860DAA" w:rsidRDefault="00FA286C" w:rsidP="00FA286C">
      <w:pPr>
        <w:rPr>
          <w:color w:val="auto"/>
          <w:lang w:val="en-GB"/>
        </w:rPr>
      </w:pPr>
      <w:r w:rsidRPr="00860DAA">
        <w:rPr>
          <w:noProof/>
          <w:color w:val="auto"/>
          <w:lang w:val="de-CH" w:eastAsia="de-CH"/>
        </w:rPr>
        <w:lastRenderedPageBreak/>
        <w:drawing>
          <wp:inline distT="0" distB="0" distL="0" distR="0" wp14:anchorId="3BD0F34F" wp14:editId="5A12E4CE">
            <wp:extent cx="5948852" cy="32400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5"/>
                    <a:stretch>
                      <a:fillRect/>
                    </a:stretch>
                  </pic:blipFill>
                  <pic:spPr>
                    <a:xfrm>
                      <a:off x="0" y="0"/>
                      <a:ext cx="5948852" cy="3240000"/>
                    </a:xfrm>
                    <a:prstGeom prst="rect">
                      <a:avLst/>
                    </a:prstGeom>
                  </pic:spPr>
                </pic:pic>
              </a:graphicData>
            </a:graphic>
          </wp:inline>
        </w:drawing>
      </w:r>
    </w:p>
    <w:p w14:paraId="60F3336B" w14:textId="77777777" w:rsidR="00FA286C" w:rsidRPr="00860DAA" w:rsidRDefault="00FA286C" w:rsidP="00FA286C">
      <w:pPr>
        <w:rPr>
          <w:b/>
          <w:color w:val="auto"/>
          <w:sz w:val="18"/>
          <w:szCs w:val="18"/>
          <w:lang w:val="en-GB"/>
        </w:rPr>
      </w:pPr>
    </w:p>
    <w:p w14:paraId="6D086B82" w14:textId="77777777" w:rsidR="00FA286C" w:rsidRPr="00860DAA" w:rsidRDefault="00FA286C" w:rsidP="00FA286C">
      <w:pPr>
        <w:rPr>
          <w:rFonts w:cs="Arial"/>
          <w:color w:val="auto"/>
          <w:sz w:val="18"/>
          <w:szCs w:val="18"/>
          <w:lang w:val="en-GB"/>
        </w:rPr>
      </w:pPr>
      <w:r w:rsidRPr="00860DAA">
        <w:rPr>
          <w:b/>
          <w:color w:val="auto"/>
          <w:sz w:val="18"/>
          <w:szCs w:val="18"/>
          <w:lang w:val="en-GB"/>
        </w:rPr>
        <w:t>Figure B1:</w:t>
      </w:r>
      <w:r w:rsidRPr="00860DAA">
        <w:rPr>
          <w:color w:val="auto"/>
          <w:sz w:val="18"/>
          <w:szCs w:val="18"/>
          <w:lang w:val="en-GB"/>
        </w:rPr>
        <w:t xml:space="preserve"> Kaplan Meier curves showing OS (months) according to different grades (ENETS/WHO 2010) at first diagnosis, </w:t>
      </w:r>
      <w:r w:rsidRPr="00860DAA">
        <w:rPr>
          <w:rFonts w:cs="Arial"/>
          <w:color w:val="auto"/>
          <w:sz w:val="18"/>
          <w:szCs w:val="18"/>
          <w:lang w:val="en-GB"/>
        </w:rPr>
        <w:t>log-rank test, p = 0.001.</w:t>
      </w:r>
    </w:p>
    <w:p w14:paraId="771139AF" w14:textId="77777777" w:rsidR="00FA286C" w:rsidRPr="00860DAA" w:rsidRDefault="00FA286C" w:rsidP="00FA286C">
      <w:pPr>
        <w:rPr>
          <w:rFonts w:cs="Arial"/>
          <w:color w:val="auto"/>
          <w:sz w:val="18"/>
          <w:szCs w:val="18"/>
          <w:lang w:val="en-GB"/>
        </w:rPr>
      </w:pPr>
      <w:r w:rsidRPr="00860DAA">
        <w:rPr>
          <w:rFonts w:cs="Arial"/>
          <w:color w:val="auto"/>
          <w:sz w:val="18"/>
          <w:szCs w:val="18"/>
          <w:u w:val="single"/>
          <w:lang w:val="en-GB"/>
        </w:rPr>
        <w:t>Notes:</w:t>
      </w:r>
      <w:r w:rsidRPr="00860DAA">
        <w:rPr>
          <w:rFonts w:cs="Arial"/>
          <w:color w:val="auto"/>
          <w:sz w:val="18"/>
          <w:szCs w:val="18"/>
          <w:lang w:val="en-GB"/>
        </w:rPr>
        <w:t xml:space="preserve"> Marks indicate censored cases. Median OS over all patients was 181 months (95% CI, 106 – 256 months).</w:t>
      </w:r>
    </w:p>
    <w:p w14:paraId="6ADED84C" w14:textId="77777777" w:rsidR="00FA286C" w:rsidRPr="00860DAA" w:rsidRDefault="00FA286C" w:rsidP="00FA286C">
      <w:pPr>
        <w:pStyle w:val="MDPI62BackMatter"/>
        <w:ind w:left="0"/>
        <w:rPr>
          <w:rFonts w:cs="Arial"/>
          <w:color w:val="auto"/>
          <w:szCs w:val="18"/>
          <w:shd w:val="clear" w:color="auto" w:fill="FFFFFF"/>
          <w:lang w:val="en-GB"/>
        </w:rPr>
      </w:pPr>
      <w:r w:rsidRPr="00860DAA">
        <w:rPr>
          <w:rFonts w:cs="Arial"/>
          <w:color w:val="auto"/>
          <w:szCs w:val="18"/>
          <w:u w:val="single"/>
          <w:lang w:val="en-GB"/>
        </w:rPr>
        <w:t>Abbreviations:</w:t>
      </w:r>
      <w:r w:rsidRPr="00860DAA">
        <w:rPr>
          <w:rFonts w:cs="Arial"/>
          <w:color w:val="auto"/>
          <w:szCs w:val="18"/>
          <w:lang w:val="en-GB"/>
        </w:rPr>
        <w:t xml:space="preserve"> CI, confidence interval; </w:t>
      </w:r>
      <w:r w:rsidRPr="00860DAA">
        <w:rPr>
          <w:rFonts w:cs="Arial"/>
          <w:color w:val="auto"/>
          <w:szCs w:val="18"/>
          <w:shd w:val="clear" w:color="auto" w:fill="FFFFFF"/>
          <w:lang w:val="en-GB"/>
        </w:rPr>
        <w:t xml:space="preserve">ENETS, European Neuroendocrine </w:t>
      </w:r>
      <w:proofErr w:type="spellStart"/>
      <w:r w:rsidRPr="00860DAA">
        <w:rPr>
          <w:rFonts w:cs="Arial"/>
          <w:color w:val="auto"/>
          <w:szCs w:val="18"/>
          <w:shd w:val="clear" w:color="auto" w:fill="FFFFFF"/>
          <w:lang w:val="en-GB"/>
        </w:rPr>
        <w:t>Tumor</w:t>
      </w:r>
      <w:proofErr w:type="spellEnd"/>
      <w:r w:rsidRPr="00860DAA">
        <w:rPr>
          <w:rFonts w:cs="Arial"/>
          <w:color w:val="auto"/>
          <w:szCs w:val="18"/>
          <w:shd w:val="clear" w:color="auto" w:fill="FFFFFF"/>
          <w:lang w:val="en-GB"/>
        </w:rPr>
        <w:t xml:space="preserve"> Society; G1 – G3, Grade 1 – Grade 3; OS, overall survival; WHO, World Health Organization.</w:t>
      </w:r>
    </w:p>
    <w:p w14:paraId="021CC0D7" w14:textId="77777777" w:rsidR="00FA286C" w:rsidRPr="00860DAA" w:rsidRDefault="00FA286C" w:rsidP="00FA286C">
      <w:pPr>
        <w:pStyle w:val="MDPI62BackMatter"/>
        <w:ind w:left="0"/>
        <w:rPr>
          <w:rFonts w:cs="Arial"/>
          <w:color w:val="auto"/>
          <w:szCs w:val="18"/>
          <w:shd w:val="clear" w:color="auto" w:fill="FFFFFF"/>
          <w:lang w:val="en-GB"/>
        </w:rPr>
      </w:pPr>
    </w:p>
    <w:p w14:paraId="241EBADE" w14:textId="77777777" w:rsidR="00FA286C" w:rsidRPr="00860DAA" w:rsidRDefault="00FA286C" w:rsidP="00FA286C">
      <w:pPr>
        <w:rPr>
          <w:color w:val="auto"/>
          <w:lang w:val="en-GB"/>
        </w:rPr>
      </w:pPr>
      <w:r w:rsidRPr="00860DAA">
        <w:rPr>
          <w:noProof/>
          <w:color w:val="auto"/>
          <w:lang w:val="de-CH" w:eastAsia="de-CH"/>
        </w:rPr>
        <w:drawing>
          <wp:inline distT="0" distB="0" distL="0" distR="0" wp14:anchorId="21E09B23" wp14:editId="40AC618F">
            <wp:extent cx="5948852" cy="324000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6"/>
                    <a:stretch>
                      <a:fillRect/>
                    </a:stretch>
                  </pic:blipFill>
                  <pic:spPr>
                    <a:xfrm>
                      <a:off x="0" y="0"/>
                      <a:ext cx="5948852" cy="3240000"/>
                    </a:xfrm>
                    <a:prstGeom prst="rect">
                      <a:avLst/>
                    </a:prstGeom>
                  </pic:spPr>
                </pic:pic>
              </a:graphicData>
            </a:graphic>
          </wp:inline>
        </w:drawing>
      </w:r>
    </w:p>
    <w:p w14:paraId="49F3AA6C" w14:textId="77777777" w:rsidR="00FA286C" w:rsidRPr="00860DAA" w:rsidRDefault="00FA286C" w:rsidP="00FA286C">
      <w:pPr>
        <w:rPr>
          <w:color w:val="auto"/>
          <w:sz w:val="18"/>
          <w:szCs w:val="18"/>
          <w:lang w:val="en-GB"/>
        </w:rPr>
      </w:pPr>
      <w:r w:rsidRPr="00860DAA">
        <w:rPr>
          <w:b/>
          <w:color w:val="auto"/>
          <w:sz w:val="18"/>
          <w:szCs w:val="18"/>
          <w:lang w:val="en-GB"/>
        </w:rPr>
        <w:t>Figure B2:</w:t>
      </w:r>
      <w:r w:rsidRPr="00860DAA">
        <w:rPr>
          <w:color w:val="auto"/>
          <w:sz w:val="18"/>
          <w:szCs w:val="18"/>
          <w:lang w:val="en-GB"/>
        </w:rPr>
        <w:t xml:space="preserve"> Kaplan Meier estimator for median OS of GEP-NET patients according to primary site and grade (ENETS/WHO 2010).</w:t>
      </w:r>
      <w:r w:rsidRPr="00860DAA">
        <w:rPr>
          <w:color w:val="auto"/>
          <w:sz w:val="18"/>
          <w:szCs w:val="18"/>
          <w:lang w:val="en-GB"/>
        </w:rPr>
        <w:fldChar w:fldCharType="begin" w:fldLock="1"/>
      </w:r>
      <w:r w:rsidRPr="00860DAA">
        <w:rPr>
          <w:color w:val="auto"/>
          <w:sz w:val="18"/>
          <w:szCs w:val="18"/>
          <w:lang w:val="en-GB"/>
        </w:rPr>
        <w:instrText>ADDIN CSL_CITATION {"citationItems":[{"id":"ITEM-1","itemData":{"DOI":"10.1001/jamaoncol.2017.0589","ISBN":"2374-2437","ISSN":"23742445","PMID":"28448665","abstract":"Importance The incidence and prevalence of neuroendocrine tumors (NETs) are thought to be rising, but updated epidemiologic data are lacking. Objective To explore the evolving epidemiology and investigate the effect of therapeutic advances on survival of patients with NETs. Design, Setting, and Participants A retrospective, population-based study using nationally representative data from the Surveillance, Epidemiology, and End Results (SEER) program was conducted to evaluate 64 971 patients with NETs from 1973 to 2012. Associated population data were used to determine annual age-adjusted incidence, limited-duration prevalence, and 5-year overall survival (OS) rates. Trends in survival from 2000 to 2012 were evaluated for the entire cohort as well as specific subgroups, including distant-stage gastrointestinal NETs and pancreatic NETs. Analyses were conducted between December 2015, and February 2017. Main Outcomes and Measures Neuroendocrine tumor incidence, prevalence, and OS rates. Results Of the 64 971 cases of NETs, 34 233 (52.7%) were women. The age-adjusted incidence rate increased 6.4-fold from 1973 (1.09 per 100 000) to 2012 (6.98 per 100 000). This increase occurred across all sites, stages, and grades. In the SEER 18 registry grouping (2000-2012), the highest incidence rates were 1.49 per 100 000 in the lung, 3.56 per 100 000 in gastroenteropancreatic sites, and 0.84 per 100 000 in NETs with an unknown primary site. The estimated 20-year limited-duration prevalence of NETs in the United States on January 1, 2014, was 171 321. On multivariable analyses, the median 5-year OS rate varied significantly by stage, grade, age at diagnosis, primary site, and time period of diagnosis. The OS rate for all NETs improved from the 2000-2004 period to the 2009-2012 period (hazard ratio [HR], 0.79; 95% CI, 0.73-0.85). Even larger increases in OS between these periods were noted in distant-stage gastrointestinal NETs (HR, 0.71; 95% CI, 0.62-0.81) and distant-stage pancreatic NETs (HR, 0.56; 95% CI, 0.44-0.70). Conclusions and Relevance The incidence and prevalence of NETs are steadily rising, possibly owing to detection of early-stage disease and stage migration. Survival for all NETs has improved over time, especially for distant-stage gastrointestinal NETs and pancreatic NETs in particular, reflecting improvement in therapies. These data will help to prioritize future research directions.","author":[{"dropping-particle":"","family":"Dasari","given":"Arvind","non-dropping-particle":"","parse-names":false,"suffix":""},{"dropping-particle":"","family":"Shen","given":"Chan","non-dropping-particle":"","parse-names":false,"suffix":""},{"dropping-particle":"","family":"Halperin","given":"Daniel","non-dropping-particle":"","parse-names":false,"suffix":""},{"dropping-particle":"","family":"Zhao","given":"Bo","non-dropping-particle":"","parse-names":false,"suffix":""},{"dropping-particle":"","family":"Zhou","given":"Shouhao","non-dropping-particle":"","parse-names":false,"suffix":""},{"dropping-particle":"","family":"Xu","given":"Ying","non-dropping-particle":"","parse-names":false,"suffix":""},{"dropping-particle":"","family":"Shih","given":"Tina","non-dropping-particle":"","parse-names":false,"suffix":""},{"dropping-particle":"","family":"Yao","given":"James C.","non-dropping-particle":"","parse-names":false,"suffix":""}],"container-title":"JAMA Oncology","id":"ITEM-1","issue":"10","issued":{"date-parts":[["2017"]]},"page":"1335-1342","title":"Trends in the incidence, prevalence, and survival outcomes in patients with neuroendocrine tumors in the United States","type":"article-journal","volume":"3"},"uris":["http://www.mendeley.com/documents/?uuid=65428956-3df2-4443-9543-2666b484f73e"]}],"mendeley":{"formattedCitation":"&lt;sup&gt;6&lt;/sup&gt;","plainTextFormattedCitation":"6","previouslyFormattedCitation":"&lt;sup&gt;6&lt;/sup&gt;"},"properties":{"noteIndex":0},"schema":"https://github.com/citation-style-language/schema/raw/master/csl-citation.json"}</w:instrText>
      </w:r>
      <w:r w:rsidRPr="00860DAA">
        <w:rPr>
          <w:color w:val="auto"/>
          <w:sz w:val="18"/>
          <w:szCs w:val="18"/>
          <w:lang w:val="en-GB"/>
        </w:rPr>
        <w:fldChar w:fldCharType="separate"/>
      </w:r>
      <w:r w:rsidRPr="00860DAA">
        <w:rPr>
          <w:color w:val="auto"/>
          <w:sz w:val="18"/>
          <w:szCs w:val="18"/>
          <w:vertAlign w:val="superscript"/>
          <w:lang w:val="en-GB"/>
        </w:rPr>
        <w:t>6</w:t>
      </w:r>
      <w:r w:rsidRPr="00860DAA">
        <w:rPr>
          <w:color w:val="auto"/>
          <w:sz w:val="18"/>
          <w:szCs w:val="18"/>
          <w:lang w:val="en-GB"/>
        </w:rPr>
        <w:fldChar w:fldCharType="end"/>
      </w:r>
    </w:p>
    <w:p w14:paraId="23DDBE90" w14:textId="77777777" w:rsidR="00FA286C" w:rsidRPr="00860DAA" w:rsidRDefault="00FA286C" w:rsidP="00FA286C">
      <w:pPr>
        <w:tabs>
          <w:tab w:val="right" w:pos="9354"/>
        </w:tabs>
        <w:contextualSpacing/>
        <w:rPr>
          <w:rFonts w:cs="Arial"/>
          <w:color w:val="auto"/>
          <w:sz w:val="18"/>
          <w:szCs w:val="18"/>
          <w:lang w:val="en-GB"/>
        </w:rPr>
      </w:pPr>
      <w:r w:rsidRPr="00860DAA">
        <w:rPr>
          <w:color w:val="auto"/>
          <w:sz w:val="18"/>
          <w:szCs w:val="18"/>
          <w:u w:val="single"/>
          <w:lang w:val="en-GB"/>
        </w:rPr>
        <w:t>Notes:</w:t>
      </w:r>
      <w:r w:rsidRPr="00860DAA">
        <w:rPr>
          <w:color w:val="auto"/>
          <w:sz w:val="18"/>
          <w:szCs w:val="18"/>
          <w:lang w:val="en-GB"/>
        </w:rPr>
        <w:t xml:space="preserve"> 24 patients with a p-NET of unknown grade and a median OS of 265 months (</w:t>
      </w:r>
      <w:r w:rsidRPr="00860DAA">
        <w:rPr>
          <w:rFonts w:cs="Arial"/>
          <w:color w:val="auto"/>
          <w:sz w:val="18"/>
          <w:szCs w:val="18"/>
          <w:lang w:val="en-GB"/>
        </w:rPr>
        <w:t xml:space="preserve">95% CI, 243 – 288 months) were extracted from illustration. </w:t>
      </w:r>
      <w:r w:rsidRPr="00860DAA">
        <w:rPr>
          <w:color w:val="auto"/>
          <w:sz w:val="18"/>
          <w:szCs w:val="18"/>
          <w:lang w:val="en-GB"/>
        </w:rPr>
        <w:t>Due to low case numbers, we were not able to predict median OS for patients with G3 NET of unknown primary site and of patients with a NET of unknown primary site and unknown grade. We were also not able to predict median OS for patients with G2 NET of small intestine and those with a NET of small intestine of unknown grade, as well as NETs of several grades of other primary sites (gastric, rectal and appendix</w:t>
      </w:r>
      <w:r w:rsidRPr="001C32BE">
        <w:rPr>
          <w:color w:val="auto"/>
          <w:sz w:val="18"/>
          <w:szCs w:val="18"/>
          <w:lang w:val="en-GB"/>
        </w:rPr>
        <w:t xml:space="preserve"> </w:t>
      </w:r>
      <w:r w:rsidRPr="00860DAA">
        <w:rPr>
          <w:color w:val="auto"/>
          <w:sz w:val="18"/>
          <w:szCs w:val="18"/>
          <w:lang w:val="en-GB"/>
        </w:rPr>
        <w:lastRenderedPageBreak/>
        <w:t xml:space="preserve">NET or NET of colon or cecum), due to the fact that in these subgroups less than 50% of the patients suffered from an event (death) until the end of the observation period. </w:t>
      </w:r>
    </w:p>
    <w:p w14:paraId="0CE45F2D" w14:textId="77777777" w:rsidR="00FA286C" w:rsidRPr="00860DAA" w:rsidRDefault="00FA286C" w:rsidP="00FA286C">
      <w:pPr>
        <w:tabs>
          <w:tab w:val="right" w:pos="9354"/>
        </w:tabs>
        <w:contextualSpacing/>
        <w:rPr>
          <w:color w:val="auto"/>
          <w:sz w:val="18"/>
          <w:szCs w:val="18"/>
          <w:lang w:val="en-GB"/>
        </w:rPr>
      </w:pPr>
      <w:r w:rsidRPr="00860DAA">
        <w:rPr>
          <w:color w:val="auto"/>
          <w:sz w:val="18"/>
          <w:szCs w:val="18"/>
          <w:lang w:val="en-GB"/>
        </w:rPr>
        <w:t xml:space="preserve">The single patient with NET of the gallbladder was extracted from illustration due to lack of statistical power. </w:t>
      </w:r>
    </w:p>
    <w:p w14:paraId="3023F20D" w14:textId="77777777" w:rsidR="00FA286C" w:rsidRPr="00860DAA" w:rsidRDefault="00FA286C" w:rsidP="00FA286C">
      <w:pPr>
        <w:tabs>
          <w:tab w:val="right" w:pos="9354"/>
        </w:tabs>
        <w:contextualSpacing/>
        <w:rPr>
          <w:rFonts w:cs="Arial"/>
          <w:color w:val="auto"/>
          <w:sz w:val="18"/>
          <w:szCs w:val="18"/>
          <w:lang w:val="en-GB"/>
        </w:rPr>
      </w:pPr>
      <w:r w:rsidRPr="00860DAA">
        <w:rPr>
          <w:color w:val="auto"/>
          <w:sz w:val="18"/>
          <w:szCs w:val="18"/>
          <w:lang w:val="en-GB"/>
        </w:rPr>
        <w:t xml:space="preserve">Median OS over all patients was 181 months </w:t>
      </w:r>
      <w:bookmarkStart w:id="0" w:name="OLE_LINK1"/>
      <w:bookmarkStart w:id="1" w:name="OLE_LINK2"/>
      <w:r w:rsidRPr="00860DAA">
        <w:rPr>
          <w:rFonts w:cs="Arial"/>
          <w:color w:val="auto"/>
          <w:sz w:val="18"/>
          <w:szCs w:val="18"/>
          <w:lang w:val="en-GB"/>
        </w:rPr>
        <w:t>(95% CI, 106 – 256 months).</w:t>
      </w:r>
    </w:p>
    <w:bookmarkEnd w:id="0"/>
    <w:bookmarkEnd w:id="1"/>
    <w:p w14:paraId="6E09B91B" w14:textId="77777777" w:rsidR="00FA286C" w:rsidRPr="00860DAA" w:rsidRDefault="00FA286C" w:rsidP="00FA286C">
      <w:pPr>
        <w:rPr>
          <w:rFonts w:cs="Arial"/>
          <w:color w:val="auto"/>
          <w:sz w:val="18"/>
          <w:szCs w:val="18"/>
          <w:shd w:val="clear" w:color="auto" w:fill="FFFFFF"/>
          <w:lang w:val="en-GB"/>
        </w:rPr>
      </w:pPr>
      <w:r w:rsidRPr="00860DAA">
        <w:rPr>
          <w:color w:val="auto"/>
          <w:sz w:val="18"/>
          <w:szCs w:val="18"/>
          <w:u w:val="single"/>
          <w:lang w:val="en-GB"/>
        </w:rPr>
        <w:t>Abbreviations:</w:t>
      </w:r>
      <w:r w:rsidRPr="00860DAA">
        <w:rPr>
          <w:color w:val="auto"/>
          <w:sz w:val="18"/>
          <w:szCs w:val="18"/>
          <w:lang w:val="en-GB"/>
        </w:rPr>
        <w:t xml:space="preserve"> CI, confidence interval; </w:t>
      </w:r>
      <w:r w:rsidRPr="00860DAA">
        <w:rPr>
          <w:rFonts w:cs="Arial"/>
          <w:color w:val="auto"/>
          <w:sz w:val="18"/>
          <w:szCs w:val="18"/>
          <w:shd w:val="clear" w:color="auto" w:fill="FFFFFF"/>
          <w:lang w:val="en-GB"/>
        </w:rPr>
        <w:t xml:space="preserve">ENETS, European Neuroendocrine </w:t>
      </w:r>
      <w:proofErr w:type="spellStart"/>
      <w:r w:rsidRPr="00860DAA">
        <w:rPr>
          <w:rFonts w:cs="Arial"/>
          <w:color w:val="auto"/>
          <w:sz w:val="18"/>
          <w:szCs w:val="18"/>
          <w:shd w:val="clear" w:color="auto" w:fill="FFFFFF"/>
          <w:lang w:val="en-GB"/>
        </w:rPr>
        <w:t>Tumor</w:t>
      </w:r>
      <w:proofErr w:type="spellEnd"/>
      <w:r w:rsidRPr="00860DAA">
        <w:rPr>
          <w:rFonts w:cs="Arial"/>
          <w:color w:val="auto"/>
          <w:sz w:val="18"/>
          <w:szCs w:val="18"/>
          <w:shd w:val="clear" w:color="auto" w:fill="FFFFFF"/>
          <w:lang w:val="en-GB"/>
        </w:rPr>
        <w:t xml:space="preserve"> Society; G1 – G3, Grade 1 – Grade 3; </w:t>
      </w:r>
      <w:r w:rsidRPr="00860DAA">
        <w:rPr>
          <w:color w:val="auto"/>
          <w:sz w:val="18"/>
          <w:szCs w:val="18"/>
          <w:lang w:val="en-GB"/>
        </w:rPr>
        <w:t xml:space="preserve">GEP, </w:t>
      </w:r>
      <w:proofErr w:type="spellStart"/>
      <w:r w:rsidRPr="00860DAA">
        <w:rPr>
          <w:color w:val="auto"/>
          <w:sz w:val="18"/>
          <w:szCs w:val="18"/>
          <w:lang w:val="en-GB"/>
        </w:rPr>
        <w:t>gastroenteropancreatic</w:t>
      </w:r>
      <w:proofErr w:type="spellEnd"/>
      <w:r w:rsidRPr="00860DAA">
        <w:rPr>
          <w:color w:val="auto"/>
          <w:sz w:val="18"/>
          <w:szCs w:val="18"/>
          <w:lang w:val="en-GB"/>
        </w:rPr>
        <w:t xml:space="preserve">; NET, neuroendocrine </w:t>
      </w:r>
      <w:proofErr w:type="spellStart"/>
      <w:r w:rsidRPr="00860DAA">
        <w:rPr>
          <w:color w:val="auto"/>
          <w:sz w:val="18"/>
          <w:szCs w:val="18"/>
          <w:lang w:val="en-GB"/>
        </w:rPr>
        <w:t>tumor</w:t>
      </w:r>
      <w:proofErr w:type="spellEnd"/>
      <w:r w:rsidRPr="00860DAA">
        <w:rPr>
          <w:color w:val="auto"/>
          <w:sz w:val="18"/>
          <w:szCs w:val="18"/>
          <w:lang w:val="en-GB"/>
        </w:rPr>
        <w:t>;</w:t>
      </w:r>
      <w:r w:rsidRPr="00860DAA">
        <w:rPr>
          <w:rFonts w:cs="Arial"/>
          <w:color w:val="auto"/>
          <w:sz w:val="18"/>
          <w:szCs w:val="18"/>
          <w:shd w:val="clear" w:color="auto" w:fill="FFFFFF"/>
          <w:lang w:val="en-GB"/>
        </w:rPr>
        <w:t xml:space="preserve"> OS, overall survival; WHO, World Health Organization.</w:t>
      </w:r>
    </w:p>
    <w:p w14:paraId="060F3F97" w14:textId="77777777" w:rsidR="00FA286C" w:rsidRPr="00AD5934" w:rsidRDefault="00FA286C" w:rsidP="00FA286C">
      <w:pPr>
        <w:pStyle w:val="MDPI62BackMatter"/>
        <w:ind w:left="0"/>
        <w:rPr>
          <w:sz w:val="20"/>
          <w:lang w:val="en-GB"/>
        </w:rPr>
      </w:pPr>
    </w:p>
    <w:p w14:paraId="6161D867" w14:textId="272DE4E8" w:rsidR="00FA286C" w:rsidRPr="00FA286C" w:rsidRDefault="00FA286C" w:rsidP="00FA286C">
      <w:pPr>
        <w:pStyle w:val="MDPI62BackMatter"/>
        <w:ind w:left="0"/>
        <w:rPr>
          <w:sz w:val="20"/>
        </w:rPr>
      </w:pPr>
    </w:p>
    <w:sectPr w:rsidR="00FA286C" w:rsidRPr="00FA286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7628D"/>
    <w:multiLevelType w:val="multilevel"/>
    <w:tmpl w:val="9C1455E6"/>
    <w:lvl w:ilvl="0">
      <w:start w:val="1"/>
      <w:numFmt w:val="decimal"/>
      <w:pStyle w:val="berschrift1"/>
      <w:lvlText w:val="%1."/>
      <w:lvlJc w:val="left"/>
      <w:pPr>
        <w:ind w:left="431" w:hanging="431"/>
      </w:pPr>
      <w:rPr>
        <w:rFonts w:hint="default"/>
      </w:rPr>
    </w:lvl>
    <w:lvl w:ilvl="1">
      <w:start w:val="1"/>
      <w:numFmt w:val="decimal"/>
      <w:pStyle w:val="berschrift2"/>
      <w:lvlText w:val="%1.%2."/>
      <w:lvlJc w:val="left"/>
      <w:pPr>
        <w:ind w:left="794" w:hanging="437"/>
      </w:pPr>
      <w:rPr>
        <w:rFonts w:hint="default"/>
      </w:rPr>
    </w:lvl>
    <w:lvl w:ilvl="2">
      <w:start w:val="1"/>
      <w:numFmt w:val="decimal"/>
      <w:pStyle w:val="berschrift3"/>
      <w:isLgl/>
      <w:lvlText w:val="%1.%2.%3."/>
      <w:lvlJc w:val="left"/>
      <w:pPr>
        <w:tabs>
          <w:tab w:val="num" w:pos="1225"/>
        </w:tabs>
        <w:ind w:left="1225" w:hanging="505"/>
      </w:pPr>
      <w:rPr>
        <w:rFonts w:hint="default"/>
        <w:b w:val="0"/>
        <w:bCs w:val="0"/>
        <w:i/>
        <w:iCs/>
      </w:rPr>
    </w:lvl>
    <w:lvl w:ilvl="3">
      <w:start w:val="1"/>
      <w:numFmt w:val="decimal"/>
      <w:pStyle w:val="berschrift4"/>
      <w:lvlText w:val="%1.%2.%3.%4"/>
      <w:lvlJc w:val="left"/>
      <w:pPr>
        <w:tabs>
          <w:tab w:val="num" w:pos="1304"/>
        </w:tabs>
        <w:ind w:left="1304" w:hanging="488"/>
      </w:pPr>
      <w:rPr>
        <w:rFonts w:ascii="Arial" w:hAnsi="Arial" w:hint="default"/>
        <w:b w:val="0"/>
        <w:bCs w:val="0"/>
        <w:i/>
        <w:iCs/>
        <w:color w:val="auto"/>
        <w:sz w:val="24"/>
        <w:szCs w:val="24"/>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 w15:restartNumberingAfterBreak="0">
    <w:nsid w:val="77FA7EA8"/>
    <w:multiLevelType w:val="hybridMultilevel"/>
    <w:tmpl w:val="FEEC501A"/>
    <w:lvl w:ilvl="0" w:tplc="69E60884">
      <w:start w:val="1"/>
      <w:numFmt w:val="decimal"/>
      <w:lvlText w:val="%1."/>
      <w:lvlJc w:val="left"/>
      <w:pPr>
        <w:ind w:left="2968" w:hanging="360"/>
      </w:pPr>
      <w:rPr>
        <w:rFonts w:cs="Arial" w:hint="default"/>
        <w:color w:val="auto"/>
      </w:rPr>
    </w:lvl>
    <w:lvl w:ilvl="1" w:tplc="04070019" w:tentative="1">
      <w:start w:val="1"/>
      <w:numFmt w:val="lowerLetter"/>
      <w:lvlText w:val="%2."/>
      <w:lvlJc w:val="left"/>
      <w:pPr>
        <w:ind w:left="3688" w:hanging="360"/>
      </w:pPr>
    </w:lvl>
    <w:lvl w:ilvl="2" w:tplc="0407001B" w:tentative="1">
      <w:start w:val="1"/>
      <w:numFmt w:val="lowerRoman"/>
      <w:lvlText w:val="%3."/>
      <w:lvlJc w:val="right"/>
      <w:pPr>
        <w:ind w:left="4408" w:hanging="180"/>
      </w:pPr>
    </w:lvl>
    <w:lvl w:ilvl="3" w:tplc="0407000F" w:tentative="1">
      <w:start w:val="1"/>
      <w:numFmt w:val="decimal"/>
      <w:lvlText w:val="%4."/>
      <w:lvlJc w:val="left"/>
      <w:pPr>
        <w:ind w:left="5128" w:hanging="360"/>
      </w:pPr>
    </w:lvl>
    <w:lvl w:ilvl="4" w:tplc="04070019" w:tentative="1">
      <w:start w:val="1"/>
      <w:numFmt w:val="lowerLetter"/>
      <w:lvlText w:val="%5."/>
      <w:lvlJc w:val="left"/>
      <w:pPr>
        <w:ind w:left="5848" w:hanging="360"/>
      </w:pPr>
    </w:lvl>
    <w:lvl w:ilvl="5" w:tplc="0407001B" w:tentative="1">
      <w:start w:val="1"/>
      <w:numFmt w:val="lowerRoman"/>
      <w:lvlText w:val="%6."/>
      <w:lvlJc w:val="right"/>
      <w:pPr>
        <w:ind w:left="6568" w:hanging="180"/>
      </w:pPr>
    </w:lvl>
    <w:lvl w:ilvl="6" w:tplc="0407000F" w:tentative="1">
      <w:start w:val="1"/>
      <w:numFmt w:val="decimal"/>
      <w:lvlText w:val="%7."/>
      <w:lvlJc w:val="left"/>
      <w:pPr>
        <w:ind w:left="7288" w:hanging="360"/>
      </w:pPr>
    </w:lvl>
    <w:lvl w:ilvl="7" w:tplc="04070019" w:tentative="1">
      <w:start w:val="1"/>
      <w:numFmt w:val="lowerLetter"/>
      <w:lvlText w:val="%8."/>
      <w:lvlJc w:val="left"/>
      <w:pPr>
        <w:ind w:left="8008" w:hanging="360"/>
      </w:pPr>
    </w:lvl>
    <w:lvl w:ilvl="8" w:tplc="0407001B" w:tentative="1">
      <w:start w:val="1"/>
      <w:numFmt w:val="lowerRoman"/>
      <w:lvlText w:val="%9."/>
      <w:lvlJc w:val="right"/>
      <w:pPr>
        <w:ind w:left="8728" w:hanging="180"/>
      </w:pPr>
    </w:lvl>
  </w:abstractNum>
  <w:num w:numId="1" w16cid:durableId="807893141">
    <w:abstractNumId w:val="0"/>
  </w:num>
  <w:num w:numId="2" w16cid:durableId="1151484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86C"/>
    <w:rsid w:val="00116A12"/>
    <w:rsid w:val="00176EC1"/>
    <w:rsid w:val="001A5AA6"/>
    <w:rsid w:val="001F5AB1"/>
    <w:rsid w:val="002630CF"/>
    <w:rsid w:val="0034040A"/>
    <w:rsid w:val="00387985"/>
    <w:rsid w:val="00502CDC"/>
    <w:rsid w:val="00506640"/>
    <w:rsid w:val="00553376"/>
    <w:rsid w:val="006E2D96"/>
    <w:rsid w:val="0072265E"/>
    <w:rsid w:val="00860DAA"/>
    <w:rsid w:val="008B7D04"/>
    <w:rsid w:val="008C404A"/>
    <w:rsid w:val="00A409CC"/>
    <w:rsid w:val="00A83B1E"/>
    <w:rsid w:val="00B87856"/>
    <w:rsid w:val="00C726CD"/>
    <w:rsid w:val="00C95B12"/>
    <w:rsid w:val="00E63F26"/>
    <w:rsid w:val="00F7360B"/>
    <w:rsid w:val="00FA286C"/>
    <w:rsid w:val="00FD61C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8FB1D"/>
  <w15:chartTrackingRefBased/>
  <w15:docId w15:val="{4662C359-0655-634C-B46C-47A7FC0AB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A286C"/>
    <w:pPr>
      <w:spacing w:line="260" w:lineRule="atLeast"/>
      <w:jc w:val="both"/>
    </w:pPr>
    <w:rPr>
      <w:rFonts w:ascii="Palatino Linotype" w:eastAsia="SimSun" w:hAnsi="Palatino Linotype" w:cs="Times New Roman"/>
      <w:color w:val="000000"/>
      <w:sz w:val="20"/>
      <w:szCs w:val="20"/>
      <w:lang w:val="en-US" w:eastAsia="zh-CN"/>
    </w:rPr>
  </w:style>
  <w:style w:type="paragraph" w:styleId="berschrift1">
    <w:name w:val="heading 1"/>
    <w:basedOn w:val="Standard"/>
    <w:next w:val="Standard"/>
    <w:link w:val="berschrift1Zchn"/>
    <w:qFormat/>
    <w:rsid w:val="00FA286C"/>
    <w:pPr>
      <w:keepNext/>
      <w:pageBreakBefore/>
      <w:numPr>
        <w:numId w:val="1"/>
      </w:numPr>
      <w:spacing w:before="240" w:after="60" w:line="240" w:lineRule="auto"/>
      <w:outlineLvl w:val="0"/>
    </w:pPr>
    <w:rPr>
      <w:rFonts w:ascii="Arial" w:eastAsia="Times New Roman" w:hAnsi="Arial"/>
      <w:b/>
      <w:color w:val="auto"/>
      <w:kern w:val="28"/>
      <w:sz w:val="28"/>
      <w:lang w:val="x-none" w:eastAsia="de-DE"/>
    </w:rPr>
  </w:style>
  <w:style w:type="paragraph" w:styleId="berschrift2">
    <w:name w:val="heading 2"/>
    <w:basedOn w:val="Standard"/>
    <w:next w:val="Standard"/>
    <w:link w:val="berschrift2Zchn"/>
    <w:qFormat/>
    <w:rsid w:val="00FA286C"/>
    <w:pPr>
      <w:keepNext/>
      <w:numPr>
        <w:ilvl w:val="1"/>
        <w:numId w:val="1"/>
      </w:numPr>
      <w:spacing w:before="360" w:after="60" w:line="240" w:lineRule="auto"/>
      <w:outlineLvl w:val="1"/>
    </w:pPr>
    <w:rPr>
      <w:rFonts w:ascii="Arial" w:eastAsia="Times New Roman" w:hAnsi="Arial"/>
      <w:b/>
      <w:color w:val="auto"/>
      <w:sz w:val="24"/>
      <w:lang w:val="de-CH" w:eastAsia="de-DE"/>
    </w:rPr>
  </w:style>
  <w:style w:type="paragraph" w:styleId="berschrift3">
    <w:name w:val="heading 3"/>
    <w:basedOn w:val="Standard"/>
    <w:next w:val="Standard"/>
    <w:link w:val="berschrift3Zchn"/>
    <w:rsid w:val="00FA286C"/>
    <w:pPr>
      <w:numPr>
        <w:ilvl w:val="2"/>
        <w:numId w:val="1"/>
      </w:numPr>
      <w:spacing w:before="120" w:line="240" w:lineRule="auto"/>
      <w:outlineLvl w:val="2"/>
    </w:pPr>
    <w:rPr>
      <w:rFonts w:ascii="Arial" w:eastAsia="Times New Roman" w:hAnsi="Arial"/>
      <w:color w:val="auto"/>
      <w:sz w:val="24"/>
      <w:lang w:val="de-CH" w:eastAsia="de-DE"/>
    </w:rPr>
  </w:style>
  <w:style w:type="paragraph" w:styleId="berschrift4">
    <w:name w:val="heading 4"/>
    <w:basedOn w:val="Standard"/>
    <w:next w:val="Standard"/>
    <w:link w:val="berschrift4Zchn"/>
    <w:unhideWhenUsed/>
    <w:qFormat/>
    <w:rsid w:val="00FA286C"/>
    <w:pPr>
      <w:keepNext/>
      <w:keepLines/>
      <w:numPr>
        <w:ilvl w:val="3"/>
        <w:numId w:val="1"/>
      </w:numPr>
      <w:spacing w:before="200" w:line="240" w:lineRule="auto"/>
      <w:outlineLvl w:val="3"/>
    </w:pPr>
    <w:rPr>
      <w:rFonts w:asciiTheme="majorHAnsi" w:eastAsiaTheme="majorEastAsia" w:hAnsiTheme="majorHAnsi" w:cstheme="majorBidi"/>
      <w:b/>
      <w:bCs/>
      <w:i/>
      <w:iCs/>
      <w:color w:val="4472C4" w:themeColor="accent1"/>
      <w:sz w:val="24"/>
      <w:lang w:val="de-CH" w:eastAsia="de-DE"/>
    </w:rPr>
  </w:style>
  <w:style w:type="paragraph" w:styleId="berschrift5">
    <w:name w:val="heading 5"/>
    <w:basedOn w:val="Standard"/>
    <w:next w:val="Standard"/>
    <w:link w:val="berschrift5Zchn"/>
    <w:unhideWhenUsed/>
    <w:qFormat/>
    <w:rsid w:val="00FA286C"/>
    <w:pPr>
      <w:keepNext/>
      <w:keepLines/>
      <w:numPr>
        <w:ilvl w:val="4"/>
        <w:numId w:val="1"/>
      </w:numPr>
      <w:spacing w:before="200" w:line="240" w:lineRule="auto"/>
      <w:outlineLvl w:val="4"/>
    </w:pPr>
    <w:rPr>
      <w:rFonts w:asciiTheme="majorHAnsi" w:eastAsiaTheme="majorEastAsia" w:hAnsiTheme="majorHAnsi" w:cstheme="majorBidi"/>
      <w:color w:val="1F3763" w:themeColor="accent1" w:themeShade="7F"/>
      <w:sz w:val="24"/>
      <w:lang w:val="de-CH" w:eastAsia="de-DE"/>
    </w:rPr>
  </w:style>
  <w:style w:type="paragraph" w:styleId="berschrift6">
    <w:name w:val="heading 6"/>
    <w:basedOn w:val="Standard"/>
    <w:next w:val="Standard"/>
    <w:link w:val="berschrift6Zchn"/>
    <w:semiHidden/>
    <w:unhideWhenUsed/>
    <w:qFormat/>
    <w:rsid w:val="00FA286C"/>
    <w:pPr>
      <w:keepNext/>
      <w:keepLines/>
      <w:numPr>
        <w:ilvl w:val="5"/>
        <w:numId w:val="1"/>
      </w:numPr>
      <w:spacing w:before="200" w:line="240" w:lineRule="auto"/>
      <w:outlineLvl w:val="5"/>
    </w:pPr>
    <w:rPr>
      <w:rFonts w:asciiTheme="majorHAnsi" w:eastAsiaTheme="majorEastAsia" w:hAnsiTheme="majorHAnsi" w:cstheme="majorBidi"/>
      <w:i/>
      <w:iCs/>
      <w:color w:val="1F3763" w:themeColor="accent1" w:themeShade="7F"/>
      <w:sz w:val="24"/>
      <w:lang w:val="de-CH" w:eastAsia="de-DE"/>
    </w:rPr>
  </w:style>
  <w:style w:type="paragraph" w:styleId="berschrift7">
    <w:name w:val="heading 7"/>
    <w:basedOn w:val="Standard"/>
    <w:next w:val="Standard"/>
    <w:link w:val="berschrift7Zchn"/>
    <w:semiHidden/>
    <w:unhideWhenUsed/>
    <w:qFormat/>
    <w:rsid w:val="00FA286C"/>
    <w:pPr>
      <w:keepNext/>
      <w:keepLines/>
      <w:numPr>
        <w:ilvl w:val="6"/>
        <w:numId w:val="1"/>
      </w:numPr>
      <w:tabs>
        <w:tab w:val="num" w:pos="360"/>
      </w:tabs>
      <w:spacing w:before="200" w:line="240" w:lineRule="auto"/>
      <w:ind w:left="0" w:firstLine="0"/>
      <w:outlineLvl w:val="6"/>
    </w:pPr>
    <w:rPr>
      <w:rFonts w:asciiTheme="majorHAnsi" w:eastAsiaTheme="majorEastAsia" w:hAnsiTheme="majorHAnsi" w:cstheme="majorBidi"/>
      <w:i/>
      <w:iCs/>
      <w:color w:val="404040" w:themeColor="text1" w:themeTint="BF"/>
      <w:sz w:val="24"/>
      <w:lang w:val="de-CH" w:eastAsia="de-DE"/>
    </w:rPr>
  </w:style>
  <w:style w:type="paragraph" w:styleId="berschrift8">
    <w:name w:val="heading 8"/>
    <w:basedOn w:val="Standard"/>
    <w:next w:val="Standard"/>
    <w:link w:val="berschrift8Zchn"/>
    <w:semiHidden/>
    <w:unhideWhenUsed/>
    <w:qFormat/>
    <w:rsid w:val="00FA286C"/>
    <w:pPr>
      <w:keepNext/>
      <w:keepLines/>
      <w:numPr>
        <w:ilvl w:val="7"/>
        <w:numId w:val="1"/>
      </w:numPr>
      <w:spacing w:before="200" w:line="240" w:lineRule="auto"/>
      <w:ind w:left="7951" w:hanging="360"/>
      <w:outlineLvl w:val="7"/>
    </w:pPr>
    <w:rPr>
      <w:rFonts w:asciiTheme="majorHAnsi" w:eastAsiaTheme="majorEastAsia" w:hAnsiTheme="majorHAnsi" w:cstheme="majorBidi"/>
      <w:color w:val="404040" w:themeColor="text1" w:themeTint="BF"/>
      <w:lang w:val="de-CH" w:eastAsia="de-DE"/>
    </w:rPr>
  </w:style>
  <w:style w:type="paragraph" w:styleId="berschrift9">
    <w:name w:val="heading 9"/>
    <w:basedOn w:val="Standard"/>
    <w:next w:val="Standard"/>
    <w:link w:val="berschrift9Zchn"/>
    <w:semiHidden/>
    <w:unhideWhenUsed/>
    <w:qFormat/>
    <w:rsid w:val="00FA286C"/>
    <w:pPr>
      <w:keepNext/>
      <w:keepLines/>
      <w:numPr>
        <w:ilvl w:val="8"/>
        <w:numId w:val="1"/>
      </w:numPr>
      <w:spacing w:before="200" w:line="240" w:lineRule="auto"/>
      <w:ind w:left="8671" w:hanging="180"/>
      <w:outlineLvl w:val="8"/>
    </w:pPr>
    <w:rPr>
      <w:rFonts w:asciiTheme="majorHAnsi" w:eastAsiaTheme="majorEastAsia" w:hAnsiTheme="majorHAnsi" w:cstheme="majorBidi"/>
      <w:i/>
      <w:iCs/>
      <w:color w:val="404040" w:themeColor="text1" w:themeTint="BF"/>
      <w:lang w:val="de-CH"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A286C"/>
    <w:rPr>
      <w:rFonts w:ascii="Arial" w:eastAsia="Times New Roman" w:hAnsi="Arial" w:cs="Times New Roman"/>
      <w:b/>
      <w:kern w:val="28"/>
      <w:sz w:val="28"/>
      <w:szCs w:val="20"/>
      <w:lang w:val="x-none" w:eastAsia="de-DE"/>
    </w:rPr>
  </w:style>
  <w:style w:type="character" w:customStyle="1" w:styleId="berschrift2Zchn">
    <w:name w:val="Überschrift 2 Zchn"/>
    <w:basedOn w:val="Absatz-Standardschriftart"/>
    <w:link w:val="berschrift2"/>
    <w:rsid w:val="00FA286C"/>
    <w:rPr>
      <w:rFonts w:ascii="Arial" w:eastAsia="Times New Roman" w:hAnsi="Arial" w:cs="Times New Roman"/>
      <w:b/>
      <w:szCs w:val="20"/>
      <w:lang w:eastAsia="de-DE"/>
    </w:rPr>
  </w:style>
  <w:style w:type="character" w:customStyle="1" w:styleId="berschrift3Zchn">
    <w:name w:val="Überschrift 3 Zchn"/>
    <w:basedOn w:val="Absatz-Standardschriftart"/>
    <w:link w:val="berschrift3"/>
    <w:rsid w:val="00FA286C"/>
    <w:rPr>
      <w:rFonts w:ascii="Arial" w:eastAsia="Times New Roman" w:hAnsi="Arial" w:cs="Times New Roman"/>
      <w:szCs w:val="20"/>
      <w:lang w:eastAsia="de-DE"/>
    </w:rPr>
  </w:style>
  <w:style w:type="character" w:customStyle="1" w:styleId="berschrift4Zchn">
    <w:name w:val="Überschrift 4 Zchn"/>
    <w:basedOn w:val="Absatz-Standardschriftart"/>
    <w:link w:val="berschrift4"/>
    <w:rsid w:val="00FA286C"/>
    <w:rPr>
      <w:rFonts w:asciiTheme="majorHAnsi" w:eastAsiaTheme="majorEastAsia" w:hAnsiTheme="majorHAnsi" w:cstheme="majorBidi"/>
      <w:b/>
      <w:bCs/>
      <w:i/>
      <w:iCs/>
      <w:color w:val="4472C4" w:themeColor="accent1"/>
      <w:szCs w:val="20"/>
      <w:lang w:eastAsia="de-DE"/>
    </w:rPr>
  </w:style>
  <w:style w:type="character" w:customStyle="1" w:styleId="berschrift5Zchn">
    <w:name w:val="Überschrift 5 Zchn"/>
    <w:basedOn w:val="Absatz-Standardschriftart"/>
    <w:link w:val="berschrift5"/>
    <w:rsid w:val="00FA286C"/>
    <w:rPr>
      <w:rFonts w:asciiTheme="majorHAnsi" w:eastAsiaTheme="majorEastAsia" w:hAnsiTheme="majorHAnsi" w:cstheme="majorBidi"/>
      <w:color w:val="1F3763" w:themeColor="accent1" w:themeShade="7F"/>
      <w:szCs w:val="20"/>
      <w:lang w:eastAsia="de-DE"/>
    </w:rPr>
  </w:style>
  <w:style w:type="character" w:customStyle="1" w:styleId="berschrift6Zchn">
    <w:name w:val="Überschrift 6 Zchn"/>
    <w:basedOn w:val="Absatz-Standardschriftart"/>
    <w:link w:val="berschrift6"/>
    <w:semiHidden/>
    <w:rsid w:val="00FA286C"/>
    <w:rPr>
      <w:rFonts w:asciiTheme="majorHAnsi" w:eastAsiaTheme="majorEastAsia" w:hAnsiTheme="majorHAnsi" w:cstheme="majorBidi"/>
      <w:i/>
      <w:iCs/>
      <w:color w:val="1F3763" w:themeColor="accent1" w:themeShade="7F"/>
      <w:szCs w:val="20"/>
      <w:lang w:eastAsia="de-DE"/>
    </w:rPr>
  </w:style>
  <w:style w:type="character" w:customStyle="1" w:styleId="berschrift7Zchn">
    <w:name w:val="Überschrift 7 Zchn"/>
    <w:basedOn w:val="Absatz-Standardschriftart"/>
    <w:link w:val="berschrift7"/>
    <w:semiHidden/>
    <w:rsid w:val="00FA286C"/>
    <w:rPr>
      <w:rFonts w:asciiTheme="majorHAnsi" w:eastAsiaTheme="majorEastAsia" w:hAnsiTheme="majorHAnsi" w:cstheme="majorBidi"/>
      <w:i/>
      <w:iCs/>
      <w:color w:val="404040" w:themeColor="text1" w:themeTint="BF"/>
      <w:szCs w:val="20"/>
      <w:lang w:eastAsia="de-DE"/>
    </w:rPr>
  </w:style>
  <w:style w:type="character" w:customStyle="1" w:styleId="berschrift8Zchn">
    <w:name w:val="Überschrift 8 Zchn"/>
    <w:basedOn w:val="Absatz-Standardschriftart"/>
    <w:link w:val="berschrift8"/>
    <w:semiHidden/>
    <w:rsid w:val="00FA286C"/>
    <w:rPr>
      <w:rFonts w:asciiTheme="majorHAnsi" w:eastAsiaTheme="majorEastAsia" w:hAnsiTheme="majorHAnsi" w:cstheme="majorBidi"/>
      <w:color w:val="404040" w:themeColor="text1" w:themeTint="BF"/>
      <w:sz w:val="20"/>
      <w:szCs w:val="20"/>
      <w:lang w:eastAsia="de-DE"/>
    </w:rPr>
  </w:style>
  <w:style w:type="character" w:customStyle="1" w:styleId="berschrift9Zchn">
    <w:name w:val="Überschrift 9 Zchn"/>
    <w:basedOn w:val="Absatz-Standardschriftart"/>
    <w:link w:val="berschrift9"/>
    <w:semiHidden/>
    <w:rsid w:val="00FA286C"/>
    <w:rPr>
      <w:rFonts w:asciiTheme="majorHAnsi" w:eastAsiaTheme="majorEastAsia" w:hAnsiTheme="majorHAnsi" w:cstheme="majorBidi"/>
      <w:i/>
      <w:iCs/>
      <w:color w:val="404040" w:themeColor="text1" w:themeTint="BF"/>
      <w:sz w:val="20"/>
      <w:szCs w:val="20"/>
      <w:lang w:eastAsia="de-DE"/>
    </w:rPr>
  </w:style>
  <w:style w:type="paragraph" w:customStyle="1" w:styleId="MDPI62BackMatter">
    <w:name w:val="MDPI_6.2_BackMatter"/>
    <w:qFormat/>
    <w:rsid w:val="00FA286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table" w:styleId="TabelleEinfach2">
    <w:name w:val="Table Simple 2"/>
    <w:basedOn w:val="NormaleTabelle"/>
    <w:rsid w:val="00FA286C"/>
    <w:pPr>
      <w:spacing w:before="120"/>
      <w:jc w:val="both"/>
    </w:pPr>
    <w:rPr>
      <w:rFonts w:ascii="Times New Roman" w:eastAsia="Times New Roman" w:hAnsi="Times New Roman" w:cs="Times New Roman"/>
      <w:sz w:val="20"/>
      <w:szCs w:val="20"/>
      <w:lang w:val="de-DE" w:eastAsia="de-DE"/>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paragraph" w:styleId="Listenabsatz">
    <w:name w:val="List Paragraph"/>
    <w:basedOn w:val="Standard"/>
    <w:uiPriority w:val="34"/>
    <w:qFormat/>
    <w:rsid w:val="00FA286C"/>
    <w:pPr>
      <w:ind w:left="720"/>
      <w:contextualSpacing/>
    </w:pPr>
  </w:style>
  <w:style w:type="character" w:styleId="Kommentarzeichen">
    <w:name w:val="annotation reference"/>
    <w:rsid w:val="00B87856"/>
    <w:rPr>
      <w:sz w:val="21"/>
      <w:szCs w:val="21"/>
    </w:rPr>
  </w:style>
  <w:style w:type="paragraph" w:customStyle="1" w:styleId="Bemerkung">
    <w:name w:val="Bemerkung"/>
    <w:basedOn w:val="Standard"/>
    <w:link w:val="BemerkungZchn"/>
    <w:qFormat/>
    <w:rsid w:val="00176EC1"/>
    <w:pPr>
      <w:spacing w:before="120" w:line="240" w:lineRule="auto"/>
      <w:jc w:val="left"/>
    </w:pPr>
    <w:rPr>
      <w:rFonts w:ascii="Arial" w:eastAsia="Times New Roman" w:hAnsi="Arial"/>
      <w:i/>
      <w:color w:val="7F7F7F"/>
      <w:sz w:val="24"/>
      <w:lang w:val="x-none" w:eastAsia="de-DE"/>
    </w:rPr>
  </w:style>
  <w:style w:type="character" w:customStyle="1" w:styleId="BemerkungZchn">
    <w:name w:val="Bemerkung Zchn"/>
    <w:link w:val="Bemerkung"/>
    <w:rsid w:val="00176EC1"/>
    <w:rPr>
      <w:rFonts w:ascii="Arial" w:eastAsia="Times New Roman" w:hAnsi="Arial" w:cs="Times New Roman"/>
      <w:i/>
      <w:color w:val="7F7F7F"/>
      <w:szCs w:val="20"/>
      <w:lang w:val="x-none" w:eastAsia="de-DE"/>
    </w:rPr>
  </w:style>
  <w:style w:type="paragraph" w:styleId="Kommentartext">
    <w:name w:val="annotation text"/>
    <w:basedOn w:val="Standard"/>
    <w:link w:val="KommentartextZchn"/>
    <w:uiPriority w:val="99"/>
    <w:semiHidden/>
    <w:unhideWhenUsed/>
    <w:pPr>
      <w:spacing w:line="240" w:lineRule="auto"/>
    </w:pPr>
  </w:style>
  <w:style w:type="character" w:customStyle="1" w:styleId="KommentartextZchn">
    <w:name w:val="Kommentartext Zchn"/>
    <w:basedOn w:val="Absatz-Standardschriftart"/>
    <w:link w:val="Kommentartext"/>
    <w:uiPriority w:val="99"/>
    <w:semiHidden/>
    <w:rPr>
      <w:rFonts w:ascii="Palatino Linotype" w:eastAsia="SimSun" w:hAnsi="Palatino Linotype" w:cs="Times New Roman"/>
      <w:color w:val="000000"/>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3833</Words>
  <Characters>24151</Characters>
  <Application>Microsoft Office Word</Application>
  <DocSecurity>0</DocSecurity>
  <Lines>201</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Rahel Stiefel</dc:creator>
  <cp:keywords/>
  <dc:description/>
  <cp:lastModifiedBy>Onkozentrum Hirslanden</cp:lastModifiedBy>
  <cp:revision>2</cp:revision>
  <dcterms:created xsi:type="dcterms:W3CDTF">2023-01-11T11:28:00Z</dcterms:created>
  <dcterms:modified xsi:type="dcterms:W3CDTF">2023-01-11T11:28:00Z</dcterms:modified>
</cp:coreProperties>
</file>