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4EEA8" w14:textId="77777777" w:rsidR="00B95CE1" w:rsidRPr="008E0DE1" w:rsidRDefault="008E0DE1">
      <w:pPr>
        <w:pStyle w:val="1"/>
        <w:spacing w:line="480" w:lineRule="auto"/>
        <w:rPr>
          <w:b/>
          <w:bCs/>
        </w:rPr>
      </w:pPr>
      <w:bookmarkStart w:id="0" w:name="_Hlk106053909"/>
      <w:r w:rsidRPr="008E0DE1">
        <w:rPr>
          <w:b/>
          <w:bCs/>
        </w:rPr>
        <w:t>Supplementary</w:t>
      </w:r>
      <w:bookmarkEnd w:id="0"/>
    </w:p>
    <w:p w14:paraId="4D148BEE" w14:textId="77777777" w:rsidR="00B95CE1" w:rsidRPr="008E0DE1" w:rsidRDefault="008E0DE1">
      <w:pPr>
        <w:pStyle w:val="1"/>
        <w:spacing w:line="480" w:lineRule="auto"/>
        <w:rPr>
          <w:b/>
          <w:bCs/>
        </w:rPr>
      </w:pPr>
      <w:bookmarkStart w:id="1" w:name="_Hlk106053107"/>
      <w:bookmarkStart w:id="2" w:name="_Hlk106053871"/>
      <w:r w:rsidRPr="008E0DE1">
        <w:rPr>
          <w:rFonts w:eastAsia="宋体"/>
          <w:b/>
          <w:bCs/>
        </w:rPr>
        <w:t>Period analysis</w:t>
      </w:r>
      <w:bookmarkEnd w:id="1"/>
      <w:r w:rsidRPr="008E0DE1">
        <w:rPr>
          <w:b/>
          <w:bCs/>
        </w:rPr>
        <w:t xml:space="preserve"> was used to calculate 5-year RS</w:t>
      </w:r>
    </w:p>
    <w:bookmarkEnd w:id="2"/>
    <w:p w14:paraId="28490EB1" w14:textId="2B8EDEFC" w:rsidR="00B95CE1" w:rsidRPr="008E0DE1" w:rsidRDefault="00A3448D">
      <w:pPr>
        <w:pStyle w:val="1"/>
        <w:spacing w:line="480" w:lineRule="auto"/>
        <w:rPr>
          <w:color w:val="000000" w:themeColor="text1"/>
        </w:rPr>
      </w:pPr>
      <w:r>
        <w:rPr>
          <w:color w:val="000000" w:themeColor="text1"/>
        </w:rPr>
        <w:t>First</w:t>
      </w:r>
      <w:r w:rsidR="008E0DE1" w:rsidRPr="008E0DE1">
        <w:rPr>
          <w:color w:val="000000" w:themeColor="text1"/>
        </w:rPr>
        <w:t xml:space="preserve">, </w:t>
      </w:r>
      <w:bookmarkStart w:id="3" w:name="_Hlk76918351"/>
      <w:r w:rsidR="008E0DE1" w:rsidRPr="008E0DE1">
        <w:rPr>
          <w:color w:val="000000" w:themeColor="text1"/>
        </w:rPr>
        <w:t xml:space="preserve">we assessed </w:t>
      </w:r>
      <w:r>
        <w:rPr>
          <w:color w:val="000000" w:themeColor="text1"/>
        </w:rPr>
        <w:t xml:space="preserve">the </w:t>
      </w:r>
      <w:r w:rsidR="008E0DE1" w:rsidRPr="008E0DE1">
        <w:rPr>
          <w:color w:val="000000" w:themeColor="text1"/>
        </w:rPr>
        <w:t xml:space="preserve">5-year </w:t>
      </w:r>
      <w:r>
        <w:rPr>
          <w:color w:val="000000" w:themeColor="text1"/>
        </w:rPr>
        <w:t>relative survival (</w:t>
      </w:r>
      <w:r w:rsidR="008E0DE1" w:rsidRPr="008E0DE1">
        <w:rPr>
          <w:color w:val="000000" w:themeColor="text1"/>
        </w:rPr>
        <w:t>RS</w:t>
      </w:r>
      <w:r>
        <w:rPr>
          <w:color w:val="000000" w:themeColor="text1"/>
        </w:rPr>
        <w:t>)</w:t>
      </w:r>
      <w:r w:rsidR="008E0DE1" w:rsidRPr="008E0DE1">
        <w:rPr>
          <w:color w:val="000000" w:themeColor="text1"/>
        </w:rPr>
        <w:t xml:space="preserve"> of patients diagnosed in 2014–2018 by period analysis and divided patients into the newly diagnosed patients during 2014-2018 and </w:t>
      </w:r>
      <w:r>
        <w:rPr>
          <w:color w:val="000000" w:themeColor="text1"/>
        </w:rPr>
        <w:t>those</w:t>
      </w:r>
      <w:r w:rsidR="008E0DE1" w:rsidRPr="008E0DE1">
        <w:rPr>
          <w:color w:val="000000" w:themeColor="text1"/>
        </w:rPr>
        <w:t xml:space="preserve"> diagnosed from 2009 to 2013 but still alive </w:t>
      </w:r>
      <w:r>
        <w:rPr>
          <w:color w:val="000000" w:themeColor="text1"/>
        </w:rPr>
        <w:t>between</w:t>
      </w:r>
      <w:r w:rsidR="008E0DE1" w:rsidRPr="008E0DE1">
        <w:rPr>
          <w:color w:val="000000" w:themeColor="text1"/>
        </w:rPr>
        <w:t xml:space="preserve"> 2014-2018. </w:t>
      </w:r>
      <w:bookmarkEnd w:id="3"/>
      <w:r w:rsidR="008E0DE1" w:rsidRPr="008E0DE1">
        <w:rPr>
          <w:color w:val="000000" w:themeColor="text1"/>
        </w:rPr>
        <w:t>The period analysis uses survival experience observed in a specified calendar period, which included left censoring of observations</w:t>
      </w:r>
      <w:r>
        <w:rPr>
          <w:color w:val="000000" w:themeColor="text1"/>
        </w:rPr>
        <w:t>,</w:t>
      </w:r>
      <w:r w:rsidR="008E0DE1" w:rsidRPr="008E0DE1">
        <w:rPr>
          <w:color w:val="000000" w:themeColor="text1"/>
        </w:rPr>
        <w:t xml:space="preserve"> and survival observations are right truncated at the end of the calendar period. Additionally, the method calculated the 1-year RS </w:t>
      </w:r>
      <w:r w:rsidR="008E0DE1" w:rsidRPr="008E0DE1">
        <w:rPr>
          <w:i/>
          <w:iCs/>
          <w:color w:val="000000" w:themeColor="text1"/>
        </w:rPr>
        <w:t>Si</w:t>
      </w:r>
      <w:r w:rsidR="008E0DE1" w:rsidRPr="008E0DE1">
        <w:rPr>
          <w:color w:val="000000" w:themeColor="text1"/>
        </w:rPr>
        <w:t> at the </w:t>
      </w:r>
      <w:proofErr w:type="spellStart"/>
      <w:r w:rsidR="008E0DE1" w:rsidRPr="008E0DE1">
        <w:rPr>
          <w:i/>
          <w:iCs/>
          <w:color w:val="000000" w:themeColor="text1"/>
        </w:rPr>
        <w:t>i</w:t>
      </w:r>
      <w:proofErr w:type="spellEnd"/>
      <w:r w:rsidR="008E0DE1" w:rsidRPr="008E0DE1">
        <w:rPr>
          <w:color w:val="000000" w:themeColor="text1"/>
        </w:rPr>
        <w:t xml:space="preserve"> year of follow-up based on </w:t>
      </w:r>
      <w:r>
        <w:rPr>
          <w:color w:val="000000" w:themeColor="text1"/>
        </w:rPr>
        <w:t>collecting</w:t>
      </w:r>
      <w:r w:rsidR="008E0DE1" w:rsidRPr="008E0DE1">
        <w:rPr>
          <w:color w:val="000000" w:themeColor="text1"/>
        </w:rPr>
        <w:t xml:space="preserve"> a life table from cancer registries. The formula can be written as:</w:t>
      </w:r>
    </w:p>
    <w:p w14:paraId="15C55EFD" w14:textId="77777777" w:rsidR="00B95CE1" w:rsidRPr="008E0DE1" w:rsidRDefault="00000000">
      <w:pPr>
        <w:widowControl/>
        <w:shd w:val="clear" w:color="auto" w:fill="FFFFFF"/>
        <w:spacing w:line="480" w:lineRule="auto"/>
        <w:jc w:val="center"/>
        <w:outlineLvl w:val="1"/>
        <w:rPr>
          <w:rFonts w:ascii="Cambria Math" w:hAnsi="Cambria Math" w:cs="Times New Roman"/>
          <w:b/>
          <w:bCs/>
          <w:color w:val="000000" w:themeColor="text1"/>
          <w:kern w:val="0"/>
          <w:szCs w:val="21"/>
          <w:lang w:eastAsia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color w:val="000000" w:themeColor="text1"/>
                  <w:kern w:val="0"/>
                  <w:szCs w:val="21"/>
                  <w:lang w:eastAsia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kern w:val="0"/>
                  <w:szCs w:val="21"/>
                  <w:lang w:eastAsia="en-US"/>
                </w:rPr>
                <m:t>S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kern w:val="0"/>
                  <w:szCs w:val="21"/>
                  <w:lang w:eastAsia="en-US"/>
                </w:rPr>
                <m:t>i</m:t>
              </m:r>
            </m:sub>
          </m:sSub>
          <m:r>
            <m:rPr>
              <m:sty m:val="b"/>
            </m:rPr>
            <w:rPr>
              <w:rFonts w:ascii="Cambria Math" w:hAnsi="Cambria Math" w:cs="Times New Roman"/>
              <w:color w:val="000000" w:themeColor="text1"/>
              <w:kern w:val="0"/>
              <w:szCs w:val="21"/>
              <w:lang w:eastAsia="en-US"/>
            </w:rPr>
            <m:t>=1-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color w:val="000000" w:themeColor="text1"/>
                  <w:kern w:val="0"/>
                  <w:szCs w:val="21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color w:val="000000" w:themeColor="text1"/>
                      <w:kern w:val="0"/>
                      <w:szCs w:val="21"/>
                      <w:lang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kern w:val="0"/>
                      <w:szCs w:val="21"/>
                      <w:lang w:eastAsia="en-US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kern w:val="0"/>
                      <w:szCs w:val="21"/>
                      <w:lang w:eastAsia="en-US"/>
                    </w:rPr>
                    <m:t>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color w:val="000000" w:themeColor="text1"/>
                      <w:kern w:val="0"/>
                      <w:szCs w:val="21"/>
                      <w:lang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kern w:val="0"/>
                      <w:szCs w:val="21"/>
                      <w:lang w:eastAsia="en-US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kern w:val="0"/>
                      <w:szCs w:val="21"/>
                      <w:lang w:eastAsia="en-US"/>
                    </w:rPr>
                    <m:t>i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="Times New Roman"/>
                  <w:color w:val="000000" w:themeColor="text1"/>
                  <w:kern w:val="0"/>
                  <w:szCs w:val="21"/>
                  <w:lang w:eastAsia="en-US"/>
                </w:rPr>
                <m:t>-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/>
                      <w:bCs/>
                      <w:color w:val="000000" w:themeColor="text1"/>
                      <w:kern w:val="0"/>
                      <w:szCs w:val="21"/>
                      <w:lang w:eastAsia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color w:val="000000" w:themeColor="text1"/>
                          <w:kern w:val="0"/>
                          <w:szCs w:val="21"/>
                          <w:lang w:eastAsia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  <w:kern w:val="0"/>
                          <w:szCs w:val="21"/>
                          <w:lang w:eastAsia="en-US"/>
                        </w:rPr>
                        <m:t>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  <w:kern w:val="0"/>
                          <w:szCs w:val="21"/>
                          <w:lang w:eastAsia="en-US"/>
                        </w:rPr>
                        <m:t>i</m:t>
                      </m:r>
                    </m:sub>
                  </m:sSub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000000" w:themeColor="text1"/>
                      <w:kern w:val="0"/>
                      <w:szCs w:val="21"/>
                      <w:lang w:eastAsia="en-US"/>
                    </w:rPr>
                    <m:t>2</m:t>
                  </m:r>
                </m:den>
              </m:f>
            </m:den>
          </m:f>
        </m:oMath>
      </m:oMathPara>
    </w:p>
    <w:p w14:paraId="4FD9DCB6" w14:textId="47446ED3" w:rsidR="00B95CE1" w:rsidRPr="008E0DE1" w:rsidRDefault="008E0DE1">
      <w:pPr>
        <w:pStyle w:val="1"/>
        <w:spacing w:line="480" w:lineRule="auto"/>
        <w:rPr>
          <w:color w:val="000000" w:themeColor="text1"/>
        </w:rPr>
      </w:pPr>
      <w:r w:rsidRPr="008E0DE1">
        <w:rPr>
          <w:color w:val="000000" w:themeColor="text1"/>
        </w:rPr>
        <w:t xml:space="preserve">In this formula, where </w:t>
      </w:r>
      <w:proofErr w:type="spellStart"/>
      <w:r w:rsidRPr="008E0DE1">
        <w:rPr>
          <w:i/>
          <w:iCs/>
          <w:color w:val="000000" w:themeColor="text1"/>
        </w:rPr>
        <w:t>n</w:t>
      </w:r>
      <w:r w:rsidRPr="008E0DE1">
        <w:rPr>
          <w:i/>
          <w:iCs/>
          <w:color w:val="000000" w:themeColor="text1"/>
          <w:vertAlign w:val="subscript"/>
        </w:rPr>
        <w:t>i</w:t>
      </w:r>
      <w:proofErr w:type="spellEnd"/>
      <w:r w:rsidRPr="008E0DE1">
        <w:rPr>
          <w:color w:val="000000" w:themeColor="text1"/>
          <w:vertAlign w:val="subscript"/>
        </w:rPr>
        <w:t xml:space="preserve"> </w:t>
      </w:r>
      <w:r w:rsidRPr="008E0DE1">
        <w:rPr>
          <w:color w:val="000000" w:themeColor="text1"/>
        </w:rPr>
        <w:t xml:space="preserve">denoted the population at the beginning of the </w:t>
      </w:r>
      <w:proofErr w:type="spellStart"/>
      <w:r w:rsidRPr="008E0DE1">
        <w:rPr>
          <w:i/>
          <w:iCs/>
          <w:color w:val="000000" w:themeColor="text1"/>
        </w:rPr>
        <w:t>i</w:t>
      </w:r>
      <w:proofErr w:type="spellEnd"/>
      <w:r w:rsidRPr="008E0DE1">
        <w:rPr>
          <w:color w:val="000000" w:themeColor="text1"/>
        </w:rPr>
        <w:t xml:space="preserve"> year of follow-up, </w:t>
      </w:r>
      <w:r w:rsidRPr="008E0DE1">
        <w:rPr>
          <w:i/>
          <w:iCs/>
          <w:color w:val="000000" w:themeColor="text1"/>
        </w:rPr>
        <w:t>d</w:t>
      </w:r>
      <w:r w:rsidRPr="008E0DE1">
        <w:rPr>
          <w:i/>
          <w:iCs/>
          <w:color w:val="000000" w:themeColor="text1"/>
          <w:vertAlign w:val="subscript"/>
        </w:rPr>
        <w:t>i</w:t>
      </w:r>
      <w:r w:rsidRPr="008E0DE1">
        <w:rPr>
          <w:color w:val="000000" w:themeColor="text1"/>
        </w:rPr>
        <w:t xml:space="preserve"> denoted the number of deaths at the end of</w:t>
      </w:r>
      <w:r w:rsidRPr="008E0DE1">
        <w:rPr>
          <w:i/>
          <w:iCs/>
          <w:color w:val="000000" w:themeColor="text1"/>
        </w:rPr>
        <w:t xml:space="preserve"> </w:t>
      </w:r>
      <w:proofErr w:type="spellStart"/>
      <w:r w:rsidRPr="008E0DE1">
        <w:rPr>
          <w:i/>
          <w:iCs/>
          <w:color w:val="000000" w:themeColor="text1"/>
        </w:rPr>
        <w:t>i</w:t>
      </w:r>
      <w:proofErr w:type="spellEnd"/>
      <w:r w:rsidRPr="008E0DE1">
        <w:rPr>
          <w:color w:val="000000" w:themeColor="text1"/>
        </w:rPr>
        <w:t xml:space="preserve"> year of follow-up, and </w:t>
      </w:r>
      <w:r w:rsidRPr="008E0DE1">
        <w:rPr>
          <w:i/>
          <w:iCs/>
          <w:color w:val="000000" w:themeColor="text1"/>
        </w:rPr>
        <w:t>c</w:t>
      </w:r>
      <w:r w:rsidRPr="008E0DE1">
        <w:rPr>
          <w:i/>
          <w:iCs/>
          <w:color w:val="000000" w:themeColor="text1"/>
          <w:vertAlign w:val="subscript"/>
        </w:rPr>
        <w:t>i</w:t>
      </w:r>
      <w:r w:rsidRPr="008E0DE1">
        <w:rPr>
          <w:color w:val="000000" w:themeColor="text1"/>
          <w:vertAlign w:val="subscript"/>
        </w:rPr>
        <w:t xml:space="preserve"> </w:t>
      </w:r>
      <w:r w:rsidRPr="008E0DE1">
        <w:rPr>
          <w:color w:val="000000" w:themeColor="text1"/>
        </w:rPr>
        <w:t>denoted the number of censored data in</w:t>
      </w:r>
      <w:r w:rsidRPr="008E0DE1">
        <w:rPr>
          <w:i/>
          <w:iCs/>
          <w:color w:val="000000" w:themeColor="text1"/>
        </w:rPr>
        <w:t xml:space="preserve"> </w:t>
      </w:r>
      <w:proofErr w:type="spellStart"/>
      <w:r w:rsidRPr="008E0DE1">
        <w:rPr>
          <w:i/>
          <w:iCs/>
          <w:color w:val="000000" w:themeColor="text1"/>
        </w:rPr>
        <w:t>i</w:t>
      </w:r>
      <w:proofErr w:type="spellEnd"/>
      <w:r w:rsidRPr="008E0DE1">
        <w:rPr>
          <w:color w:val="000000" w:themeColor="text1"/>
        </w:rPr>
        <w:t xml:space="preserve"> year. </w:t>
      </w:r>
      <w:bookmarkStart w:id="4" w:name="_Hlk72942234"/>
      <w:r w:rsidRPr="008E0DE1">
        <w:rPr>
          <w:color w:val="000000" w:themeColor="text1"/>
        </w:rPr>
        <w:t xml:space="preserve">The estimate of survival by the end of </w:t>
      </w:r>
      <w:r w:rsidR="00A3448D">
        <w:rPr>
          <w:color w:val="000000" w:themeColor="text1"/>
        </w:rPr>
        <w:t xml:space="preserve">the </w:t>
      </w:r>
      <w:r w:rsidRPr="008E0DE1">
        <w:rPr>
          <w:color w:val="000000" w:themeColor="text1"/>
        </w:rPr>
        <w:t xml:space="preserve">follow-up year </w:t>
      </w:r>
      <w:r w:rsidRPr="008E0DE1">
        <w:rPr>
          <w:i/>
          <w:iCs/>
          <w:color w:val="000000" w:themeColor="text1"/>
        </w:rPr>
        <w:t>k</w:t>
      </w:r>
      <w:r w:rsidRPr="008E0DE1">
        <w:rPr>
          <w:color w:val="000000" w:themeColor="text1"/>
        </w:rPr>
        <w:t xml:space="preserve"> (</w:t>
      </w:r>
      <w:proofErr w:type="spellStart"/>
      <w:r w:rsidRPr="008E0DE1">
        <w:rPr>
          <w:i/>
          <w:iCs/>
          <w:color w:val="000000" w:themeColor="text1"/>
        </w:rPr>
        <w:t>s</w:t>
      </w:r>
      <w:r w:rsidRPr="008E0DE1">
        <w:rPr>
          <w:i/>
          <w:iCs/>
          <w:color w:val="000000" w:themeColor="text1"/>
          <w:vertAlign w:val="subscript"/>
        </w:rPr>
        <w:t>k</w:t>
      </w:r>
      <w:proofErr w:type="spellEnd"/>
      <w:r w:rsidRPr="008E0DE1">
        <w:rPr>
          <w:color w:val="000000" w:themeColor="text1"/>
        </w:rPr>
        <w:t xml:space="preserve">) was derived </w:t>
      </w:r>
      <w:r w:rsidR="00A3448D">
        <w:rPr>
          <w:color w:val="000000" w:themeColor="text1"/>
        </w:rPr>
        <w:t>by</w:t>
      </w:r>
      <w:r w:rsidRPr="008E0DE1">
        <w:rPr>
          <w:color w:val="000000" w:themeColor="text1"/>
        </w:rPr>
        <w:t xml:space="preserve"> multiplying the one-year survival rate of the conditions of </w:t>
      </w:r>
      <w:r w:rsidRPr="008E0DE1">
        <w:rPr>
          <w:i/>
          <w:iCs/>
          <w:color w:val="000000" w:themeColor="text1"/>
        </w:rPr>
        <w:t>k</w:t>
      </w:r>
      <w:r w:rsidRPr="008E0DE1">
        <w:rPr>
          <w:color w:val="000000" w:themeColor="text1"/>
        </w:rPr>
        <w:t xml:space="preserve"> years.</w:t>
      </w:r>
      <w:bookmarkEnd w:id="4"/>
      <w:r w:rsidRPr="008E0DE1">
        <w:rPr>
          <w:color w:val="000000" w:themeColor="text1"/>
        </w:rPr>
        <w:t xml:space="preserve"> The formula can be written as:</w:t>
      </w:r>
    </w:p>
    <w:p w14:paraId="73F512EC" w14:textId="77777777" w:rsidR="00B95CE1" w:rsidRPr="008E0DE1" w:rsidRDefault="00000000">
      <w:pPr>
        <w:widowControl/>
        <w:shd w:val="clear" w:color="auto" w:fill="FFFFFF"/>
        <w:spacing w:line="480" w:lineRule="auto"/>
        <w:jc w:val="center"/>
        <w:outlineLvl w:val="1"/>
        <w:rPr>
          <w:rFonts w:ascii="Cambria Math" w:hAnsi="Cambria Math" w:cs="Times New Roman"/>
          <w:b/>
          <w:bCs/>
          <w:color w:val="000000" w:themeColor="text1"/>
          <w:kern w:val="0"/>
          <w:szCs w:val="21"/>
          <w:lang w:eastAsia="en-US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color w:val="000000" w:themeColor="text1"/>
                  <w:kern w:val="0"/>
                  <w:szCs w:val="21"/>
                  <w:lang w:eastAsia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color w:val="000000" w:themeColor="text1"/>
                      <w:kern w:val="0"/>
                      <w:szCs w:val="21"/>
                      <w:lang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kern w:val="0"/>
                      <w:szCs w:val="21"/>
                      <w:lang w:eastAsia="en-US"/>
                    </w:rPr>
                    <m:t>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kern w:val="0"/>
                      <w:szCs w:val="21"/>
                      <w:lang w:eastAsia="en-US"/>
                    </w:rPr>
                    <m:t>k</m:t>
                  </m:r>
                </m:sub>
              </m:sSub>
            </m:e>
          </m:acc>
          <m:r>
            <m:rPr>
              <m:sty m:val="b"/>
            </m:rPr>
            <w:rPr>
              <w:rFonts w:ascii="Cambria Math" w:hAnsi="Cambria Math" w:cs="Times New Roman"/>
              <w:color w:val="000000" w:themeColor="text1"/>
              <w:kern w:val="0"/>
              <w:szCs w:val="21"/>
              <w:lang w:eastAsia="en-US"/>
            </w:rPr>
            <m:t>=</m:t>
          </m:r>
          <m:nary>
            <m:naryPr>
              <m:chr m:val="∏"/>
              <m:limLoc m:val="undOvr"/>
              <m:ctrlPr>
                <w:rPr>
                  <w:rFonts w:ascii="Cambria Math" w:hAnsi="Cambria Math" w:cs="Times New Roman"/>
                  <w:b/>
                  <w:bCs/>
                  <w:color w:val="000000" w:themeColor="text1"/>
                  <w:kern w:val="0"/>
                  <w:szCs w:val="21"/>
                  <w:lang w:eastAsia="en-US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kern w:val="0"/>
                  <w:szCs w:val="21"/>
                  <w:lang w:eastAsia="en-US"/>
                </w:rPr>
                <m:t>i</m:t>
              </m:r>
              <m:r>
                <m:rPr>
                  <m:sty m:val="b"/>
                </m:rPr>
                <w:rPr>
                  <w:rFonts w:ascii="Cambria Math" w:hAnsi="Cambria Math" w:cs="Times New Roman"/>
                  <w:color w:val="000000" w:themeColor="text1"/>
                  <w:kern w:val="0"/>
                  <w:szCs w:val="21"/>
                  <w:lang w:eastAsia="en-US"/>
                </w:rPr>
                <m:t>=1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kern w:val="0"/>
                  <w:szCs w:val="21"/>
                  <w:lang w:eastAsia="en-US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color w:val="000000" w:themeColor="text1"/>
                      <w:kern w:val="0"/>
                      <w:szCs w:val="21"/>
                      <w:lang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kern w:val="0"/>
                      <w:szCs w:val="21"/>
                      <w:lang w:eastAsia="en-US"/>
                    </w:rPr>
                    <m:t>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kern w:val="0"/>
                      <w:szCs w:val="21"/>
                      <w:lang w:eastAsia="en-US"/>
                    </w:rPr>
                    <m:t>i</m:t>
                  </m:r>
                </m:sub>
              </m:sSub>
            </m:e>
          </m:nary>
        </m:oMath>
      </m:oMathPara>
    </w:p>
    <w:p w14:paraId="1BE3DBA7" w14:textId="778AB77A" w:rsidR="00B95CE1" w:rsidRPr="008E0DE1" w:rsidRDefault="008E0DE1">
      <w:pPr>
        <w:pStyle w:val="1"/>
        <w:spacing w:line="480" w:lineRule="auto"/>
        <w:rPr>
          <w:color w:val="000000" w:themeColor="text1"/>
        </w:rPr>
      </w:pPr>
      <w:r w:rsidRPr="008E0DE1">
        <w:rPr>
          <w:color w:val="000000" w:themeColor="text1"/>
        </w:rPr>
        <w:t xml:space="preserve">RS was the ratio of the observed survival divided by the expected survival. The formula was </w:t>
      </w:r>
      <w:r w:rsidR="00A3448D" w:rsidRPr="00A3448D">
        <w:rPr>
          <w:color w:val="000000" w:themeColor="text1"/>
        </w:rPr>
        <w:t>as follows:</w:t>
      </w:r>
    </w:p>
    <w:p w14:paraId="0F6E4926" w14:textId="77777777" w:rsidR="00B95CE1" w:rsidRPr="008E0DE1" w:rsidRDefault="00000000">
      <w:pPr>
        <w:widowControl/>
        <w:shd w:val="clear" w:color="auto" w:fill="FFFFFF"/>
        <w:spacing w:line="480" w:lineRule="auto"/>
        <w:jc w:val="center"/>
        <w:outlineLvl w:val="1"/>
        <w:rPr>
          <w:rFonts w:ascii="Arial" w:hAnsi="Arial" w:cs="Arial"/>
          <w:b/>
          <w:bCs/>
          <w:color w:val="000000" w:themeColor="text1"/>
          <w:kern w:val="0"/>
          <w:szCs w:val="21"/>
          <w:lang w:eastAsia="en-US"/>
        </w:rPr>
      </w:pPr>
      <m:oMathPara>
        <m:oMath>
          <m:sSub>
            <m:sSubPr>
              <m:ctrlPr>
                <w:rPr>
                  <w:rFonts w:ascii="Cambria Math" w:hAnsi="Cambria Math" w:cs="Arial"/>
                  <w:b/>
                  <w:bCs/>
                  <w:color w:val="000000" w:themeColor="text1"/>
                  <w:kern w:val="0"/>
                  <w:szCs w:val="21"/>
                  <w:lang w:eastAsia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Arial"/>
                  <w:color w:val="000000" w:themeColor="text1"/>
                  <w:kern w:val="0"/>
                  <w:szCs w:val="21"/>
                  <w:lang w:eastAsia="en-US"/>
                </w:rPr>
                <m:t>R</m:t>
              </m:r>
            </m:e>
            <m:sub>
              <m:r>
                <m:rPr>
                  <m:sty m:val="b"/>
                </m:rPr>
                <w:rPr>
                  <w:rFonts w:ascii="Cambria Math" w:hAnsi="Cambria Math" w:cs="Arial"/>
                  <w:color w:val="000000" w:themeColor="text1"/>
                  <w:kern w:val="0"/>
                  <w:szCs w:val="21"/>
                  <w:lang w:eastAsia="en-US"/>
                </w:rPr>
                <m:t>i</m:t>
              </m:r>
            </m:sub>
          </m:sSub>
          <m:r>
            <m:rPr>
              <m:sty m:val="b"/>
            </m:rPr>
            <w:rPr>
              <w:rFonts w:ascii="Cambria Math" w:hAnsi="Cambria Math" w:cs="Arial"/>
              <w:color w:val="000000" w:themeColor="text1"/>
              <w:kern w:val="0"/>
              <w:szCs w:val="21"/>
              <w:lang w:eastAsia="en-US"/>
            </w:rPr>
            <m:t>=</m:t>
          </m:r>
          <m:f>
            <m:fPr>
              <m:ctrlPr>
                <w:rPr>
                  <w:rFonts w:ascii="Cambria Math" w:hAnsi="Cambria Math" w:cs="Arial"/>
                  <w:b/>
                  <w:bCs/>
                  <w:color w:val="000000" w:themeColor="text1"/>
                  <w:kern w:val="0"/>
                  <w:szCs w:val="21"/>
                  <w:lang w:eastAsia="en-US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 w:cs="Arial"/>
                      <w:b/>
                      <w:bCs/>
                      <w:color w:val="000000" w:themeColor="text1"/>
                      <w:kern w:val="0"/>
                      <w:szCs w:val="21"/>
                      <w:lang w:eastAsia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Arial"/>
                          <w:b/>
                          <w:bCs/>
                          <w:color w:val="000000" w:themeColor="text1"/>
                          <w:kern w:val="0"/>
                          <w:szCs w:val="21"/>
                          <w:lang w:eastAsia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color w:val="000000" w:themeColor="text1"/>
                          <w:kern w:val="0"/>
                          <w:szCs w:val="21"/>
                          <w:lang w:eastAsia="en-US"/>
                        </w:rPr>
                        <m:t>S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color w:val="000000" w:themeColor="text1"/>
                          <w:kern w:val="0"/>
                          <w:szCs w:val="21"/>
                          <w:lang w:eastAsia="en-US"/>
                        </w:rPr>
                        <m:t>k</m:t>
                      </m:r>
                    </m:sub>
                  </m:sSub>
                </m:e>
              </m:acc>
            </m:num>
            <m:den>
              <m:sSubSup>
                <m:sSubSupPr>
                  <m:ctrlPr>
                    <w:rPr>
                      <w:rFonts w:ascii="Cambria Math" w:hAnsi="Cambria Math" w:cs="Arial"/>
                      <w:b/>
                      <w:bCs/>
                      <w:color w:val="000000" w:themeColor="text1"/>
                      <w:kern w:val="0"/>
                      <w:szCs w:val="21"/>
                      <w:lang w:eastAsia="en-US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000000" w:themeColor="text1"/>
                      <w:kern w:val="0"/>
                      <w:szCs w:val="21"/>
                      <w:lang w:eastAsia="en-US"/>
                    </w:rPr>
                    <m:t>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Arial"/>
                      <w:color w:val="000000" w:themeColor="text1"/>
                      <w:kern w:val="0"/>
                      <w:szCs w:val="21"/>
                      <w:lang w:eastAsia="en-US"/>
                    </w:rPr>
                    <m:t>k</m:t>
                  </m:r>
                </m:sub>
                <m:sup>
                  <m:r>
                    <m:rPr>
                      <m:sty m:val="b"/>
                    </m:rPr>
                    <w:rPr>
                      <w:rFonts w:ascii="Cambria Math" w:hAnsi="Cambria Math" w:cs="Arial"/>
                      <w:color w:val="000000" w:themeColor="text1"/>
                      <w:kern w:val="0"/>
                      <w:szCs w:val="21"/>
                      <w:lang w:eastAsia="en-US"/>
                    </w:rPr>
                    <m:t>*</m:t>
                  </m:r>
                </m:sup>
              </m:sSubSup>
            </m:den>
          </m:f>
        </m:oMath>
      </m:oMathPara>
    </w:p>
    <w:p w14:paraId="14F8E21E" w14:textId="77777777" w:rsidR="00B95CE1" w:rsidRPr="008E0DE1" w:rsidRDefault="008E0DE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0D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k</m:t>
                </m:r>
              </m:sub>
            </m:sSub>
          </m:e>
        </m:acc>
      </m:oMath>
      <w:r w:rsidRPr="008E0DE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8E0DE1">
        <w:rPr>
          <w:rFonts w:ascii="Times New Roman" w:hAnsi="Times New Roman" w:cs="Times New Roman"/>
          <w:color w:val="000000" w:themeColor="text1"/>
          <w:sz w:val="24"/>
          <w:szCs w:val="24"/>
        </w:rPr>
        <w:t>denoted observed survival, and</w:t>
      </w:r>
      <m:oMath>
        <m:r>
          <w:rPr>
            <w:rStyle w:val="mi"/>
            <w:rFonts w:ascii="Cambria Math" w:hAnsi="Cambria Math" w:cs="Times New Roman"/>
            <w:color w:val="000000" w:themeColor="text1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k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*</m:t>
            </m:r>
          </m:sup>
        </m:sSubSup>
      </m:oMath>
      <w:r w:rsidRPr="008E0DE1">
        <w:rPr>
          <w:rFonts w:ascii="Times New Roman" w:hAnsi="Times New Roman" w:cs="Times New Roman"/>
          <w:color w:val="000000" w:themeColor="text1"/>
          <w:sz w:val="24"/>
          <w:szCs w:val="24"/>
        </w:rPr>
        <w:t> denoted the expected survival, which is calculated using the Ederer II method. When</w:t>
      </w:r>
      <w:r w:rsidRPr="008E0DE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k</w:t>
      </w:r>
      <w:r w:rsidRPr="008E0D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=5, the estimates of 5-year RS derived </w:t>
      </w:r>
      <w:r w:rsidRPr="008E0DE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from this formula. According to the Greenwood method, the point estimate of the RS and its standard error were calculated.</w:t>
      </w:r>
    </w:p>
    <w:p w14:paraId="4A45A624" w14:textId="77777777" w:rsidR="00B95CE1" w:rsidRDefault="00B95CE1"/>
    <w:sectPr w:rsidR="00B95C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C995402"/>
    <w:rsid w:val="008E0DE1"/>
    <w:rsid w:val="00A3448D"/>
    <w:rsid w:val="00B95CE1"/>
    <w:rsid w:val="7C99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451BEF"/>
  <w15:docId w15:val="{34222BB9-FBC7-4DF4-B15D-27402607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basedOn w:val="a"/>
    <w:qFormat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mi">
    <w:name w:val="mi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238</Words>
  <Characters>1363</Characters>
  <Application>Microsoft Office Word</Application>
  <DocSecurity>0</DocSecurity>
  <Lines>11</Lines>
  <Paragraphs>3</Paragraphs>
  <ScaleCrop>false</ScaleCrop>
  <Company>浙江省卫生和计划生育委员会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国标Administrator</dc:creator>
  <cp:lastModifiedBy>Lu Ye</cp:lastModifiedBy>
  <cp:revision>3</cp:revision>
  <dcterms:created xsi:type="dcterms:W3CDTF">2022-06-17T02:55:00Z</dcterms:created>
  <dcterms:modified xsi:type="dcterms:W3CDTF">2022-11-25T08:00:00Z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2E0ACE9A55CB4BF991855355BF176B92</vt:lpwstr>
  </property>
</Properties>
</file>