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E7B" w:rsidRDefault="000F4E7B" w:rsidP="000F4E7B">
      <w:r>
        <w:rPr>
          <w:b/>
        </w:rPr>
        <w:t>Supplementary Table</w:t>
      </w:r>
      <w:r w:rsidRPr="00F47A70">
        <w:rPr>
          <w:b/>
        </w:rPr>
        <w:t xml:space="preserve"> 1</w:t>
      </w:r>
      <w:r>
        <w:t xml:space="preserve"> Treatment duration and follow-up</w:t>
      </w:r>
    </w:p>
    <w:tbl>
      <w:tblPr>
        <w:tblStyle w:val="TableGrid"/>
        <w:tblW w:w="9072" w:type="dxa"/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0F4E7B" w:rsidRPr="00DC1D04" w:rsidTr="00B37B39">
        <w:tc>
          <w:tcPr>
            <w:tcW w:w="3024" w:type="dxa"/>
            <w:vAlign w:val="bottom"/>
          </w:tcPr>
          <w:p w:rsidR="000F4E7B" w:rsidRPr="00DC1D04" w:rsidRDefault="000F4E7B" w:rsidP="00B37B39">
            <w:pPr>
              <w:rPr>
                <w:rFonts w:eastAsia="Times New Roman" w:cstheme="minorHAnsi"/>
              </w:rPr>
            </w:pPr>
          </w:p>
        </w:tc>
        <w:tc>
          <w:tcPr>
            <w:tcW w:w="3024" w:type="dxa"/>
            <w:vAlign w:val="bottom"/>
          </w:tcPr>
          <w:p w:rsidR="000F4E7B" w:rsidRPr="00296658" w:rsidRDefault="000F4E7B" w:rsidP="00B37B39">
            <w:pPr>
              <w:jc w:val="center"/>
              <w:rPr>
                <w:rFonts w:cstheme="minorHAnsi"/>
              </w:rPr>
            </w:pPr>
            <w:r w:rsidRPr="00CA6E27">
              <w:rPr>
                <w:rFonts w:cstheme="minorHAnsi"/>
              </w:rPr>
              <w:t>Epacadostat</w:t>
            </w:r>
            <w:r>
              <w:rPr>
                <w:rFonts w:cstheme="minorHAnsi"/>
              </w:rPr>
              <w:t xml:space="preserve"> + pembrolizumab (</w:t>
            </w:r>
            <w:r w:rsidRPr="00F47A70">
              <w:rPr>
                <w:rFonts w:cstheme="minorHAnsi"/>
                <w:i/>
              </w:rPr>
              <w:t>n</w:t>
            </w:r>
            <w:r>
              <w:rPr>
                <w:rFonts w:cstheme="minorHAnsi"/>
              </w:rPr>
              <w:t xml:space="preserve"> </w:t>
            </w:r>
            <w:r w:rsidRPr="00CA6E27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75)</w:t>
            </w:r>
          </w:p>
        </w:tc>
        <w:tc>
          <w:tcPr>
            <w:tcW w:w="3024" w:type="dxa"/>
            <w:vAlign w:val="bottom"/>
          </w:tcPr>
          <w:p w:rsidR="000F4E7B" w:rsidRPr="00296658" w:rsidRDefault="000F4E7B" w:rsidP="00B37B39">
            <w:pPr>
              <w:jc w:val="center"/>
              <w:rPr>
                <w:rFonts w:cstheme="minorHAnsi"/>
              </w:rPr>
            </w:pPr>
            <w:r w:rsidRPr="00CA6E27">
              <w:rPr>
                <w:rFonts w:cstheme="minorHAnsi"/>
              </w:rPr>
              <w:t>Placebo</w:t>
            </w:r>
            <w:r>
              <w:rPr>
                <w:rFonts w:cstheme="minorHAnsi"/>
              </w:rPr>
              <w:t xml:space="preserve"> + pembrolizumab </w:t>
            </w:r>
            <w:r>
              <w:rPr>
                <w:rFonts w:cstheme="minorHAnsi"/>
              </w:rPr>
              <w:br/>
              <w:t>(</w:t>
            </w:r>
            <w:r w:rsidRPr="00F47A70">
              <w:rPr>
                <w:rFonts w:cstheme="minorHAnsi"/>
                <w:i/>
              </w:rPr>
              <w:t>n</w:t>
            </w:r>
            <w:r>
              <w:rPr>
                <w:rFonts w:cstheme="minorHAnsi"/>
              </w:rPr>
              <w:t xml:space="preserve"> </w:t>
            </w:r>
            <w:r w:rsidRPr="00CA6E27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77)</w:t>
            </w:r>
          </w:p>
        </w:tc>
      </w:tr>
      <w:tr w:rsidR="000F4E7B" w:rsidRPr="00DC1D04" w:rsidTr="00B37B39">
        <w:tc>
          <w:tcPr>
            <w:tcW w:w="3024" w:type="dxa"/>
          </w:tcPr>
          <w:p w:rsidR="000F4E7B" w:rsidRPr="00DC1D04" w:rsidRDefault="000F4E7B" w:rsidP="00B37B39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Days on treatment</w:t>
            </w:r>
          </w:p>
        </w:tc>
        <w:tc>
          <w:tcPr>
            <w:tcW w:w="3024" w:type="dxa"/>
            <w:vAlign w:val="center"/>
          </w:tcPr>
          <w:p w:rsidR="000F4E7B" w:rsidRPr="00DC1D04" w:rsidRDefault="000F4E7B" w:rsidP="00B37B39">
            <w:pPr>
              <w:jc w:val="center"/>
              <w:rPr>
                <w:rFonts w:eastAsia="Times New Roman" w:cstheme="minorHAnsi"/>
              </w:rPr>
            </w:pPr>
            <w:r>
              <w:t>172.0 (1.0</w:t>
            </w:r>
            <w:r>
              <w:rPr>
                <w:rFonts w:ascii="Arial" w:hAnsi="Arial" w:cs="Arial"/>
              </w:rPr>
              <w:t>–</w:t>
            </w:r>
            <w:r>
              <w:t>350.0)</w:t>
            </w:r>
          </w:p>
        </w:tc>
        <w:tc>
          <w:tcPr>
            <w:tcW w:w="3024" w:type="dxa"/>
            <w:vAlign w:val="center"/>
          </w:tcPr>
          <w:p w:rsidR="000F4E7B" w:rsidRPr="00E25A09" w:rsidRDefault="000F4E7B" w:rsidP="00B37B39">
            <w:pPr>
              <w:jc w:val="center"/>
              <w:rPr>
                <w:rFonts w:eastAsia="Times New Roman" w:cstheme="minorHAnsi"/>
              </w:rPr>
            </w:pPr>
            <w:r w:rsidRPr="00E25A09">
              <w:rPr>
                <w:rFonts w:cstheme="minorHAnsi"/>
              </w:rPr>
              <w:t>16</w:t>
            </w:r>
            <w:r>
              <w:rPr>
                <w:rFonts w:cstheme="minorHAnsi"/>
              </w:rPr>
              <w:t>8</w:t>
            </w:r>
            <w:r w:rsidRPr="00E25A09">
              <w:rPr>
                <w:rFonts w:cstheme="minorHAnsi"/>
              </w:rPr>
              <w:t>.0 (</w:t>
            </w:r>
            <w:r>
              <w:rPr>
                <w:rFonts w:cstheme="minorHAnsi"/>
              </w:rPr>
              <w:t>2</w:t>
            </w:r>
            <w:r w:rsidRPr="00E25A09">
              <w:rPr>
                <w:rFonts w:cstheme="minorHAnsi"/>
              </w:rPr>
              <w:t>.0–3</w:t>
            </w:r>
            <w:r>
              <w:rPr>
                <w:rFonts w:cstheme="minorHAnsi"/>
              </w:rPr>
              <w:t>62</w:t>
            </w:r>
            <w:r w:rsidRPr="00E25A09">
              <w:rPr>
                <w:rFonts w:cstheme="minorHAnsi"/>
              </w:rPr>
              <w:t>.0)</w:t>
            </w:r>
          </w:p>
        </w:tc>
      </w:tr>
      <w:tr w:rsidR="000F4E7B" w:rsidRPr="00DC1D04" w:rsidTr="00B37B39">
        <w:tc>
          <w:tcPr>
            <w:tcW w:w="3024" w:type="dxa"/>
          </w:tcPr>
          <w:p w:rsidR="000F4E7B" w:rsidRDefault="000F4E7B" w:rsidP="00B37B39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Days on pembrolizumab</w:t>
            </w:r>
          </w:p>
        </w:tc>
        <w:tc>
          <w:tcPr>
            <w:tcW w:w="3024" w:type="dxa"/>
            <w:vAlign w:val="center"/>
          </w:tcPr>
          <w:p w:rsidR="000F4E7B" w:rsidRDefault="000F4E7B" w:rsidP="00B37B39">
            <w:pPr>
              <w:jc w:val="center"/>
            </w:pPr>
            <w:r>
              <w:t>167.0 (1.0</w:t>
            </w:r>
            <w:r>
              <w:rPr>
                <w:rFonts w:ascii="Arial" w:hAnsi="Arial" w:cs="Arial"/>
              </w:rPr>
              <w:t>–</w:t>
            </w:r>
            <w:r>
              <w:t>330.0)</w:t>
            </w:r>
          </w:p>
        </w:tc>
        <w:tc>
          <w:tcPr>
            <w:tcW w:w="3024" w:type="dxa"/>
            <w:vAlign w:val="center"/>
          </w:tcPr>
          <w:p w:rsidR="000F4E7B" w:rsidRDefault="000F4E7B" w:rsidP="00B37B39">
            <w:pPr>
              <w:jc w:val="center"/>
              <w:rPr>
                <w:rFonts w:cstheme="minorHAnsi"/>
              </w:rPr>
            </w:pPr>
            <w:r>
              <w:t>150.0 (1.0</w:t>
            </w:r>
            <w:r>
              <w:rPr>
                <w:rFonts w:ascii="Arial" w:hAnsi="Arial" w:cs="Arial"/>
              </w:rPr>
              <w:t>–</w:t>
            </w:r>
            <w:r>
              <w:t>342.0)</w:t>
            </w:r>
          </w:p>
        </w:tc>
      </w:tr>
      <w:tr w:rsidR="000F4E7B" w:rsidRPr="00DC1D04" w:rsidTr="00B37B39">
        <w:tc>
          <w:tcPr>
            <w:tcW w:w="3024" w:type="dxa"/>
          </w:tcPr>
          <w:p w:rsidR="000F4E7B" w:rsidRPr="00DC1D04" w:rsidRDefault="000F4E7B" w:rsidP="00B37B39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Days on epacadostat/placebo</w:t>
            </w:r>
          </w:p>
        </w:tc>
        <w:tc>
          <w:tcPr>
            <w:tcW w:w="3024" w:type="dxa"/>
            <w:vAlign w:val="center"/>
          </w:tcPr>
          <w:p w:rsidR="000F4E7B" w:rsidRPr="00DC1D04" w:rsidRDefault="000F4E7B" w:rsidP="00B37B39">
            <w:pPr>
              <w:jc w:val="center"/>
              <w:rPr>
                <w:rFonts w:eastAsia="Times New Roman" w:cstheme="minorHAnsi"/>
              </w:rPr>
            </w:pPr>
            <w:r>
              <w:t>171.0 (1.0</w:t>
            </w:r>
            <w:r>
              <w:rPr>
                <w:rFonts w:ascii="Arial" w:hAnsi="Arial" w:cs="Arial"/>
              </w:rPr>
              <w:t>–</w:t>
            </w:r>
            <w:r>
              <w:t>350.0)</w:t>
            </w:r>
          </w:p>
        </w:tc>
        <w:tc>
          <w:tcPr>
            <w:tcW w:w="3024" w:type="dxa"/>
            <w:vAlign w:val="center"/>
          </w:tcPr>
          <w:p w:rsidR="000F4E7B" w:rsidRPr="00DC1D04" w:rsidRDefault="000F4E7B" w:rsidP="00B37B39">
            <w:pPr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>168.0 (2</w:t>
            </w:r>
            <w:r w:rsidRPr="000A60D7">
              <w:rPr>
                <w:rFonts w:cstheme="minorHAnsi"/>
              </w:rPr>
              <w:t>.0–3</w:t>
            </w:r>
            <w:r>
              <w:rPr>
                <w:rFonts w:cstheme="minorHAnsi"/>
              </w:rPr>
              <w:t>62</w:t>
            </w:r>
            <w:r w:rsidRPr="000A60D7">
              <w:rPr>
                <w:rFonts w:cstheme="minorHAnsi"/>
              </w:rPr>
              <w:t>.0)</w:t>
            </w:r>
          </w:p>
        </w:tc>
      </w:tr>
      <w:tr w:rsidR="000F4E7B" w:rsidRPr="00DC1D04" w:rsidTr="00B37B39">
        <w:tc>
          <w:tcPr>
            <w:tcW w:w="3024" w:type="dxa"/>
          </w:tcPr>
          <w:p w:rsidR="000F4E7B" w:rsidRPr="00DC1D04" w:rsidRDefault="000F4E7B" w:rsidP="00B37B39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Cycles of treatment</w:t>
            </w:r>
          </w:p>
        </w:tc>
        <w:tc>
          <w:tcPr>
            <w:tcW w:w="3024" w:type="dxa"/>
            <w:vAlign w:val="center"/>
          </w:tcPr>
          <w:p w:rsidR="000F4E7B" w:rsidRPr="00DC1D04" w:rsidRDefault="000F4E7B" w:rsidP="00B37B39">
            <w:pPr>
              <w:jc w:val="center"/>
              <w:rPr>
                <w:rFonts w:eastAsia="TimesNewRoman" w:cstheme="minorHAnsi"/>
              </w:rPr>
            </w:pPr>
            <w:r>
              <w:t>8.0 (1.0</w:t>
            </w:r>
            <w:r>
              <w:rPr>
                <w:rFonts w:ascii="Arial" w:hAnsi="Arial" w:cs="Arial"/>
              </w:rPr>
              <w:t>–</w:t>
            </w:r>
            <w:r>
              <w:t>16.0)</w:t>
            </w:r>
          </w:p>
        </w:tc>
        <w:tc>
          <w:tcPr>
            <w:tcW w:w="3024" w:type="dxa"/>
            <w:vAlign w:val="center"/>
          </w:tcPr>
          <w:p w:rsidR="000F4E7B" w:rsidRPr="00DC1D04" w:rsidRDefault="000F4E7B" w:rsidP="00B37B39">
            <w:pPr>
              <w:jc w:val="center"/>
              <w:rPr>
                <w:rFonts w:eastAsia="TimesNewRoman" w:cstheme="minorHAnsi"/>
              </w:rPr>
            </w:pPr>
            <w:r>
              <w:t>8.0 (1.0</w:t>
            </w:r>
            <w:r>
              <w:rPr>
                <w:rFonts w:ascii="Arial" w:hAnsi="Arial" w:cs="Arial"/>
              </w:rPr>
              <w:t>–</w:t>
            </w:r>
            <w:r>
              <w:t>17.0)</w:t>
            </w:r>
          </w:p>
        </w:tc>
      </w:tr>
      <w:tr w:rsidR="000F4E7B" w:rsidRPr="00DC1D04" w:rsidTr="00B37B39">
        <w:tc>
          <w:tcPr>
            <w:tcW w:w="3024" w:type="dxa"/>
            <w:tcBorders>
              <w:bottom w:val="single" w:sz="4" w:space="0" w:color="auto"/>
            </w:tcBorders>
          </w:tcPr>
          <w:p w:rsidR="000F4E7B" w:rsidRPr="00DC1D04" w:rsidRDefault="000F4E7B" w:rsidP="00B37B39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Duration of follow-up, months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0F4E7B" w:rsidRPr="00DC1D04" w:rsidRDefault="000F4E7B" w:rsidP="00B37B39">
            <w:pPr>
              <w:jc w:val="center"/>
              <w:rPr>
                <w:rFonts w:eastAsia="TimesNewRoman" w:cstheme="minorHAnsi"/>
              </w:rPr>
            </w:pPr>
            <w:r>
              <w:t>6.8 (0.1</w:t>
            </w:r>
            <w:r>
              <w:rPr>
                <w:rFonts w:ascii="Arial" w:hAnsi="Arial" w:cs="Arial"/>
              </w:rPr>
              <w:t>–</w:t>
            </w:r>
            <w:r>
              <w:t>11.4)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vAlign w:val="center"/>
          </w:tcPr>
          <w:p w:rsidR="000F4E7B" w:rsidRPr="00DC1D04" w:rsidRDefault="000F4E7B" w:rsidP="00B37B39">
            <w:pPr>
              <w:jc w:val="center"/>
              <w:rPr>
                <w:rFonts w:eastAsia="TimesNewRoman" w:cstheme="minorHAnsi"/>
              </w:rPr>
            </w:pPr>
            <w:r>
              <w:rPr>
                <w:rFonts w:cstheme="minorHAnsi"/>
              </w:rPr>
              <w:t>7.0</w:t>
            </w:r>
            <w:r w:rsidRPr="000A60D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0.2–11</w:t>
            </w:r>
            <w:r w:rsidRPr="000A60D7">
              <w:rPr>
                <w:rFonts w:cstheme="minorHAnsi"/>
              </w:rPr>
              <w:t>.</w:t>
            </w:r>
            <w:r>
              <w:rPr>
                <w:rFonts w:cstheme="minorHAnsi"/>
              </w:rPr>
              <w:t>9</w:t>
            </w:r>
            <w:r w:rsidRPr="000A60D7">
              <w:rPr>
                <w:rFonts w:cstheme="minorHAnsi"/>
              </w:rPr>
              <w:t>)</w:t>
            </w:r>
          </w:p>
        </w:tc>
      </w:tr>
      <w:tr w:rsidR="000F4E7B" w:rsidRPr="00DC1D04" w:rsidTr="00B37B39">
        <w:tc>
          <w:tcPr>
            <w:tcW w:w="907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0F4E7B" w:rsidRDefault="000F4E7B" w:rsidP="00B37B39">
            <w:pPr>
              <w:rPr>
                <w:rFonts w:cstheme="minorHAnsi"/>
              </w:rPr>
            </w:pPr>
            <w:r>
              <w:rPr>
                <w:rFonts w:cstheme="minorHAnsi"/>
              </w:rPr>
              <w:t>All d</w:t>
            </w:r>
            <w:r w:rsidRPr="00DC1D04">
              <w:rPr>
                <w:rFonts w:cstheme="minorHAnsi"/>
              </w:rPr>
              <w:t xml:space="preserve">ata are </w:t>
            </w:r>
            <w:r>
              <w:rPr>
                <w:rFonts w:cstheme="minorHAnsi"/>
              </w:rPr>
              <w:t>median (range).</w:t>
            </w:r>
          </w:p>
        </w:tc>
      </w:tr>
    </w:tbl>
    <w:p w:rsidR="000F4E7B" w:rsidRPr="00E377E4" w:rsidRDefault="000F4E7B" w:rsidP="000F4E7B"/>
    <w:p w:rsidR="00742028" w:rsidRDefault="00742028">
      <w:bookmarkStart w:id="0" w:name="_GoBack"/>
      <w:bookmarkEnd w:id="0"/>
    </w:p>
    <w:sectPr w:rsidR="0074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E7B"/>
    <w:rsid w:val="000F4E7B"/>
    <w:rsid w:val="0014563F"/>
    <w:rsid w:val="00742028"/>
    <w:rsid w:val="00A0115E"/>
    <w:rsid w:val="00C7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E48036-FDC5-4088-8F35-87C61E04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E7B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4E7B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Ashfield Healthcare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Ashfield</dc:creator>
  <cp:keywords/>
  <dc:description/>
  <cp:lastModifiedBy>Ashfield</cp:lastModifiedBy>
  <cp:revision>1</cp:revision>
  <dcterms:created xsi:type="dcterms:W3CDTF">2021-05-24T18:20:00Z</dcterms:created>
  <dcterms:modified xsi:type="dcterms:W3CDTF">2021-05-24T18:20:00Z</dcterms:modified>
</cp:coreProperties>
</file>