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CD4" w:rsidRPr="00AC5808" w:rsidRDefault="00374CD4" w:rsidP="00374CD4">
      <w:pPr>
        <w:rPr>
          <w:rFonts w:eastAsia="Times New Roman" w:cstheme="minorHAnsi"/>
          <w:b/>
        </w:rPr>
      </w:pPr>
      <w:bookmarkStart w:id="0" w:name="SuppTable1"/>
      <w:bookmarkStart w:id="1" w:name="BOR_Week9"/>
      <w:bookmarkStart w:id="2" w:name="_GoBack"/>
      <w:bookmarkEnd w:id="2"/>
      <w:r w:rsidRPr="00AC5808">
        <w:rPr>
          <w:rFonts w:eastAsia="Times New Roman" w:cstheme="minorHAnsi"/>
          <w:b/>
        </w:rPr>
        <w:t>Supplementa</w:t>
      </w:r>
      <w:r>
        <w:rPr>
          <w:rFonts w:eastAsia="Times New Roman" w:cstheme="minorHAnsi"/>
          <w:b/>
        </w:rPr>
        <w:t xml:space="preserve">ry </w:t>
      </w:r>
      <w:r w:rsidRPr="00AC5808">
        <w:rPr>
          <w:rFonts w:eastAsia="Times New Roman" w:cstheme="minorHAnsi"/>
          <w:b/>
        </w:rPr>
        <w:t xml:space="preserve">Table 1. </w:t>
      </w:r>
      <w:bookmarkEnd w:id="0"/>
      <w:r w:rsidRPr="003D19E0">
        <w:rPr>
          <w:rFonts w:eastAsia="Times New Roman" w:cstheme="minorHAnsi"/>
        </w:rPr>
        <w:t xml:space="preserve">Investigator-assessed best overall response per RECIST v1.1 based on data acquired only at the </w:t>
      </w:r>
      <w:r>
        <w:rPr>
          <w:rFonts w:eastAsia="Times New Roman" w:cstheme="minorHAnsi"/>
        </w:rPr>
        <w:t>w</w:t>
      </w:r>
      <w:r w:rsidRPr="003D19E0">
        <w:rPr>
          <w:rFonts w:eastAsia="Times New Roman" w:cstheme="minorHAnsi"/>
        </w:rPr>
        <w:t xml:space="preserve">eek 9 visit (intent-to-treat </w:t>
      </w:r>
      <w:r>
        <w:rPr>
          <w:rFonts w:eastAsia="Times New Roman" w:cstheme="minorHAnsi"/>
        </w:rPr>
        <w:t>population</w:t>
      </w:r>
      <w:r w:rsidRPr="003D19E0">
        <w:rPr>
          <w:rFonts w:eastAsia="Times New Roman" w:cstheme="minorHAnsi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3192"/>
        <w:gridCol w:w="3193"/>
      </w:tblGrid>
      <w:tr w:rsidR="00374CD4" w:rsidRPr="00EF0AF7" w:rsidTr="000D64E8">
        <w:tc>
          <w:tcPr>
            <w:tcW w:w="2965" w:type="dxa"/>
            <w:vAlign w:val="bottom"/>
          </w:tcPr>
          <w:bookmarkEnd w:id="1"/>
          <w:p w:rsidR="00374CD4" w:rsidRPr="00AC5808" w:rsidRDefault="00374CD4" w:rsidP="000D64E8">
            <w:pPr>
              <w:spacing w:line="360" w:lineRule="auto"/>
              <w:rPr>
                <w:rFonts w:eastAsia="Times New Roman" w:cstheme="minorHAnsi"/>
              </w:rPr>
            </w:pPr>
            <w:proofErr w:type="gramStart"/>
            <w:r w:rsidRPr="003D19E0">
              <w:rPr>
                <w:rFonts w:eastAsia="Times New Roman" w:cstheme="minorHAnsi"/>
                <w:b/>
                <w:i/>
              </w:rPr>
              <w:t>n</w:t>
            </w:r>
            <w:proofErr w:type="gramEnd"/>
            <w:r w:rsidRPr="00AC5808">
              <w:rPr>
                <w:rFonts w:eastAsia="Times New Roman" w:cstheme="minorHAnsi"/>
                <w:b/>
              </w:rPr>
              <w:t xml:space="preserve"> (%)</w:t>
            </w:r>
          </w:p>
        </w:tc>
        <w:tc>
          <w:tcPr>
            <w:tcW w:w="3192" w:type="dxa"/>
            <w:vAlign w:val="center"/>
          </w:tcPr>
          <w:p w:rsidR="00374CD4" w:rsidRPr="00AC5808" w:rsidRDefault="00374CD4" w:rsidP="000D64E8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AC5808">
              <w:rPr>
                <w:rFonts w:cstheme="minorHAnsi"/>
                <w:b/>
              </w:rPr>
              <w:t>Epacadostat + pembrolizumab</w:t>
            </w:r>
          </w:p>
          <w:p w:rsidR="00374CD4" w:rsidRPr="00AC5808" w:rsidRDefault="00374CD4" w:rsidP="000D64E8">
            <w:pPr>
              <w:spacing w:line="360" w:lineRule="auto"/>
              <w:jc w:val="center"/>
              <w:rPr>
                <w:rFonts w:eastAsia="Times New Roman" w:cstheme="minorHAnsi"/>
              </w:rPr>
            </w:pPr>
            <w:r w:rsidRPr="00AC5808">
              <w:rPr>
                <w:rFonts w:cstheme="minorHAnsi"/>
                <w:b/>
              </w:rPr>
              <w:t>(</w:t>
            </w:r>
            <w:r w:rsidRPr="003D19E0">
              <w:rPr>
                <w:rFonts w:cstheme="minorHAnsi"/>
                <w:b/>
                <w:i/>
              </w:rPr>
              <w:t>n</w:t>
            </w:r>
            <w:r>
              <w:rPr>
                <w:rFonts w:cstheme="minorHAnsi"/>
                <w:b/>
                <w:i/>
              </w:rPr>
              <w:t xml:space="preserve"> </w:t>
            </w:r>
            <w:r w:rsidRPr="00AC5808">
              <w:rPr>
                <w:rFonts w:cstheme="minorHAnsi"/>
                <w:b/>
              </w:rPr>
              <w:t>=</w:t>
            </w:r>
            <w:r>
              <w:rPr>
                <w:rFonts w:cstheme="minorHAnsi"/>
                <w:b/>
              </w:rPr>
              <w:t xml:space="preserve"> </w:t>
            </w:r>
            <w:r w:rsidRPr="00AC5808">
              <w:rPr>
                <w:rFonts w:cstheme="minorHAnsi"/>
                <w:b/>
              </w:rPr>
              <w:t>42)</w:t>
            </w:r>
          </w:p>
        </w:tc>
        <w:tc>
          <w:tcPr>
            <w:tcW w:w="3193" w:type="dxa"/>
            <w:vAlign w:val="center"/>
          </w:tcPr>
          <w:p w:rsidR="00374CD4" w:rsidRPr="00AC5808" w:rsidRDefault="00374CD4" w:rsidP="000D64E8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AC5808">
              <w:rPr>
                <w:rFonts w:cstheme="minorHAnsi"/>
                <w:b/>
              </w:rPr>
              <w:t>Placebo + pembrolizumab</w:t>
            </w:r>
          </w:p>
          <w:p w:rsidR="00374CD4" w:rsidRPr="00AC5808" w:rsidRDefault="00374CD4" w:rsidP="000D64E8">
            <w:pPr>
              <w:spacing w:line="360" w:lineRule="auto"/>
              <w:jc w:val="center"/>
              <w:rPr>
                <w:rFonts w:eastAsia="Times New Roman" w:cstheme="minorHAnsi"/>
              </w:rPr>
            </w:pPr>
            <w:r w:rsidRPr="00AC5808">
              <w:rPr>
                <w:rFonts w:cstheme="minorHAnsi"/>
                <w:b/>
              </w:rPr>
              <w:t>(</w:t>
            </w:r>
            <w:r w:rsidRPr="003D19E0">
              <w:rPr>
                <w:rFonts w:cstheme="minorHAnsi"/>
                <w:b/>
                <w:i/>
              </w:rPr>
              <w:t>n</w:t>
            </w:r>
            <w:r>
              <w:rPr>
                <w:rFonts w:cstheme="minorHAnsi"/>
                <w:b/>
              </w:rPr>
              <w:t xml:space="preserve"> </w:t>
            </w:r>
            <w:r w:rsidRPr="00AC5808">
              <w:rPr>
                <w:rFonts w:cstheme="minorHAnsi"/>
                <w:b/>
              </w:rPr>
              <w:t>=</w:t>
            </w:r>
            <w:r>
              <w:rPr>
                <w:rFonts w:cstheme="minorHAnsi"/>
                <w:b/>
              </w:rPr>
              <w:t xml:space="preserve"> </w:t>
            </w:r>
            <w:r w:rsidRPr="00AC5808">
              <w:rPr>
                <w:rFonts w:cstheme="minorHAnsi"/>
                <w:b/>
              </w:rPr>
              <w:t>42)</w:t>
            </w:r>
          </w:p>
        </w:tc>
      </w:tr>
      <w:tr w:rsidR="00374CD4" w:rsidRPr="00EF0AF7" w:rsidTr="000D64E8">
        <w:tc>
          <w:tcPr>
            <w:tcW w:w="2965" w:type="dxa"/>
            <w:vAlign w:val="center"/>
          </w:tcPr>
          <w:p w:rsidR="00374CD4" w:rsidRPr="00AC5808" w:rsidRDefault="00374CD4" w:rsidP="000D64E8">
            <w:pPr>
              <w:spacing w:line="360" w:lineRule="auto"/>
              <w:rPr>
                <w:rFonts w:eastAsia="Times New Roman" w:cstheme="minorHAnsi"/>
              </w:rPr>
            </w:pPr>
            <w:proofErr w:type="spellStart"/>
            <w:r w:rsidRPr="00AC5808">
              <w:rPr>
                <w:rFonts w:eastAsia="Times New Roman" w:cstheme="minorHAnsi"/>
              </w:rPr>
              <w:t>ORR</w:t>
            </w:r>
            <w:r w:rsidRPr="00AC5808">
              <w:rPr>
                <w:rFonts w:eastAsia="Times New Roman" w:cstheme="minorHAnsi"/>
                <w:vertAlign w:val="superscript"/>
              </w:rPr>
              <w:t>a</w:t>
            </w:r>
            <w:proofErr w:type="spellEnd"/>
            <w:r w:rsidRPr="00AC5808">
              <w:rPr>
                <w:rFonts w:eastAsia="Times New Roman" w:cstheme="minorHAnsi"/>
              </w:rPr>
              <w:t xml:space="preserve"> [95% </w:t>
            </w:r>
            <w:proofErr w:type="spellStart"/>
            <w:r w:rsidRPr="00AC5808">
              <w:rPr>
                <w:rFonts w:eastAsia="Times New Roman" w:cstheme="minorHAnsi"/>
              </w:rPr>
              <w:t>CI</w:t>
            </w:r>
            <w:r w:rsidRPr="00AC5808">
              <w:rPr>
                <w:rFonts w:eastAsia="Times New Roman" w:cstheme="minorHAnsi"/>
                <w:vertAlign w:val="superscript"/>
              </w:rPr>
              <w:t>b</w:t>
            </w:r>
            <w:proofErr w:type="spellEnd"/>
            <w:r w:rsidRPr="00AC5808">
              <w:rPr>
                <w:rFonts w:eastAsia="Times New Roman" w:cstheme="minorHAnsi"/>
              </w:rPr>
              <w:t>]</w:t>
            </w:r>
          </w:p>
        </w:tc>
        <w:tc>
          <w:tcPr>
            <w:tcW w:w="3192" w:type="dxa"/>
          </w:tcPr>
          <w:p w:rsidR="00374CD4" w:rsidRPr="00AC5808" w:rsidRDefault="00374CD4" w:rsidP="000D64E8">
            <w:pPr>
              <w:spacing w:line="360" w:lineRule="auto"/>
              <w:jc w:val="center"/>
              <w:rPr>
                <w:rFonts w:eastAsia="Times New Roman" w:cstheme="minorHAnsi"/>
              </w:rPr>
            </w:pPr>
            <w:r w:rsidRPr="00AC5808">
              <w:rPr>
                <w:rFonts w:eastAsia="Times New Roman" w:cstheme="minorHAnsi"/>
              </w:rPr>
              <w:t xml:space="preserve">9 (21.4) </w:t>
            </w:r>
          </w:p>
          <w:p w:rsidR="00374CD4" w:rsidRPr="00EF0AF7" w:rsidRDefault="00374CD4" w:rsidP="000D64E8">
            <w:pPr>
              <w:spacing w:line="360" w:lineRule="auto"/>
              <w:jc w:val="center"/>
              <w:rPr>
                <w:rFonts w:eastAsia="Times New Roman" w:cstheme="minorHAnsi"/>
                <w:highlight w:val="cyan"/>
              </w:rPr>
            </w:pPr>
            <w:r w:rsidRPr="00AC5808">
              <w:rPr>
                <w:rFonts w:eastAsia="Times New Roman" w:cstheme="minorHAnsi"/>
              </w:rPr>
              <w:t>[</w:t>
            </w:r>
            <w:r>
              <w:rPr>
                <w:rFonts w:eastAsia="Times New Roman" w:cstheme="minorHAnsi"/>
              </w:rPr>
              <w:t>12.88–44.3</w:t>
            </w:r>
            <w:r w:rsidRPr="00AC5808">
              <w:rPr>
                <w:rFonts w:eastAsia="Times New Roman" w:cstheme="minorHAnsi"/>
              </w:rPr>
              <w:t>6]</w:t>
            </w:r>
          </w:p>
        </w:tc>
        <w:tc>
          <w:tcPr>
            <w:tcW w:w="3193" w:type="dxa"/>
          </w:tcPr>
          <w:p w:rsidR="00374CD4" w:rsidRPr="00AC5808" w:rsidRDefault="00374CD4" w:rsidP="000D64E8">
            <w:pPr>
              <w:spacing w:line="360" w:lineRule="auto"/>
              <w:jc w:val="center"/>
              <w:rPr>
                <w:rFonts w:eastAsia="Times New Roman" w:cstheme="minorHAnsi"/>
              </w:rPr>
            </w:pPr>
            <w:r w:rsidRPr="00AC5808">
              <w:rPr>
                <w:rFonts w:eastAsia="Times New Roman" w:cstheme="minorHAnsi"/>
              </w:rPr>
              <w:t>4 (9.5)</w:t>
            </w:r>
          </w:p>
          <w:p w:rsidR="00374CD4" w:rsidRPr="00EF0AF7" w:rsidRDefault="00374CD4" w:rsidP="000D64E8">
            <w:pPr>
              <w:spacing w:line="360" w:lineRule="auto"/>
              <w:jc w:val="center"/>
              <w:rPr>
                <w:rFonts w:eastAsia="Times New Roman" w:cstheme="minorHAnsi"/>
                <w:highlight w:val="cyan"/>
              </w:rPr>
            </w:pPr>
            <w:r w:rsidRPr="00AC5808">
              <w:rPr>
                <w:rFonts w:eastAsia="Times New Roman" w:cstheme="minorHAnsi"/>
              </w:rPr>
              <w:t>[</w:t>
            </w:r>
            <w:r>
              <w:rPr>
                <w:rFonts w:eastAsia="Times New Roman" w:cstheme="minorHAnsi"/>
              </w:rPr>
              <w:t>3.20–26.74</w:t>
            </w:r>
            <w:r w:rsidRPr="00AC5808">
              <w:rPr>
                <w:rFonts w:eastAsia="Times New Roman" w:cstheme="minorHAnsi"/>
              </w:rPr>
              <w:t>]</w:t>
            </w:r>
          </w:p>
        </w:tc>
      </w:tr>
      <w:tr w:rsidR="00374CD4" w:rsidRPr="00EF0AF7" w:rsidTr="000D64E8">
        <w:tc>
          <w:tcPr>
            <w:tcW w:w="2965" w:type="dxa"/>
          </w:tcPr>
          <w:p w:rsidR="00374CD4" w:rsidRPr="00AC5808" w:rsidRDefault="00374CD4" w:rsidP="000D64E8">
            <w:pPr>
              <w:spacing w:line="360" w:lineRule="auto"/>
              <w:rPr>
                <w:rFonts w:eastAsia="Times New Roman" w:cstheme="minorHAnsi"/>
              </w:rPr>
            </w:pPr>
            <w:r w:rsidRPr="00AC5808">
              <w:rPr>
                <w:rFonts w:eastAsia="Times New Roman" w:cstheme="minorHAnsi"/>
              </w:rPr>
              <w:t>Complete response</w:t>
            </w:r>
          </w:p>
        </w:tc>
        <w:tc>
          <w:tcPr>
            <w:tcW w:w="3192" w:type="dxa"/>
          </w:tcPr>
          <w:p w:rsidR="00374CD4" w:rsidRPr="00EF0AF7" w:rsidRDefault="00374CD4" w:rsidP="000D64E8">
            <w:pPr>
              <w:spacing w:line="360" w:lineRule="auto"/>
              <w:jc w:val="center"/>
              <w:rPr>
                <w:rFonts w:eastAsia="Times New Roman" w:cstheme="minorHAnsi"/>
                <w:highlight w:val="cyan"/>
              </w:rPr>
            </w:pPr>
            <w:r w:rsidRPr="00AC5808">
              <w:rPr>
                <w:rFonts w:eastAsia="Times New Roman" w:cstheme="minorHAnsi"/>
              </w:rPr>
              <w:t>0</w:t>
            </w:r>
          </w:p>
        </w:tc>
        <w:tc>
          <w:tcPr>
            <w:tcW w:w="3193" w:type="dxa"/>
          </w:tcPr>
          <w:p w:rsidR="00374CD4" w:rsidRPr="00EF0AF7" w:rsidRDefault="00374CD4" w:rsidP="000D64E8">
            <w:pPr>
              <w:spacing w:line="360" w:lineRule="auto"/>
              <w:jc w:val="center"/>
              <w:rPr>
                <w:rFonts w:eastAsia="Times New Roman" w:cstheme="minorHAnsi"/>
                <w:highlight w:val="cyan"/>
              </w:rPr>
            </w:pPr>
            <w:r w:rsidRPr="00AC5808">
              <w:rPr>
                <w:rFonts w:eastAsia="Times New Roman" w:cstheme="minorHAnsi"/>
              </w:rPr>
              <w:t>1 (2.4)</w:t>
            </w:r>
          </w:p>
        </w:tc>
      </w:tr>
      <w:tr w:rsidR="00374CD4" w:rsidRPr="00EF0AF7" w:rsidTr="000D64E8">
        <w:tc>
          <w:tcPr>
            <w:tcW w:w="2965" w:type="dxa"/>
          </w:tcPr>
          <w:p w:rsidR="00374CD4" w:rsidRPr="00AC5808" w:rsidRDefault="00374CD4" w:rsidP="000D64E8">
            <w:pPr>
              <w:spacing w:line="360" w:lineRule="auto"/>
              <w:rPr>
                <w:rFonts w:eastAsia="Times New Roman" w:cstheme="minorHAnsi"/>
              </w:rPr>
            </w:pPr>
            <w:r w:rsidRPr="00AC5808">
              <w:rPr>
                <w:rFonts w:eastAsia="Times New Roman" w:cstheme="minorHAnsi"/>
              </w:rPr>
              <w:t>Partial response</w:t>
            </w:r>
          </w:p>
        </w:tc>
        <w:tc>
          <w:tcPr>
            <w:tcW w:w="3192" w:type="dxa"/>
          </w:tcPr>
          <w:p w:rsidR="00374CD4" w:rsidRPr="00EF0AF7" w:rsidRDefault="00374CD4" w:rsidP="000D64E8">
            <w:pPr>
              <w:spacing w:line="360" w:lineRule="auto"/>
              <w:jc w:val="center"/>
              <w:rPr>
                <w:rFonts w:eastAsia="Times New Roman" w:cstheme="minorHAnsi"/>
                <w:highlight w:val="cyan"/>
              </w:rPr>
            </w:pPr>
            <w:r w:rsidRPr="00AC5808">
              <w:rPr>
                <w:rFonts w:eastAsia="Times New Roman" w:cstheme="minorHAnsi"/>
              </w:rPr>
              <w:t>9 (21.4)</w:t>
            </w:r>
          </w:p>
        </w:tc>
        <w:tc>
          <w:tcPr>
            <w:tcW w:w="3193" w:type="dxa"/>
          </w:tcPr>
          <w:p w:rsidR="00374CD4" w:rsidRPr="00EF0AF7" w:rsidRDefault="00374CD4" w:rsidP="000D64E8">
            <w:pPr>
              <w:spacing w:line="360" w:lineRule="auto"/>
              <w:jc w:val="center"/>
              <w:rPr>
                <w:rFonts w:eastAsia="Times New Roman" w:cstheme="minorHAnsi"/>
                <w:highlight w:val="cyan"/>
              </w:rPr>
            </w:pPr>
            <w:r w:rsidRPr="00AC5808">
              <w:rPr>
                <w:rFonts w:eastAsia="Times New Roman" w:cstheme="minorHAnsi"/>
              </w:rPr>
              <w:t>3 (7.1)</w:t>
            </w:r>
          </w:p>
        </w:tc>
      </w:tr>
      <w:tr w:rsidR="00374CD4" w:rsidRPr="00EF0AF7" w:rsidTr="000D64E8">
        <w:tc>
          <w:tcPr>
            <w:tcW w:w="2965" w:type="dxa"/>
          </w:tcPr>
          <w:p w:rsidR="00374CD4" w:rsidRPr="00AC5808" w:rsidRDefault="00374CD4" w:rsidP="000D64E8">
            <w:pPr>
              <w:spacing w:line="360" w:lineRule="auto"/>
              <w:rPr>
                <w:rFonts w:eastAsia="Times New Roman" w:cstheme="minorHAnsi"/>
              </w:rPr>
            </w:pPr>
            <w:r w:rsidRPr="00AC5808">
              <w:rPr>
                <w:rFonts w:eastAsia="Times New Roman" w:cstheme="minorHAnsi"/>
              </w:rPr>
              <w:t>Stable disease</w:t>
            </w:r>
          </w:p>
        </w:tc>
        <w:tc>
          <w:tcPr>
            <w:tcW w:w="3192" w:type="dxa"/>
          </w:tcPr>
          <w:p w:rsidR="00374CD4" w:rsidRPr="00EF0AF7" w:rsidRDefault="00374CD4" w:rsidP="000D64E8">
            <w:pPr>
              <w:spacing w:line="360" w:lineRule="auto"/>
              <w:jc w:val="center"/>
              <w:rPr>
                <w:rFonts w:eastAsia="Times New Roman" w:cstheme="minorHAnsi"/>
                <w:highlight w:val="cyan"/>
              </w:rPr>
            </w:pPr>
            <w:r>
              <w:rPr>
                <w:rFonts w:eastAsia="Times New Roman" w:cstheme="minorHAnsi"/>
              </w:rPr>
              <w:t>12 (28.6</w:t>
            </w:r>
            <w:r w:rsidRPr="00AC5808">
              <w:rPr>
                <w:rFonts w:eastAsia="Times New Roman" w:cstheme="minorHAnsi"/>
              </w:rPr>
              <w:t>)</w:t>
            </w:r>
          </w:p>
        </w:tc>
        <w:tc>
          <w:tcPr>
            <w:tcW w:w="3193" w:type="dxa"/>
          </w:tcPr>
          <w:p w:rsidR="00374CD4" w:rsidRPr="00EF0AF7" w:rsidRDefault="00374CD4" w:rsidP="000D64E8">
            <w:pPr>
              <w:spacing w:line="360" w:lineRule="auto"/>
              <w:jc w:val="center"/>
              <w:rPr>
                <w:rFonts w:eastAsia="Times New Roman" w:cstheme="minorHAnsi"/>
                <w:highlight w:val="cyan"/>
              </w:rPr>
            </w:pPr>
            <w:r>
              <w:rPr>
                <w:rFonts w:eastAsia="Times New Roman" w:cstheme="minorHAnsi"/>
              </w:rPr>
              <w:t>9</w:t>
            </w:r>
            <w:r w:rsidRPr="00AC5808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>(21.4</w:t>
            </w:r>
            <w:r w:rsidRPr="00AC5808">
              <w:rPr>
                <w:rFonts w:eastAsia="Times New Roman" w:cstheme="minorHAnsi"/>
              </w:rPr>
              <w:t>)</w:t>
            </w:r>
          </w:p>
        </w:tc>
      </w:tr>
      <w:tr w:rsidR="00374CD4" w:rsidRPr="00EF0AF7" w:rsidTr="000D64E8">
        <w:tc>
          <w:tcPr>
            <w:tcW w:w="2965" w:type="dxa"/>
          </w:tcPr>
          <w:p w:rsidR="00374CD4" w:rsidRPr="00AC5808" w:rsidRDefault="00374CD4" w:rsidP="000D64E8">
            <w:pPr>
              <w:spacing w:line="360" w:lineRule="auto"/>
              <w:rPr>
                <w:rFonts w:eastAsia="Times New Roman" w:cstheme="minorHAnsi"/>
              </w:rPr>
            </w:pPr>
            <w:r w:rsidRPr="00AC5808">
              <w:rPr>
                <w:rFonts w:eastAsia="Times New Roman" w:cstheme="minorHAnsi"/>
              </w:rPr>
              <w:t>Progressive disease</w:t>
            </w:r>
          </w:p>
        </w:tc>
        <w:tc>
          <w:tcPr>
            <w:tcW w:w="3192" w:type="dxa"/>
          </w:tcPr>
          <w:p w:rsidR="00374CD4" w:rsidRPr="00EF0AF7" w:rsidRDefault="00374CD4" w:rsidP="000D64E8">
            <w:pPr>
              <w:spacing w:line="360" w:lineRule="auto"/>
              <w:jc w:val="center"/>
              <w:rPr>
                <w:rFonts w:eastAsia="Times New Roman" w:cstheme="minorHAnsi"/>
                <w:highlight w:val="cyan"/>
              </w:rPr>
            </w:pPr>
            <w:r w:rsidRPr="00AC5808">
              <w:rPr>
                <w:rFonts w:eastAsia="Times New Roman" w:cstheme="minorHAnsi"/>
              </w:rPr>
              <w:t>13 (31.0)</w:t>
            </w:r>
          </w:p>
        </w:tc>
        <w:tc>
          <w:tcPr>
            <w:tcW w:w="3193" w:type="dxa"/>
          </w:tcPr>
          <w:p w:rsidR="00374CD4" w:rsidRPr="00EF0AF7" w:rsidRDefault="00374CD4" w:rsidP="000D64E8">
            <w:pPr>
              <w:spacing w:line="360" w:lineRule="auto"/>
              <w:jc w:val="center"/>
              <w:rPr>
                <w:rFonts w:eastAsia="Times New Roman" w:cstheme="minorHAnsi"/>
                <w:highlight w:val="cyan"/>
              </w:rPr>
            </w:pPr>
            <w:r w:rsidRPr="00AC5808">
              <w:rPr>
                <w:rFonts w:eastAsia="Times New Roman" w:cstheme="minorHAnsi"/>
              </w:rPr>
              <w:t>22 (52.4)</w:t>
            </w:r>
          </w:p>
        </w:tc>
      </w:tr>
      <w:tr w:rsidR="00374CD4" w:rsidRPr="00EF0AF7" w:rsidTr="000D64E8">
        <w:tc>
          <w:tcPr>
            <w:tcW w:w="2965" w:type="dxa"/>
          </w:tcPr>
          <w:p w:rsidR="00374CD4" w:rsidRPr="00AC5808" w:rsidRDefault="00374CD4" w:rsidP="000D64E8">
            <w:pPr>
              <w:spacing w:line="360" w:lineRule="auto"/>
              <w:rPr>
                <w:rFonts w:eastAsia="Times New Roman" w:cstheme="minorHAnsi"/>
              </w:rPr>
            </w:pPr>
            <w:r w:rsidRPr="00AC5808">
              <w:rPr>
                <w:rFonts w:eastAsia="Times New Roman" w:cstheme="minorHAnsi"/>
              </w:rPr>
              <w:t xml:space="preserve">No </w:t>
            </w:r>
            <w:proofErr w:type="spellStart"/>
            <w:r w:rsidRPr="00AC5808">
              <w:rPr>
                <w:rFonts w:eastAsia="Times New Roman" w:cstheme="minorHAnsi"/>
              </w:rPr>
              <w:t>assessment</w:t>
            </w:r>
            <w:r w:rsidRPr="00AC5808">
              <w:rPr>
                <w:rFonts w:eastAsia="Times New Roman" w:cstheme="minorHAnsi"/>
                <w:vertAlign w:val="superscript"/>
              </w:rPr>
              <w:t>c</w:t>
            </w:r>
            <w:proofErr w:type="spellEnd"/>
          </w:p>
        </w:tc>
        <w:tc>
          <w:tcPr>
            <w:tcW w:w="3192" w:type="dxa"/>
          </w:tcPr>
          <w:p w:rsidR="00374CD4" w:rsidRPr="00EF0AF7" w:rsidRDefault="00374CD4" w:rsidP="000D64E8">
            <w:pPr>
              <w:spacing w:line="360" w:lineRule="auto"/>
              <w:jc w:val="center"/>
              <w:rPr>
                <w:rFonts w:eastAsia="Times New Roman" w:cstheme="minorHAnsi"/>
                <w:highlight w:val="cyan"/>
              </w:rPr>
            </w:pPr>
            <w:r>
              <w:rPr>
                <w:rFonts w:eastAsia="Times New Roman" w:cstheme="minorHAnsi"/>
              </w:rPr>
              <w:t>8 (19.0</w:t>
            </w:r>
            <w:r w:rsidRPr="00AC5808">
              <w:rPr>
                <w:rFonts w:eastAsia="Times New Roman" w:cstheme="minorHAnsi"/>
              </w:rPr>
              <w:t>)</w:t>
            </w:r>
          </w:p>
        </w:tc>
        <w:tc>
          <w:tcPr>
            <w:tcW w:w="3193" w:type="dxa"/>
          </w:tcPr>
          <w:p w:rsidR="00374CD4" w:rsidRPr="00EF0AF7" w:rsidRDefault="00374CD4" w:rsidP="000D64E8">
            <w:pPr>
              <w:spacing w:line="360" w:lineRule="auto"/>
              <w:jc w:val="center"/>
              <w:rPr>
                <w:rFonts w:eastAsia="Times New Roman" w:cstheme="minorHAnsi"/>
                <w:highlight w:val="cyan"/>
              </w:rPr>
            </w:pPr>
            <w:r>
              <w:rPr>
                <w:rFonts w:eastAsia="Times New Roman" w:cstheme="minorHAnsi"/>
              </w:rPr>
              <w:t>7 (16.7</w:t>
            </w:r>
            <w:r w:rsidRPr="00AC5808">
              <w:rPr>
                <w:rFonts w:eastAsia="Times New Roman" w:cstheme="minorHAnsi"/>
              </w:rPr>
              <w:t>)</w:t>
            </w:r>
          </w:p>
        </w:tc>
      </w:tr>
    </w:tbl>
    <w:p w:rsidR="00374CD4" w:rsidRPr="00AC5808" w:rsidRDefault="00374CD4" w:rsidP="00374CD4">
      <w:pPr>
        <w:spacing w:after="0" w:line="480" w:lineRule="auto"/>
        <w:rPr>
          <w:rFonts w:eastAsia="Times New Roman" w:cstheme="minorHAnsi"/>
        </w:rPr>
      </w:pPr>
      <w:proofErr w:type="spellStart"/>
      <w:proofErr w:type="gramStart"/>
      <w:r w:rsidRPr="00AC5808">
        <w:rPr>
          <w:rFonts w:eastAsia="Times New Roman" w:cstheme="minorHAnsi"/>
          <w:vertAlign w:val="superscript"/>
        </w:rPr>
        <w:t>a</w:t>
      </w:r>
      <w:proofErr w:type="spellEnd"/>
      <w:proofErr w:type="gramEnd"/>
      <w:r>
        <w:rPr>
          <w:rFonts w:eastAsia="Times New Roman" w:cstheme="minorHAnsi"/>
          <w:vertAlign w:val="superscript"/>
        </w:rPr>
        <w:t xml:space="preserve"> </w:t>
      </w:r>
      <w:r w:rsidRPr="00AC5808">
        <w:rPr>
          <w:rFonts w:cstheme="minorHAnsi"/>
        </w:rPr>
        <w:t>Includes patients with an unconfirmed complete or partial response</w:t>
      </w:r>
    </w:p>
    <w:p w:rsidR="00374CD4" w:rsidRPr="00AC5808" w:rsidRDefault="00374CD4" w:rsidP="00374CD4">
      <w:pPr>
        <w:spacing w:after="0" w:line="480" w:lineRule="auto"/>
        <w:rPr>
          <w:rFonts w:eastAsia="Times New Roman" w:cstheme="minorHAnsi"/>
        </w:rPr>
      </w:pPr>
      <w:proofErr w:type="gramStart"/>
      <w:r w:rsidRPr="00AC5808">
        <w:rPr>
          <w:rFonts w:eastAsia="Times New Roman" w:cstheme="minorHAnsi"/>
          <w:vertAlign w:val="superscript"/>
        </w:rPr>
        <w:t>b</w:t>
      </w:r>
      <w:proofErr w:type="gramEnd"/>
      <w:r>
        <w:rPr>
          <w:rFonts w:eastAsia="Times New Roman" w:cstheme="minorHAnsi"/>
          <w:vertAlign w:val="superscript"/>
        </w:rPr>
        <w:t xml:space="preserve"> </w:t>
      </w:r>
      <w:r w:rsidRPr="00AC5808">
        <w:rPr>
          <w:rFonts w:eastAsia="Times New Roman" w:cstheme="minorHAnsi"/>
        </w:rPr>
        <w:t xml:space="preserve">Per the </w:t>
      </w:r>
      <w:proofErr w:type="spellStart"/>
      <w:r w:rsidRPr="00AC5808">
        <w:rPr>
          <w:rFonts w:eastAsia="Times New Roman" w:cstheme="minorHAnsi"/>
        </w:rPr>
        <w:t>Clopper</w:t>
      </w:r>
      <w:proofErr w:type="spellEnd"/>
      <w:r w:rsidRPr="00AC5808">
        <w:rPr>
          <w:rFonts w:eastAsia="Times New Roman" w:cstheme="minorHAnsi"/>
        </w:rPr>
        <w:t>-Pearson exact method</w:t>
      </w:r>
    </w:p>
    <w:p w:rsidR="00374CD4" w:rsidRPr="00ED2DAB" w:rsidRDefault="00374CD4" w:rsidP="00374CD4">
      <w:pPr>
        <w:spacing w:after="0" w:line="480" w:lineRule="auto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vertAlign w:val="superscript"/>
        </w:rPr>
        <w:t>c</w:t>
      </w:r>
      <w:proofErr w:type="gramEnd"/>
      <w:r>
        <w:rPr>
          <w:rFonts w:eastAsia="Times New Roman" w:cstheme="minorHAnsi"/>
          <w:vertAlign w:val="superscript"/>
        </w:rPr>
        <w:t xml:space="preserve"> </w:t>
      </w:r>
      <w:r w:rsidRPr="00AC5808">
        <w:rPr>
          <w:rFonts w:eastAsia="Times New Roman" w:cstheme="minorHAnsi"/>
        </w:rPr>
        <w:t>Includes patients with a baseline</w:t>
      </w:r>
      <w:r>
        <w:rPr>
          <w:rFonts w:eastAsia="Times New Roman" w:cstheme="minorHAnsi"/>
        </w:rPr>
        <w:t>,</w:t>
      </w:r>
      <w:r w:rsidRPr="00AC5808">
        <w:rPr>
          <w:rFonts w:eastAsia="Times New Roman" w:cstheme="minorHAnsi"/>
        </w:rPr>
        <w:t xml:space="preserve"> but no post-baseline assessment, including those who discontinued or died before the first post-baseline scan</w:t>
      </w:r>
    </w:p>
    <w:p w:rsidR="00374CD4" w:rsidRPr="00ED2DAB" w:rsidRDefault="00374CD4" w:rsidP="00374CD4">
      <w:pPr>
        <w:spacing w:after="0" w:line="480" w:lineRule="auto"/>
        <w:rPr>
          <w:rFonts w:eastAsia="Times New Roman" w:cstheme="minorHAnsi"/>
        </w:rPr>
      </w:pPr>
      <w:r w:rsidRPr="006B74AC">
        <w:rPr>
          <w:rFonts w:eastAsia="Times New Roman" w:cstheme="minorHAnsi"/>
          <w:iCs/>
        </w:rPr>
        <w:t>CI</w:t>
      </w:r>
      <w:r>
        <w:rPr>
          <w:rFonts w:eastAsia="Times New Roman" w:cstheme="minorHAnsi"/>
          <w:iCs/>
        </w:rPr>
        <w:t>,</w:t>
      </w:r>
      <w:r w:rsidRPr="00A87315">
        <w:rPr>
          <w:rFonts w:eastAsia="Times New Roman" w:cstheme="minorHAnsi"/>
          <w:iCs/>
        </w:rPr>
        <w:t xml:space="preserve"> </w:t>
      </w:r>
      <w:r>
        <w:rPr>
          <w:rFonts w:eastAsia="Times New Roman" w:cstheme="minorHAnsi"/>
        </w:rPr>
        <w:t>C</w:t>
      </w:r>
      <w:r w:rsidRPr="00ED2DAB">
        <w:rPr>
          <w:rFonts w:eastAsia="Times New Roman" w:cstheme="minorHAnsi"/>
        </w:rPr>
        <w:t>onfidence interval</w:t>
      </w:r>
      <w:r>
        <w:rPr>
          <w:rFonts w:eastAsia="Times New Roman" w:cstheme="minorHAnsi"/>
        </w:rPr>
        <w:t>;</w:t>
      </w:r>
      <w:r w:rsidRPr="00ED2DAB">
        <w:rPr>
          <w:rFonts w:eastAsia="Times New Roman" w:cstheme="minorHAnsi"/>
        </w:rPr>
        <w:t xml:space="preserve"> </w:t>
      </w:r>
      <w:r w:rsidRPr="006B74AC">
        <w:rPr>
          <w:rFonts w:eastAsia="Times New Roman" w:cstheme="minorHAnsi"/>
          <w:iCs/>
        </w:rPr>
        <w:t>ORR</w:t>
      </w:r>
      <w:r>
        <w:rPr>
          <w:rFonts w:eastAsia="Times New Roman" w:cstheme="minorHAnsi"/>
          <w:iCs/>
        </w:rPr>
        <w:t>,</w:t>
      </w:r>
      <w:r w:rsidRPr="00ED2DAB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O</w:t>
      </w:r>
      <w:r w:rsidRPr="00ED2DAB">
        <w:rPr>
          <w:rFonts w:eastAsia="Times New Roman" w:cstheme="minorHAnsi"/>
        </w:rPr>
        <w:t>bjective response rate</w:t>
      </w:r>
      <w:r>
        <w:rPr>
          <w:rFonts w:eastAsia="Times New Roman" w:cstheme="minorHAnsi"/>
        </w:rPr>
        <w:t xml:space="preserve">; </w:t>
      </w:r>
      <w:r w:rsidRPr="006B74AC">
        <w:rPr>
          <w:rFonts w:eastAsia="Times New Roman" w:cstheme="minorHAnsi"/>
          <w:iCs/>
        </w:rPr>
        <w:t>RECIST v1.1</w:t>
      </w:r>
      <w:r>
        <w:rPr>
          <w:rFonts w:eastAsia="Times New Roman" w:cstheme="minorHAnsi"/>
          <w:iCs/>
        </w:rPr>
        <w:t>,</w:t>
      </w:r>
      <w:r>
        <w:rPr>
          <w:rFonts w:eastAsia="Times New Roman" w:cstheme="minorHAnsi"/>
        </w:rPr>
        <w:t xml:space="preserve"> </w:t>
      </w:r>
      <w:r w:rsidRPr="002374DF">
        <w:rPr>
          <w:rFonts w:eastAsia="Times New Roman" w:cstheme="minorHAnsi"/>
        </w:rPr>
        <w:t>Response Evaluation Criteria in Solid Tumors</w:t>
      </w:r>
      <w:r>
        <w:rPr>
          <w:rFonts w:eastAsia="Times New Roman" w:cstheme="minorHAnsi"/>
        </w:rPr>
        <w:t xml:space="preserve"> version 1.1</w:t>
      </w:r>
    </w:p>
    <w:p w:rsidR="00742028" w:rsidRDefault="00742028"/>
    <w:sectPr w:rsidR="00742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CD4"/>
    <w:rsid w:val="0014563F"/>
    <w:rsid w:val="00374CD4"/>
    <w:rsid w:val="00742028"/>
    <w:rsid w:val="00A0115E"/>
    <w:rsid w:val="00C72C2A"/>
    <w:rsid w:val="00CB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389F6"/>
  <w15:chartTrackingRefBased/>
  <w15:docId w15:val="{6B4244F6-B649-4EEF-A757-4EDBBF23D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4CD4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Ashfield Healthcare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Ashfield</dc:creator>
  <cp:keywords/>
  <dc:description/>
  <cp:lastModifiedBy>Ashfield</cp:lastModifiedBy>
  <cp:revision>1</cp:revision>
  <dcterms:created xsi:type="dcterms:W3CDTF">2021-05-29T01:06:00Z</dcterms:created>
  <dcterms:modified xsi:type="dcterms:W3CDTF">2021-05-29T01:21:00Z</dcterms:modified>
</cp:coreProperties>
</file>