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CF5F" w14:textId="6FF44057" w:rsidR="00F4163B" w:rsidRPr="00B16420" w:rsidRDefault="00F4163B" w:rsidP="00F4163B">
      <w:pPr>
        <w:rPr>
          <w:rFonts w:ascii="Times New Roman" w:hAnsi="Times New Roman" w:cs="Times New Roman"/>
          <w:sz w:val="21"/>
          <w:szCs w:val="21"/>
        </w:rPr>
      </w:pPr>
      <w:r w:rsidRPr="00B16420">
        <w:rPr>
          <w:rFonts w:ascii="Times New Roman" w:hAnsi="Times New Roman" w:cs="Times New Roman"/>
          <w:sz w:val="21"/>
          <w:szCs w:val="21"/>
        </w:rPr>
        <w:t>T</w:t>
      </w:r>
      <w:r w:rsidR="00242471">
        <w:rPr>
          <w:rFonts w:ascii="Times New Roman" w:hAnsi="Times New Roman" w:cs="Times New Roman"/>
          <w:sz w:val="21"/>
          <w:szCs w:val="21"/>
        </w:rPr>
        <w:t>ABLE</w:t>
      </w:r>
      <w:r w:rsidRPr="00B16420">
        <w:rPr>
          <w:rFonts w:ascii="Times New Roman" w:hAnsi="Times New Roman" w:cs="Times New Roman"/>
          <w:sz w:val="21"/>
          <w:szCs w:val="21"/>
        </w:rPr>
        <w:t xml:space="preserve"> </w:t>
      </w:r>
      <w:r w:rsidR="00BD75C4" w:rsidRPr="00B16420">
        <w:rPr>
          <w:rFonts w:ascii="Times New Roman" w:hAnsi="Times New Roman" w:cs="Times New Roman"/>
          <w:sz w:val="21"/>
          <w:szCs w:val="21"/>
        </w:rPr>
        <w:t>S</w:t>
      </w:r>
      <w:r w:rsidR="00B62F43">
        <w:rPr>
          <w:rFonts w:ascii="Times New Roman" w:hAnsi="Times New Roman" w:cs="Times New Roman"/>
          <w:sz w:val="21"/>
          <w:szCs w:val="21"/>
        </w:rPr>
        <w:t>2</w:t>
      </w:r>
      <w:r w:rsidR="00F97AF9" w:rsidRPr="00B16420">
        <w:rPr>
          <w:rFonts w:ascii="Times New Roman" w:hAnsi="Times New Roman" w:cs="Times New Roman"/>
          <w:sz w:val="21"/>
          <w:szCs w:val="21"/>
        </w:rPr>
        <w:t>.</w:t>
      </w:r>
      <w:r w:rsidRPr="00B16420">
        <w:rPr>
          <w:rFonts w:ascii="Times New Roman" w:hAnsi="Times New Roman" w:cs="Times New Roman"/>
          <w:sz w:val="21"/>
          <w:szCs w:val="21"/>
        </w:rPr>
        <w:t xml:space="preserve"> </w:t>
      </w:r>
      <w:r w:rsidR="002F2C46" w:rsidRPr="00B16420">
        <w:rPr>
          <w:rFonts w:ascii="Times New Roman" w:hAnsi="Times New Roman" w:cs="Times New Roman"/>
          <w:sz w:val="21"/>
          <w:szCs w:val="21"/>
        </w:rPr>
        <w:t xml:space="preserve"> </w:t>
      </w:r>
      <w:r w:rsidRPr="00B16420">
        <w:rPr>
          <w:rFonts w:ascii="Times New Roman" w:hAnsi="Times New Roman" w:cs="Times New Roman"/>
          <w:sz w:val="21"/>
          <w:szCs w:val="21"/>
        </w:rPr>
        <w:t xml:space="preserve">The quality of the </w:t>
      </w:r>
      <w:r w:rsidR="00430861">
        <w:rPr>
          <w:rFonts w:ascii="Times New Roman" w:hAnsi="Times New Roman" w:cs="Times New Roman"/>
          <w:sz w:val="21"/>
          <w:szCs w:val="21"/>
        </w:rPr>
        <w:t>10</w:t>
      </w:r>
      <w:r w:rsidRPr="00B16420">
        <w:rPr>
          <w:rFonts w:ascii="Times New Roman" w:hAnsi="Times New Roman" w:cs="Times New Roman"/>
          <w:sz w:val="21"/>
          <w:szCs w:val="21"/>
        </w:rPr>
        <w:t xml:space="preserve"> included studies </w:t>
      </w:r>
      <w:r w:rsidR="00B16420">
        <w:rPr>
          <w:rFonts w:ascii="Times New Roman" w:hAnsi="Times New Roman" w:cs="Times New Roman"/>
          <w:sz w:val="21"/>
          <w:szCs w:val="21"/>
        </w:rPr>
        <w:t xml:space="preserve">was </w:t>
      </w:r>
      <w:r w:rsidRPr="00B16420">
        <w:rPr>
          <w:rFonts w:ascii="Times New Roman" w:hAnsi="Times New Roman" w:cs="Times New Roman"/>
          <w:sz w:val="21"/>
          <w:szCs w:val="21"/>
        </w:rPr>
        <w:t>assessed by MINORS</w:t>
      </w:r>
      <w:r w:rsidRPr="00B16420">
        <w:rPr>
          <w:rFonts w:ascii="Times New Roman" w:hAnsi="Times New Roman" w:cs="Times New Roman"/>
          <w:sz w:val="21"/>
          <w:szCs w:val="21"/>
          <w:lang w:eastAsia="zh-CN"/>
        </w:rPr>
        <w:t>.</w:t>
      </w:r>
    </w:p>
    <w:tbl>
      <w:tblPr>
        <w:tblStyle w:val="a3"/>
        <w:tblpPr w:leftFromText="180" w:rightFromText="180" w:vertAnchor="text" w:horzAnchor="margin" w:tblpY="231"/>
        <w:tblW w:w="5237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6"/>
        <w:gridCol w:w="758"/>
        <w:gridCol w:w="1062"/>
        <w:gridCol w:w="1054"/>
        <w:gridCol w:w="1074"/>
        <w:gridCol w:w="1074"/>
        <w:gridCol w:w="1471"/>
        <w:gridCol w:w="852"/>
        <w:gridCol w:w="1051"/>
        <w:gridCol w:w="885"/>
        <w:gridCol w:w="1249"/>
        <w:gridCol w:w="1074"/>
        <w:gridCol w:w="915"/>
        <w:gridCol w:w="693"/>
      </w:tblGrid>
      <w:tr w:rsidR="00F4163B" w:rsidRPr="00B16420" w14:paraId="442F598A" w14:textId="77777777" w:rsidTr="009E1BD6">
        <w:trPr>
          <w:trHeight w:val="397"/>
        </w:trPr>
        <w:tc>
          <w:tcPr>
            <w:tcW w:w="53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522EB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2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D6CB7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A clearly stated aim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487BC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Inclusion of consecutive patients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C1828C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Prospective collection of data</w:t>
            </w:r>
          </w:p>
        </w:tc>
        <w:tc>
          <w:tcPr>
            <w:tcW w:w="3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B9F50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Endpoints appropriate to the aim of the study</w:t>
            </w:r>
          </w:p>
        </w:tc>
        <w:tc>
          <w:tcPr>
            <w:tcW w:w="3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F8C70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Unbiased assessment of the study endpoint</w:t>
            </w:r>
          </w:p>
        </w:tc>
        <w:tc>
          <w:tcPr>
            <w:tcW w:w="49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F95DE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Follow-up period appropriate to the aim of the study</w:t>
            </w:r>
          </w:p>
        </w:tc>
        <w:tc>
          <w:tcPr>
            <w:tcW w:w="28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94FE8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Loss to follow up less than 5%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F63C9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Prospective calculation of the study size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7E5C3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An adequate control group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A5A0FE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Contemporary groups</w:t>
            </w:r>
          </w:p>
        </w:tc>
        <w:tc>
          <w:tcPr>
            <w:tcW w:w="3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1E34B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Baseline equivalence of groups</w:t>
            </w:r>
          </w:p>
        </w:tc>
        <w:tc>
          <w:tcPr>
            <w:tcW w:w="30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DA62A0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Adequate statistical analyses</w:t>
            </w:r>
          </w:p>
        </w:tc>
        <w:tc>
          <w:tcPr>
            <w:tcW w:w="2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06426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Scores</w:t>
            </w:r>
          </w:p>
        </w:tc>
      </w:tr>
      <w:tr w:rsidR="00F4163B" w:rsidRPr="00716B75" w14:paraId="5AC01097" w14:textId="77777777" w:rsidTr="009E1BD6">
        <w:trPr>
          <w:trHeight w:val="397"/>
        </w:trPr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678AEC54" w14:textId="4B462461" w:rsidR="00F4163B" w:rsidRPr="00716B75" w:rsidRDefault="00716B75" w:rsidP="00716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Mittal. et al</w:t>
            </w:r>
          </w:p>
        </w:tc>
        <w:tc>
          <w:tcPr>
            <w:tcW w:w="256" w:type="pct"/>
            <w:tcBorders>
              <w:top w:val="single" w:sz="4" w:space="0" w:color="auto"/>
            </w:tcBorders>
            <w:vAlign w:val="center"/>
          </w:tcPr>
          <w:p w14:paraId="5799539E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3029ACF7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</w:tcBorders>
            <w:vAlign w:val="center"/>
          </w:tcPr>
          <w:p w14:paraId="49DD4E08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4A075BA0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1752F759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</w:tcBorders>
            <w:vAlign w:val="center"/>
          </w:tcPr>
          <w:p w14:paraId="64E7CC39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tcBorders>
              <w:top w:val="single" w:sz="4" w:space="0" w:color="auto"/>
            </w:tcBorders>
            <w:vAlign w:val="center"/>
          </w:tcPr>
          <w:p w14:paraId="2B929E12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32C6D994" w14:textId="33D9CE8F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1195CFB8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</w:tcBorders>
            <w:vAlign w:val="center"/>
          </w:tcPr>
          <w:p w14:paraId="3B4E8E3A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4FB30C61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</w:tcBorders>
            <w:vAlign w:val="center"/>
          </w:tcPr>
          <w:p w14:paraId="22EEBFC1" w14:textId="77777777" w:rsidR="00F4163B" w:rsidRPr="00716B75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</w:tcBorders>
            <w:vAlign w:val="center"/>
          </w:tcPr>
          <w:p w14:paraId="3C3F12C6" w14:textId="0C588981" w:rsidR="00F4163B" w:rsidRPr="0065095A" w:rsidRDefault="0065095A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F4163B" w:rsidRPr="00B16420" w14:paraId="6CAA6D45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154968D2" w14:textId="0BD41E19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Byrne. et al</w:t>
            </w:r>
          </w:p>
        </w:tc>
        <w:tc>
          <w:tcPr>
            <w:tcW w:w="256" w:type="pct"/>
            <w:vAlign w:val="center"/>
          </w:tcPr>
          <w:p w14:paraId="3C46EC59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07E5E4A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1982B29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460A1A5B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0CA1E430" w14:textId="2D7ADF2B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97" w:type="pct"/>
            <w:vAlign w:val="center"/>
          </w:tcPr>
          <w:p w14:paraId="39BBB1B9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709DC71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6FEBC91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center"/>
          </w:tcPr>
          <w:p w14:paraId="438E94C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14:paraId="4FEE8842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vAlign w:val="center"/>
          </w:tcPr>
          <w:p w14:paraId="0CEE3062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vAlign w:val="center"/>
          </w:tcPr>
          <w:p w14:paraId="28C2E25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vAlign w:val="center"/>
          </w:tcPr>
          <w:p w14:paraId="5772DD8E" w14:textId="707792DB" w:rsidR="00F4163B" w:rsidRPr="00B16420" w:rsidRDefault="0065095A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F4163B" w:rsidRPr="00B16420" w14:paraId="7DFB33E5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612EE45A" w14:textId="3E3F7F5C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Diab.et al</w:t>
            </w:r>
          </w:p>
        </w:tc>
        <w:tc>
          <w:tcPr>
            <w:tcW w:w="256" w:type="pct"/>
            <w:vAlign w:val="center"/>
          </w:tcPr>
          <w:p w14:paraId="5EFB4D4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69D15F6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204704B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5F8C765C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2AA582C3" w14:textId="1787C2C5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97" w:type="pct"/>
            <w:vAlign w:val="center"/>
          </w:tcPr>
          <w:p w14:paraId="2A96366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5FB2C74A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68945DF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center"/>
          </w:tcPr>
          <w:p w14:paraId="1EE59EC7" w14:textId="16E5E9BC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22" w:type="pct"/>
            <w:vAlign w:val="center"/>
          </w:tcPr>
          <w:p w14:paraId="6A090E29" w14:textId="6FEA9F15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363" w:type="pct"/>
            <w:vAlign w:val="center"/>
          </w:tcPr>
          <w:p w14:paraId="78711AE0" w14:textId="13B70940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309" w:type="pct"/>
            <w:vAlign w:val="center"/>
          </w:tcPr>
          <w:p w14:paraId="2620F75E" w14:textId="187873AC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234" w:type="pct"/>
            <w:vAlign w:val="center"/>
          </w:tcPr>
          <w:p w14:paraId="59BE8B84" w14:textId="494187DE" w:rsidR="00F4163B" w:rsidRPr="00716B75" w:rsidRDefault="0065095A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F4163B" w:rsidRPr="00B16420" w14:paraId="5BC0303E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2902DC71" w14:textId="7A23203E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Bewersdorf. et al</w:t>
            </w:r>
          </w:p>
        </w:tc>
        <w:tc>
          <w:tcPr>
            <w:tcW w:w="256" w:type="pct"/>
            <w:vAlign w:val="center"/>
          </w:tcPr>
          <w:p w14:paraId="6DCFA57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520B3B2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13E8B26A" w14:textId="195FB415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63" w:type="pct"/>
            <w:vAlign w:val="center"/>
          </w:tcPr>
          <w:p w14:paraId="61115A4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71C16AD3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vAlign w:val="center"/>
          </w:tcPr>
          <w:p w14:paraId="242C055C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47D652B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042F39F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center"/>
          </w:tcPr>
          <w:p w14:paraId="22CEFD7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14:paraId="79DE7E1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vAlign w:val="center"/>
          </w:tcPr>
          <w:p w14:paraId="6797491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vAlign w:val="center"/>
          </w:tcPr>
          <w:p w14:paraId="31DBB50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vAlign w:val="center"/>
          </w:tcPr>
          <w:p w14:paraId="54BC6D7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F4163B" w:rsidRPr="00B16420" w14:paraId="5061AB7F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77079555" w14:textId="5A4AB74F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Joshi.et al</w:t>
            </w:r>
          </w:p>
        </w:tc>
        <w:tc>
          <w:tcPr>
            <w:tcW w:w="256" w:type="pct"/>
            <w:vAlign w:val="center"/>
          </w:tcPr>
          <w:p w14:paraId="78F8E3C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7F47138B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64C5BBF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10CA1343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33519ADA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vAlign w:val="center"/>
          </w:tcPr>
          <w:p w14:paraId="5CAE68CC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29F73E8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0D2610B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center"/>
          </w:tcPr>
          <w:p w14:paraId="085C104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14:paraId="4EE843F0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vAlign w:val="center"/>
          </w:tcPr>
          <w:p w14:paraId="3F831C1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vAlign w:val="center"/>
          </w:tcPr>
          <w:p w14:paraId="23DA5AC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vAlign w:val="center"/>
          </w:tcPr>
          <w:p w14:paraId="0AD960C2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F4163B" w:rsidRPr="00B16420" w14:paraId="7BA57AF9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4DFD09BE" w14:textId="7BF118E1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Schuler. et al</w:t>
            </w:r>
          </w:p>
        </w:tc>
        <w:tc>
          <w:tcPr>
            <w:tcW w:w="256" w:type="pct"/>
            <w:vAlign w:val="center"/>
          </w:tcPr>
          <w:p w14:paraId="7F6B995C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5DE7485E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0CD0385C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2B0EDEB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7482DC4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vAlign w:val="center"/>
          </w:tcPr>
          <w:p w14:paraId="5B49B323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356A1EA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4326DDCF" w14:textId="4269DE3F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99" w:type="pct"/>
            <w:vAlign w:val="center"/>
          </w:tcPr>
          <w:p w14:paraId="451832AE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14:paraId="4C5D06F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vAlign w:val="center"/>
          </w:tcPr>
          <w:p w14:paraId="27E01B3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vAlign w:val="center"/>
          </w:tcPr>
          <w:p w14:paraId="5B80509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vAlign w:val="center"/>
          </w:tcPr>
          <w:p w14:paraId="64A07B42" w14:textId="70F117E6" w:rsidR="00F4163B" w:rsidRPr="00B16420" w:rsidRDefault="0065095A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CA40B4" w:rsidRPr="00B16420" w14:paraId="19519F29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37C9B4F1" w14:textId="6DDBD2DC" w:rsidR="00CA40B4" w:rsidRPr="00777174" w:rsidRDefault="00CA40B4" w:rsidP="00CA4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174">
              <w:rPr>
                <w:rFonts w:ascii="Times New Roman" w:hAnsi="Times New Roman" w:cs="Times New Roman"/>
                <w:sz w:val="16"/>
                <w:szCs w:val="16"/>
              </w:rPr>
              <w:t>Gao.et al</w:t>
            </w:r>
          </w:p>
        </w:tc>
        <w:tc>
          <w:tcPr>
            <w:tcW w:w="256" w:type="pct"/>
            <w:vAlign w:val="center"/>
          </w:tcPr>
          <w:p w14:paraId="502F62A8" w14:textId="25353278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9" w:type="pct"/>
            <w:vAlign w:val="center"/>
          </w:tcPr>
          <w:p w14:paraId="44E8B075" w14:textId="04DDDDDE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6" w:type="pct"/>
            <w:vAlign w:val="center"/>
          </w:tcPr>
          <w:p w14:paraId="2DC641C9" w14:textId="4E9550EF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63" w:type="pct"/>
            <w:vAlign w:val="center"/>
          </w:tcPr>
          <w:p w14:paraId="29D68839" w14:textId="514EBF02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63" w:type="pct"/>
            <w:vAlign w:val="center"/>
          </w:tcPr>
          <w:p w14:paraId="2634C222" w14:textId="550295EE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97" w:type="pct"/>
            <w:vAlign w:val="center"/>
          </w:tcPr>
          <w:p w14:paraId="51085A82" w14:textId="5F3E9C02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88" w:type="pct"/>
            <w:vAlign w:val="center"/>
          </w:tcPr>
          <w:p w14:paraId="488503FE" w14:textId="7FF3DCAD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55" w:type="pct"/>
            <w:vAlign w:val="center"/>
          </w:tcPr>
          <w:p w14:paraId="31F70E27" w14:textId="4965E4E3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99" w:type="pct"/>
            <w:vAlign w:val="center"/>
          </w:tcPr>
          <w:p w14:paraId="6DE6B0B4" w14:textId="650AC509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22" w:type="pct"/>
            <w:vAlign w:val="center"/>
          </w:tcPr>
          <w:p w14:paraId="4615CE9E" w14:textId="6935CBAD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363" w:type="pct"/>
            <w:vAlign w:val="center"/>
          </w:tcPr>
          <w:p w14:paraId="4DA46C86" w14:textId="4FD38AC8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309" w:type="pct"/>
            <w:vAlign w:val="center"/>
          </w:tcPr>
          <w:p w14:paraId="37E42473" w14:textId="017FF9D2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234" w:type="pct"/>
            <w:vAlign w:val="center"/>
          </w:tcPr>
          <w:p w14:paraId="46572C77" w14:textId="7615A5D3" w:rsidR="00CA40B4" w:rsidRPr="00777174" w:rsidRDefault="00CA40B4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 w:rsidRPr="00777174"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 w:rsidRPr="00777174"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F4163B" w:rsidRPr="00B16420" w14:paraId="76C720BE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166BA728" w14:textId="7133AAA3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Ozturk. et al</w:t>
            </w:r>
          </w:p>
        </w:tc>
        <w:tc>
          <w:tcPr>
            <w:tcW w:w="256" w:type="pct"/>
            <w:vAlign w:val="center"/>
          </w:tcPr>
          <w:p w14:paraId="3AF87762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6908B9E0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0ECFA6F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4F44E403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20EC2D3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vAlign w:val="center"/>
          </w:tcPr>
          <w:p w14:paraId="1F8F86E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6037F3C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5D913180" w14:textId="2E4C0363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99" w:type="pct"/>
            <w:vAlign w:val="center"/>
          </w:tcPr>
          <w:p w14:paraId="2624EB85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14:paraId="716C15FF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vAlign w:val="center"/>
          </w:tcPr>
          <w:p w14:paraId="5A94B8D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vAlign w:val="center"/>
          </w:tcPr>
          <w:p w14:paraId="16831A65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vAlign w:val="center"/>
          </w:tcPr>
          <w:p w14:paraId="3E9860D2" w14:textId="5A5579DD" w:rsidR="00F4163B" w:rsidRPr="00B16420" w:rsidRDefault="0065095A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F4163B" w:rsidRPr="00B16420" w14:paraId="252909E6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50400BAA" w14:textId="719A889A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Serpenti. et al</w:t>
            </w:r>
          </w:p>
        </w:tc>
        <w:tc>
          <w:tcPr>
            <w:tcW w:w="256" w:type="pct"/>
            <w:vAlign w:val="center"/>
          </w:tcPr>
          <w:p w14:paraId="440C4F4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274B0EF2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058928D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79EF97AA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779A485E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vAlign w:val="center"/>
          </w:tcPr>
          <w:p w14:paraId="74D748D6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0212425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1187BC2E" w14:textId="415F4972" w:rsidR="00F4163B" w:rsidRPr="00B957A0" w:rsidRDefault="00B957A0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299" w:type="pct"/>
            <w:vAlign w:val="center"/>
          </w:tcPr>
          <w:p w14:paraId="1F4AE983" w14:textId="7D8D5CF3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22" w:type="pct"/>
            <w:vAlign w:val="center"/>
          </w:tcPr>
          <w:p w14:paraId="17ED04EF" w14:textId="66F45BA3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363" w:type="pct"/>
            <w:vAlign w:val="center"/>
          </w:tcPr>
          <w:p w14:paraId="7AE2FD18" w14:textId="26641843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309" w:type="pct"/>
            <w:vAlign w:val="center"/>
          </w:tcPr>
          <w:p w14:paraId="71146B5D" w14:textId="48D955E9" w:rsidR="00F4163B" w:rsidRPr="00716B75" w:rsidRDefault="00716B75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234" w:type="pct"/>
            <w:vAlign w:val="center"/>
          </w:tcPr>
          <w:p w14:paraId="3767D37C" w14:textId="1B1A00E7" w:rsidR="00F4163B" w:rsidRPr="00716B75" w:rsidRDefault="0065095A" w:rsidP="009E1BD6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zh-CN"/>
              </w:rPr>
              <w:t>2</w:t>
            </w:r>
          </w:p>
        </w:tc>
      </w:tr>
      <w:tr w:rsidR="00F4163B" w:rsidRPr="00B16420" w14:paraId="19D25D44" w14:textId="77777777" w:rsidTr="009E1BD6">
        <w:trPr>
          <w:trHeight w:val="397"/>
        </w:trPr>
        <w:tc>
          <w:tcPr>
            <w:tcW w:w="536" w:type="pct"/>
            <w:vAlign w:val="center"/>
          </w:tcPr>
          <w:p w14:paraId="326D8BD4" w14:textId="2A8DB881" w:rsidR="00F4163B" w:rsidRPr="00B16420" w:rsidRDefault="00716B75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B75">
              <w:rPr>
                <w:rFonts w:ascii="Times New Roman" w:hAnsi="Times New Roman" w:cs="Times New Roman"/>
                <w:sz w:val="18"/>
                <w:szCs w:val="18"/>
              </w:rPr>
              <w:t>Zhao. et al</w:t>
            </w:r>
          </w:p>
        </w:tc>
        <w:tc>
          <w:tcPr>
            <w:tcW w:w="256" w:type="pct"/>
            <w:vAlign w:val="center"/>
          </w:tcPr>
          <w:p w14:paraId="2F9A2499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9" w:type="pct"/>
            <w:vAlign w:val="center"/>
          </w:tcPr>
          <w:p w14:paraId="477AE09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vAlign w:val="center"/>
          </w:tcPr>
          <w:p w14:paraId="5006E6FB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33D81B21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pct"/>
            <w:vAlign w:val="center"/>
          </w:tcPr>
          <w:p w14:paraId="049582B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pct"/>
            <w:vAlign w:val="center"/>
          </w:tcPr>
          <w:p w14:paraId="76C3F25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" w:type="pct"/>
            <w:vAlign w:val="center"/>
          </w:tcPr>
          <w:p w14:paraId="56347088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5" w:type="pct"/>
            <w:vAlign w:val="center"/>
          </w:tcPr>
          <w:p w14:paraId="34CE0087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vAlign w:val="center"/>
          </w:tcPr>
          <w:p w14:paraId="5DF6FCD4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14:paraId="674E3D49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3" w:type="pct"/>
            <w:vAlign w:val="center"/>
          </w:tcPr>
          <w:p w14:paraId="3F92056B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9" w:type="pct"/>
            <w:vAlign w:val="center"/>
          </w:tcPr>
          <w:p w14:paraId="5FE6A2ED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4" w:type="pct"/>
            <w:vAlign w:val="center"/>
          </w:tcPr>
          <w:p w14:paraId="2E053BC2" w14:textId="77777777" w:rsidR="00F4163B" w:rsidRPr="00B16420" w:rsidRDefault="00F4163B" w:rsidP="009E1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</w:tbl>
    <w:p w14:paraId="6A9631B2" w14:textId="7458F5C6" w:rsidR="00F4163B" w:rsidRPr="001F6C80" w:rsidRDefault="00F4163B" w:rsidP="00F4163B">
      <w:pPr>
        <w:pStyle w:val="headinganchor"/>
        <w:shd w:val="clear" w:color="auto" w:fill="FFFFFF"/>
        <w:ind w:leftChars="-67" w:left="109" w:hangingChars="142" w:hanging="256"/>
        <w:rPr>
          <w:rFonts w:ascii="Times New Roman" w:hAnsi="Times New Roman" w:cs="Times New Roman"/>
          <w:bCs/>
          <w:sz w:val="18"/>
          <w:szCs w:val="18"/>
          <w:lang w:eastAsia="zh-CN"/>
        </w:rPr>
      </w:pPr>
      <w:r w:rsidRPr="001F6C80">
        <w:rPr>
          <w:rFonts w:ascii="Times New Roman" w:hAnsi="Times New Roman" w:cs="Times New Roman"/>
          <w:bCs/>
          <w:sz w:val="18"/>
          <w:szCs w:val="18"/>
        </w:rPr>
        <w:t xml:space="preserve">Note: </w:t>
      </w:r>
      <w:r w:rsidR="000C5060" w:rsidRPr="001F6C80">
        <w:rPr>
          <w:rFonts w:ascii="Times New Roman" w:hAnsi="Times New Roman"/>
          <w:sz w:val="18"/>
          <w:szCs w:val="18"/>
        </w:rPr>
        <w:t xml:space="preserve">The items are scored as 0 (not reported), 1 (reported but inadequate), or 2 (reported and adequate). </w:t>
      </w:r>
      <w:r w:rsidRPr="001F6C80">
        <w:rPr>
          <w:rFonts w:ascii="Times New Roman" w:hAnsi="Times New Roman" w:cs="Times New Roman"/>
          <w:bCs/>
          <w:sz w:val="18"/>
          <w:szCs w:val="18"/>
        </w:rPr>
        <w:t>-</w:t>
      </w:r>
      <w:r w:rsidR="00B01FD4" w:rsidRPr="001F6C80">
        <w:rPr>
          <w:rFonts w:ascii="Times New Roman" w:hAnsi="Times New Roman" w:cs="Times New Roman"/>
          <w:bCs/>
          <w:sz w:val="18"/>
          <w:szCs w:val="18"/>
        </w:rPr>
        <w:t xml:space="preserve">, </w:t>
      </w:r>
      <w:r w:rsidRPr="001F6C80">
        <w:rPr>
          <w:rFonts w:ascii="Times New Roman" w:hAnsi="Times New Roman" w:cs="Times New Roman"/>
          <w:bCs/>
          <w:sz w:val="18"/>
          <w:szCs w:val="18"/>
        </w:rPr>
        <w:t xml:space="preserve">No control </w:t>
      </w:r>
      <w:r w:rsidR="000C5060" w:rsidRPr="001F6C80">
        <w:rPr>
          <w:rFonts w:ascii="Times New Roman" w:hAnsi="Times New Roman" w:cs="Times New Roman"/>
          <w:bCs/>
          <w:sz w:val="18"/>
          <w:szCs w:val="18"/>
        </w:rPr>
        <w:t>group.</w:t>
      </w:r>
    </w:p>
    <w:sectPr w:rsidR="00F4163B" w:rsidRPr="001F6C80" w:rsidSect="005973DC">
      <w:pgSz w:w="16838" w:h="11906" w:orient="landscape"/>
      <w:pgMar w:top="426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00BCE"/>
    <w:rsid w:val="0001127C"/>
    <w:rsid w:val="00093739"/>
    <w:rsid w:val="000C5060"/>
    <w:rsid w:val="001F6C80"/>
    <w:rsid w:val="00227562"/>
    <w:rsid w:val="00242471"/>
    <w:rsid w:val="002B4D49"/>
    <w:rsid w:val="002F2C46"/>
    <w:rsid w:val="0032359F"/>
    <w:rsid w:val="003E2EC8"/>
    <w:rsid w:val="00430861"/>
    <w:rsid w:val="00484B5A"/>
    <w:rsid w:val="00490461"/>
    <w:rsid w:val="00500BCE"/>
    <w:rsid w:val="005973DC"/>
    <w:rsid w:val="0065095A"/>
    <w:rsid w:val="00716B75"/>
    <w:rsid w:val="00777174"/>
    <w:rsid w:val="007B25FA"/>
    <w:rsid w:val="00B01FD4"/>
    <w:rsid w:val="00B16420"/>
    <w:rsid w:val="00B62F43"/>
    <w:rsid w:val="00B957A0"/>
    <w:rsid w:val="00BD75C4"/>
    <w:rsid w:val="00BF07F4"/>
    <w:rsid w:val="00C00668"/>
    <w:rsid w:val="00CA40B4"/>
    <w:rsid w:val="00E46CDD"/>
    <w:rsid w:val="00F4163B"/>
    <w:rsid w:val="00F93D5D"/>
    <w:rsid w:val="00F9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A21BA"/>
  <w15:chartTrackingRefBased/>
  <w15:docId w15:val="{2F4E9F1B-F39F-4B35-BC54-37176D89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63B"/>
    <w:rPr>
      <w:rFonts w:ascii="Calibri" w:hAnsi="Calibri" w:cs="Calibri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B4D49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anchor">
    <w:name w:val="headinganchor"/>
    <w:basedOn w:val="a"/>
    <w:link w:val="headinganchorChar"/>
    <w:qFormat/>
    <w:rsid w:val="002B4D49"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headinganchorChar">
    <w:name w:val="headinganchor Char"/>
    <w:basedOn w:val="a0"/>
    <w:link w:val="headinganchor"/>
    <w:qFormat/>
    <w:rsid w:val="002B4D49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天涯 浪子</dc:creator>
  <cp:keywords/>
  <dc:description/>
  <cp:lastModifiedBy>天涯 浪子</cp:lastModifiedBy>
  <cp:revision>30</cp:revision>
  <dcterms:created xsi:type="dcterms:W3CDTF">2022-11-20T04:52:00Z</dcterms:created>
  <dcterms:modified xsi:type="dcterms:W3CDTF">2023-07-25T04:19:00Z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6dbed1e83be7a81527a5a942562e460b6dab54941c05a8c3d6138f965024abf1</vt:lpwstr>
  </property>
</Properties>
</file>