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300355</wp:posOffset>
            </wp:positionV>
            <wp:extent cx="5272405" cy="2240280"/>
            <wp:effectExtent l="0" t="0" r="4445" b="7620"/>
            <wp:wrapTopAndBottom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/>
        </w:rPr>
        <w:t xml:space="preserve">. The Rad-score for each patient in the training (a) </w:t>
      </w:r>
      <w:r>
        <w:rPr>
          <w:rFonts w:hint="eastAsia"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testing (b) sets.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384175</wp:posOffset>
            </wp:positionV>
            <wp:extent cx="5267325" cy="2026285"/>
            <wp:effectExtent l="0" t="0" r="0" b="2540"/>
            <wp:wrapTopAndBottom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26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</w:rPr>
        <w:t>Figure S2.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等线" w:cs="Times New Roman"/>
          <w:szCs w:val="21"/>
          <w:lang w:bidi="ar"/>
        </w:rPr>
        <w:t>Radiomics nomogram calibration curves for the training (a) and testing (b) sets. The calibration curves show a good fit for the nomogram. The 45° straight lines indicated a perfect match between the true (Y-axis) and predicted (X-axis) probabilities. The closer the distance between the two curves, the better accuracy.</w:t>
      </w: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</w:p>
    <w:p>
      <w:pPr>
        <w:ind w:firstLine="251"/>
        <w:jc w:val="left"/>
      </w:pPr>
      <w:r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363855</wp:posOffset>
            </wp:positionV>
            <wp:extent cx="5271135" cy="3726815"/>
            <wp:effectExtent l="0" t="0" r="5715" b="6985"/>
            <wp:wrapTopAndBottom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251"/>
        <w:jc w:val="left"/>
      </w:pPr>
    </w:p>
    <w:p>
      <w:pPr>
        <w:ind w:firstLine="251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S3.</w:t>
      </w:r>
      <w:r>
        <w:rPr>
          <w:rFonts w:ascii="Times New Roman" w:hAnsi="Times New Roman" w:cs="Times New Roman"/>
        </w:rPr>
        <w:t xml:space="preserve"> Heatmap and cluster analysis of immunohistochemistry with Rad-score.</w:t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bookmarkStart w:id="1" w:name="_GoBack"/>
      <w:bookmarkEnd w:id="1"/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494665</wp:posOffset>
            </wp:positionH>
            <wp:positionV relativeFrom="paragraph">
              <wp:posOffset>24130</wp:posOffset>
            </wp:positionV>
            <wp:extent cx="3599815" cy="4636135"/>
            <wp:effectExtent l="0" t="0" r="635" b="2540"/>
            <wp:wrapTopAndBottom/>
            <wp:docPr id="4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463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 w:cs="Times New Roman"/>
        </w:rPr>
      </w:pPr>
      <w:bookmarkStart w:id="0" w:name="_Hlk146535983"/>
      <w:r>
        <w:rPr>
          <w:rFonts w:hint="eastAsia" w:ascii="Times New Roman" w:hAnsi="Times New Roman" w:cs="Times New Roman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 xml:space="preserve">igure S4. </w:t>
      </w:r>
      <w:r>
        <w:rPr>
          <w:rFonts w:ascii="Times New Roman" w:hAnsi="Times New Roman" w:cs="Times New Roman"/>
        </w:rPr>
        <w:t>TUNEL assays were conducted on both low-grade and high-grade ccRCC samples: a) one patient with ccRCC graded as grade I by WHO/ISUP. b</w:t>
      </w:r>
      <w:r>
        <w:rPr>
          <w:rFonts w:hint="eastAsia"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one patient with ccRCC graded as grade IV by WHO/ISUP. The red arrows highlight apoptotic cells.</w:t>
      </w:r>
    </w:p>
    <w:bookmarkEnd w:id="0"/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TE4ODUzZjhiOGQ4YjM3ZWY2ZmQyN2Q4ZDkxZDcifQ=="/>
  </w:docVars>
  <w:rsids>
    <w:rsidRoot w:val="00015FD1"/>
    <w:rsid w:val="00015FD1"/>
    <w:rsid w:val="001051E0"/>
    <w:rsid w:val="00221D47"/>
    <w:rsid w:val="00343B66"/>
    <w:rsid w:val="007B256A"/>
    <w:rsid w:val="00AD3FB0"/>
    <w:rsid w:val="00B651B4"/>
    <w:rsid w:val="00B95DBC"/>
    <w:rsid w:val="00D63766"/>
    <w:rsid w:val="00DD189D"/>
    <w:rsid w:val="00EA0751"/>
    <w:rsid w:val="00F30D4D"/>
    <w:rsid w:val="143A600C"/>
    <w:rsid w:val="1F284AA6"/>
    <w:rsid w:val="34DC1E9E"/>
    <w:rsid w:val="50770396"/>
    <w:rsid w:val="5EA70E6B"/>
    <w:rsid w:val="65492F8B"/>
    <w:rsid w:val="6D0D13BA"/>
    <w:rsid w:val="71EF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129</Words>
  <Characters>738</Characters>
  <Lines>6</Lines>
  <Paragraphs>1</Paragraphs>
  <TotalTime>16</TotalTime>
  <ScaleCrop>false</ScaleCrop>
  <LinksUpToDate>false</LinksUpToDate>
  <CharactersWithSpaces>866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2022-10-08T14:26:00Z</dcterms:created>
  <dc:creator>92165</dc:creator>
  <cp:lastModifiedBy>郜言坤</cp:lastModifiedBy>
  <dcterms:modified xsi:type="dcterms:W3CDTF">2023-09-26T13:50:45Z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724667D06FC44FA2A68071CFAD409415</vt:lpwstr>
  </property>
</Properties>
</file>