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2AE8C" w14:textId="77777777" w:rsidR="00D2072D" w:rsidRDefault="00D2072D">
      <w:pPr>
        <w:widowControl/>
        <w:jc w:val="left"/>
        <w:rPr>
          <w:rFonts w:ascii="Times New Roman" w:hAnsi="Times New Roman" w:cs="Times New Roman"/>
          <w:sz w:val="24"/>
          <w:szCs w:val="28"/>
        </w:rPr>
      </w:pPr>
      <w:r w:rsidRPr="00D2072D">
        <w:rPr>
          <w:rFonts w:ascii="Times New Roman" w:hAnsi="Times New Roman" w:cs="Times New Roman"/>
          <w:sz w:val="24"/>
          <w:szCs w:val="28"/>
        </w:rPr>
        <w:t>Supplementary Material</w:t>
      </w:r>
    </w:p>
    <w:p w14:paraId="59735E70" w14:textId="77777777" w:rsidR="00D2072D" w:rsidRDefault="00D2072D">
      <w:pPr>
        <w:widowControl/>
        <w:jc w:val="left"/>
        <w:rPr>
          <w:rFonts w:ascii="Times New Roman" w:hAnsi="Times New Roman" w:cs="Times New Roman"/>
          <w:sz w:val="24"/>
          <w:szCs w:val="28"/>
        </w:rPr>
      </w:pPr>
    </w:p>
    <w:p w14:paraId="71BF429E" w14:textId="77777777" w:rsidR="00D2072D" w:rsidRPr="00D2072D" w:rsidRDefault="00D2072D" w:rsidP="00D2072D">
      <w:pPr>
        <w:widowControl/>
        <w:jc w:val="left"/>
        <w:rPr>
          <w:rFonts w:ascii="Times New Roman" w:hAnsi="Times New Roman" w:cs="Times New Roman"/>
          <w:b/>
          <w:bCs/>
          <w:sz w:val="24"/>
          <w:szCs w:val="28"/>
        </w:rPr>
      </w:pPr>
      <w:bookmarkStart w:id="0" w:name="_Hlk140936955"/>
      <w:r w:rsidRPr="00D2072D">
        <w:rPr>
          <w:rFonts w:ascii="Times New Roman" w:hAnsi="Times New Roman" w:cs="Times New Roman"/>
          <w:b/>
          <w:bCs/>
          <w:sz w:val="24"/>
          <w:szCs w:val="28"/>
        </w:rPr>
        <w:t xml:space="preserve">Efficacy and safety of dacomitinib in treatment-naïve patients with advanced NSCLC harboring uncommon EGFR </w:t>
      </w:r>
      <w:r w:rsidRPr="00D2072D">
        <w:rPr>
          <w:rFonts w:ascii="Times New Roman" w:hAnsi="Times New Roman" w:cs="Times New Roman" w:hint="eastAsia"/>
          <w:b/>
          <w:bCs/>
          <w:sz w:val="24"/>
          <w:szCs w:val="28"/>
        </w:rPr>
        <w:t>mutation</w:t>
      </w:r>
      <w:r w:rsidRPr="00D2072D">
        <w:rPr>
          <w:rFonts w:ascii="Times New Roman" w:hAnsi="Times New Roman" w:cs="Times New Roman"/>
          <w:b/>
          <w:bCs/>
          <w:sz w:val="24"/>
          <w:szCs w:val="28"/>
        </w:rPr>
        <w:t xml:space="preserve">: an </w:t>
      </w:r>
      <w:proofErr w:type="spellStart"/>
      <w:r w:rsidRPr="00D2072D">
        <w:rPr>
          <w:rFonts w:ascii="Times New Roman" w:hAnsi="Times New Roman" w:cs="Times New Roman"/>
          <w:b/>
          <w:bCs/>
          <w:sz w:val="24"/>
          <w:szCs w:val="28"/>
        </w:rPr>
        <w:t>ambispective</w:t>
      </w:r>
      <w:proofErr w:type="spellEnd"/>
      <w:r w:rsidRPr="00D2072D">
        <w:rPr>
          <w:rFonts w:ascii="Times New Roman" w:hAnsi="Times New Roman" w:cs="Times New Roman"/>
          <w:b/>
          <w:bCs/>
          <w:sz w:val="24"/>
          <w:szCs w:val="28"/>
        </w:rPr>
        <w:t xml:space="preserve"> cohort study</w:t>
      </w:r>
    </w:p>
    <w:bookmarkEnd w:id="0"/>
    <w:p w14:paraId="669241B4" w14:textId="77777777" w:rsidR="00D2072D" w:rsidRDefault="00D2072D">
      <w:pPr>
        <w:widowControl/>
        <w:jc w:val="left"/>
        <w:rPr>
          <w:rFonts w:ascii="Times New Roman" w:hAnsi="Times New Roman" w:cs="Times New Roman"/>
          <w:sz w:val="24"/>
          <w:szCs w:val="28"/>
        </w:rPr>
      </w:pPr>
    </w:p>
    <w:p w14:paraId="252EABC4" w14:textId="77777777" w:rsidR="00D2072D" w:rsidRDefault="00D2072D">
      <w:pPr>
        <w:widowControl/>
        <w:jc w:val="left"/>
        <w:rPr>
          <w:rFonts w:ascii="Times New Roman" w:hAnsi="Times New Roman" w:cs="Times New Roman"/>
          <w:sz w:val="24"/>
          <w:szCs w:val="28"/>
        </w:rPr>
      </w:pPr>
    </w:p>
    <w:sdt>
      <w:sdtPr>
        <w:rPr>
          <w:lang w:val="zh-CN"/>
        </w:rPr>
        <w:id w:val="-3976610"/>
        <w:docPartObj>
          <w:docPartGallery w:val="Table of Contents"/>
          <w:docPartUnique/>
        </w:docPartObj>
      </w:sdtPr>
      <w:sdtEndPr>
        <w:rPr>
          <w:rFonts w:ascii="Times New Roman" w:eastAsiaTheme="minorEastAsia" w:hAnsi="Times New Roman" w:cs="Times New Roman"/>
          <w:color w:val="auto"/>
          <w:sz w:val="24"/>
          <w:szCs w:val="24"/>
        </w:rPr>
      </w:sdtEndPr>
      <w:sdtContent>
        <w:p w14:paraId="00C3A907" w14:textId="0F8568B3" w:rsidR="00D2072D" w:rsidRPr="00D2072D" w:rsidRDefault="00D2072D" w:rsidP="00D2072D">
          <w:pPr>
            <w:pStyle w:val="TOC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D2072D">
            <w:rPr>
              <w:rFonts w:ascii="Times New Roman" w:hAnsi="Times New Roman" w:cs="Times New Roman"/>
              <w:color w:val="auto"/>
              <w:sz w:val="24"/>
              <w:szCs w:val="24"/>
            </w:rPr>
            <w:t>Content</w:t>
          </w:r>
        </w:p>
        <w:p w14:paraId="418BD353" w14:textId="10F86DC5" w:rsidR="00D2072D" w:rsidRPr="00D2072D" w:rsidRDefault="00D2072D" w:rsidP="00D2072D">
          <w:pPr>
            <w:pStyle w:val="TOC1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 w:hint="eastAsia"/>
              <w:sz w:val="24"/>
              <w:szCs w:val="28"/>
            </w:rPr>
            <w:t>Figu</w:t>
          </w:r>
          <w:r>
            <w:rPr>
              <w:rFonts w:ascii="Times New Roman" w:hAnsi="Times New Roman"/>
              <w:sz w:val="24"/>
              <w:szCs w:val="28"/>
            </w:rPr>
            <w:t>re S1. (A) Progression-free survival and (B) overall survival of patients enrolled retrospectively or prospectively; progression-free survival of (C) patients started with different initial dose and (D) with or without experiencing dose reduction.</w:t>
          </w:r>
          <w:r>
            <w:rPr>
              <w:rFonts w:ascii="Times New Roman" w:hAnsi="Times New Roman"/>
              <w:sz w:val="24"/>
              <w:szCs w:val="28"/>
            </w:rPr>
            <w:t xml:space="preserve"> </w:t>
          </w:r>
          <w:r w:rsidRPr="00D2072D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>
            <w:rPr>
              <w:rFonts w:ascii="Times New Roman" w:hAnsi="Times New Roman"/>
              <w:b/>
              <w:bCs/>
              <w:sz w:val="24"/>
              <w:szCs w:val="24"/>
            </w:rPr>
            <w:t>2</w:t>
          </w:r>
        </w:p>
        <w:p w14:paraId="5499BCFE" w14:textId="0F495831" w:rsidR="00D2072D" w:rsidRPr="00D2072D" w:rsidRDefault="00D2072D" w:rsidP="00D2072D">
          <w:pPr>
            <w:pStyle w:val="TOC2"/>
            <w:ind w:left="216"/>
            <w:jc w:val="center"/>
            <w:rPr>
              <w:rFonts w:ascii="Times New Roman" w:hAnsi="Times New Roman"/>
              <w:sz w:val="24"/>
              <w:szCs w:val="24"/>
            </w:rPr>
          </w:pPr>
        </w:p>
      </w:sdtContent>
    </w:sdt>
    <w:p w14:paraId="012226A4" w14:textId="77777777" w:rsidR="00D2072D" w:rsidRPr="00D2072D" w:rsidRDefault="00D2072D">
      <w:pPr>
        <w:widowControl/>
        <w:jc w:val="left"/>
        <w:rPr>
          <w:rFonts w:ascii="Times New Roman" w:hAnsi="Times New Roman" w:cs="Times New Roman" w:hint="eastAsia"/>
          <w:sz w:val="24"/>
          <w:szCs w:val="28"/>
        </w:rPr>
      </w:pPr>
    </w:p>
    <w:p w14:paraId="5C82B6BB" w14:textId="33A80EB9" w:rsidR="00D2072D" w:rsidRDefault="00D2072D" w:rsidP="00D2072D">
      <w:pPr>
        <w:widowControl/>
        <w:jc w:val="left"/>
        <w:rPr>
          <w:rFonts w:ascii="Times New Roman" w:hAnsi="Times New Roman" w:cs="Times New Roman" w:hint="eastAsia"/>
          <w:sz w:val="24"/>
          <w:szCs w:val="28"/>
        </w:rPr>
      </w:pPr>
    </w:p>
    <w:p w14:paraId="39225161" w14:textId="77777777" w:rsidR="00D2072D" w:rsidRDefault="00D2072D">
      <w:pPr>
        <w:rPr>
          <w:rFonts w:ascii="Times New Roman" w:hAnsi="Times New Roman" w:cs="Times New Roman"/>
          <w:sz w:val="24"/>
          <w:szCs w:val="28"/>
        </w:rPr>
      </w:pPr>
    </w:p>
    <w:p w14:paraId="66F5F308" w14:textId="1E604E80" w:rsidR="00D2072D" w:rsidRDefault="00D2072D">
      <w:pPr>
        <w:widowControl/>
        <w:jc w:val="lef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6FB04217" w14:textId="41B173D3" w:rsidR="00D2072D" w:rsidRDefault="00D2072D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 w:hint="eastAsia"/>
          <w:sz w:val="24"/>
          <w:szCs w:val="28"/>
        </w:rPr>
        <w:lastRenderedPageBreak/>
        <w:t>Figu</w:t>
      </w:r>
      <w:r>
        <w:rPr>
          <w:rFonts w:ascii="Times New Roman" w:hAnsi="Times New Roman" w:cs="Times New Roman"/>
          <w:sz w:val="24"/>
          <w:szCs w:val="28"/>
        </w:rPr>
        <w:t xml:space="preserve">re S1. (A) Progression-free survival and (B) overall survival of patients enrolled retrospectively or prospectively; progression-free survival of (C) patients started with different initial dose and (D) </w:t>
      </w:r>
      <w:bookmarkStart w:id="1" w:name="_Hlk145879511"/>
      <w:r>
        <w:rPr>
          <w:rFonts w:ascii="Times New Roman" w:hAnsi="Times New Roman" w:cs="Times New Roman"/>
          <w:sz w:val="24"/>
          <w:szCs w:val="28"/>
        </w:rPr>
        <w:t>with or without experiencing dose reduction</w:t>
      </w:r>
      <w:bookmarkEnd w:id="1"/>
      <w:r>
        <w:rPr>
          <w:rFonts w:ascii="Times New Roman" w:hAnsi="Times New Roman" w:cs="Times New Roman"/>
          <w:sz w:val="24"/>
          <w:szCs w:val="28"/>
        </w:rPr>
        <w:t>.</w:t>
      </w:r>
    </w:p>
    <w:p w14:paraId="3E35508F" w14:textId="188DA404" w:rsidR="00D2072D" w:rsidRPr="00D2072D" w:rsidRDefault="00D2072D">
      <w:pPr>
        <w:rPr>
          <w:rFonts w:ascii="Times New Roman" w:hAnsi="Times New Roman" w:cs="Times New Roman" w:hint="eastAsia"/>
          <w:sz w:val="24"/>
          <w:szCs w:val="28"/>
        </w:rPr>
      </w:pPr>
      <w:r>
        <w:rPr>
          <w:rFonts w:ascii="Times New Roman" w:hAnsi="Times New Roman" w:cs="Times New Roman" w:hint="eastAsia"/>
          <w:noProof/>
          <w:sz w:val="24"/>
          <w:szCs w:val="28"/>
        </w:rPr>
        <w:drawing>
          <wp:anchor distT="0" distB="0" distL="114300" distR="114300" simplePos="0" relativeHeight="251658240" behindDoc="1" locked="0" layoutInCell="1" allowOverlap="1" wp14:anchorId="7881CB59" wp14:editId="74F3A837">
            <wp:simplePos x="0" y="0"/>
            <wp:positionH relativeFrom="margin">
              <wp:align>center</wp:align>
            </wp:positionH>
            <wp:positionV relativeFrom="paragraph">
              <wp:posOffset>205740</wp:posOffset>
            </wp:positionV>
            <wp:extent cx="6012180" cy="4406265"/>
            <wp:effectExtent l="0" t="0" r="7620" b="0"/>
            <wp:wrapTight wrapText="bothSides">
              <wp:wrapPolygon edited="0">
                <wp:start x="0" y="0"/>
                <wp:lineTo x="0" y="21479"/>
                <wp:lineTo x="21559" y="21479"/>
                <wp:lineTo x="21559" y="0"/>
                <wp:lineTo x="0" y="0"/>
              </wp:wrapPolygon>
            </wp:wrapTight>
            <wp:docPr id="7566915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440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072D" w:rsidRPr="00D2072D" w:rsidSect="00D2072D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2467F" w14:textId="77777777" w:rsidR="00C82FA5" w:rsidRDefault="00C82FA5" w:rsidP="00D2072D">
      <w:r>
        <w:separator/>
      </w:r>
    </w:p>
  </w:endnote>
  <w:endnote w:type="continuationSeparator" w:id="0">
    <w:p w14:paraId="63E46751" w14:textId="77777777" w:rsidR="00C82FA5" w:rsidRDefault="00C82FA5" w:rsidP="00D20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1866349"/>
      <w:docPartObj>
        <w:docPartGallery w:val="Page Numbers (Bottom of Page)"/>
        <w:docPartUnique/>
      </w:docPartObj>
    </w:sdtPr>
    <w:sdtContent>
      <w:p w14:paraId="2DD520FD" w14:textId="3AFE28DD" w:rsidR="00D2072D" w:rsidRDefault="00D2072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6389E0D5" w14:textId="77777777" w:rsidR="00D2072D" w:rsidRDefault="00D2072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A3D07" w14:textId="77777777" w:rsidR="00C82FA5" w:rsidRDefault="00C82FA5" w:rsidP="00D2072D">
      <w:r>
        <w:separator/>
      </w:r>
    </w:p>
  </w:footnote>
  <w:footnote w:type="continuationSeparator" w:id="0">
    <w:p w14:paraId="41EE9D54" w14:textId="77777777" w:rsidR="00C82FA5" w:rsidRDefault="00C82FA5" w:rsidP="00D207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275"/>
    <w:rsid w:val="00285E33"/>
    <w:rsid w:val="003D6F2F"/>
    <w:rsid w:val="004929ED"/>
    <w:rsid w:val="008B03B1"/>
    <w:rsid w:val="00C82FA5"/>
    <w:rsid w:val="00CF02BC"/>
    <w:rsid w:val="00D10D47"/>
    <w:rsid w:val="00D2072D"/>
    <w:rsid w:val="00D41275"/>
    <w:rsid w:val="00D55E5E"/>
    <w:rsid w:val="00F6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B55D9C"/>
  <w15:chartTrackingRefBased/>
  <w15:docId w15:val="{BF9705D8-4FCA-4747-B3A5-63C8E5C0F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2072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072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2072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207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2072D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D2072D"/>
    <w:rPr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D2072D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2">
    <w:name w:val="toc 2"/>
    <w:basedOn w:val="a"/>
    <w:next w:val="a"/>
    <w:autoRedefine/>
    <w:uiPriority w:val="39"/>
    <w:unhideWhenUsed/>
    <w:rsid w:val="00D2072D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TOC1">
    <w:name w:val="toc 1"/>
    <w:basedOn w:val="a"/>
    <w:next w:val="a"/>
    <w:autoRedefine/>
    <w:uiPriority w:val="39"/>
    <w:unhideWhenUsed/>
    <w:rsid w:val="00D2072D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TOC3">
    <w:name w:val="toc 3"/>
    <w:basedOn w:val="a"/>
    <w:next w:val="a"/>
    <w:autoRedefine/>
    <w:uiPriority w:val="39"/>
    <w:unhideWhenUsed/>
    <w:rsid w:val="00D2072D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22BAE-1B8A-4C21-9850-4B811A637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 Yu</dc:creator>
  <cp:keywords/>
  <dc:description/>
  <cp:lastModifiedBy>Zhou Yu</cp:lastModifiedBy>
  <cp:revision>2</cp:revision>
  <dcterms:created xsi:type="dcterms:W3CDTF">2023-09-17T13:32:00Z</dcterms:created>
  <dcterms:modified xsi:type="dcterms:W3CDTF">2023-09-17T13:49:00Z</dcterms:modified>
</cp:coreProperties>
</file>