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margin" w:tblpY="426"/>
        <w:tblOverlap w:val="never"/>
        <w:tblW w:w="13181" w:type="dxa"/>
        <w:tblInd w:w="0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2392"/>
        <w:gridCol w:w="993"/>
        <w:gridCol w:w="1701"/>
        <w:gridCol w:w="2268"/>
        <w:gridCol w:w="850"/>
        <w:gridCol w:w="850"/>
        <w:gridCol w:w="850"/>
        <w:gridCol w:w="850"/>
        <w:gridCol w:w="850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558" w:hRule="atLeast"/>
        </w:trPr>
        <w:tc>
          <w:tcPr>
            <w:tcW w:w="1577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 w:val="0"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2392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rFonts w:cs="Arial"/>
                <w:b/>
                <w:bCs w:val="0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 w:val="0"/>
                <w:bCs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Univariate Analysis, </w:t>
            </w:r>
          </w:p>
          <w:p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 w:val="0"/>
                <w:bCs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993" w:type="dxa"/>
            <w:tcBorders>
              <w:bottom w:val="single" w:color="000000" w:themeColor="text1" w:sz="4" w:space="0"/>
              <w:right w:val="single" w:color="auto" w:sz="4" w:space="0"/>
              <w:insideH w:val="single" w:sz="4" w:space="0"/>
            </w:tcBorders>
          </w:tcPr>
          <w:p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 w:val="0"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2268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Univariate Analysis, </w:t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850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00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Age, y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PT, s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＜65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＜10.5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65-74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3.05  (1.01-9.21)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.048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10.5-13.5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0.81 (0.24-2.74)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0.741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≥75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17.75 (5.71-55.21)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＞13.5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3.22 (0.33-31.67)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0.316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Stage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APTT, s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I, II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≤37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III, IV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4.35 (1.86-10.15)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＞37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1.18 (0.28-5.05)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0.820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Grade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PTA, %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1, 2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＜80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92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4.38 (2.00-9.61)</w:t>
            </w:r>
          </w:p>
        </w:tc>
        <w:tc>
          <w:tcPr>
            <w:tcW w:w="993" w:type="dxa"/>
            <w:tcBorders>
              <w:bottom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1701" w:type="dxa"/>
            <w:tcBorders>
              <w:left w:val="single" w:color="auto" w:sz="4" w:space="0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80-160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43599.95 (0.00-1.04E223)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0.967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Histopathological subtype</w:t>
            </w:r>
          </w:p>
        </w:tc>
        <w:tc>
          <w:tcPr>
            <w:tcW w:w="1701" w:type="dxa"/>
            <w:tcBorders>
              <w:left w:val="single" w:color="auto" w:sz="4" w:space="0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＞160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356750.04 (0.00-8.61E223)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0.960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Endometrioid</w:t>
            </w:r>
          </w:p>
        </w:tc>
        <w:tc>
          <w:tcPr>
            <w:tcW w:w="2392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top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single" w:color="auto" w:sz="4" w:space="0"/>
            </w:tcBorders>
          </w:tcPr>
          <w:p>
            <w:pPr>
              <w:tabs>
                <w:tab w:val="left" w:pos="637"/>
              </w:tabs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D-dimer, ug/L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2392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4.04 (1.50-10.91)</w:t>
            </w:r>
          </w:p>
        </w:tc>
        <w:tc>
          <w:tcPr>
            <w:tcW w:w="993" w:type="dxa"/>
            <w:tcBorders>
              <w:bottom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.006</w:t>
            </w:r>
          </w:p>
        </w:tc>
        <w:tc>
          <w:tcPr>
            <w:tcW w:w="1701" w:type="dxa"/>
            <w:tcBorders>
              <w:left w:val="single" w:color="auto" w:sz="4" w:space="0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≤252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Lymph node metastasis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＞252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2.15 (0.85-5.42)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0.105</w:t>
            </w: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Absent</w:t>
            </w:r>
          </w:p>
        </w:tc>
        <w:tc>
          <w:tcPr>
            <w:tcW w:w="2392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top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Fibrinogen, g/L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Present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8.61 (3.20-23.18)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＜3.1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NLR</w:t>
            </w:r>
          </w:p>
        </w:tc>
        <w:tc>
          <w:tcPr>
            <w:tcW w:w="1701" w:type="dxa"/>
            <w:tcBorders>
              <w:left w:val="single" w:color="auto" w:sz="4" w:space="0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≥3.1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4.87 (2.02-11.78)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＜2.05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Total cholesterol, mmol/L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≥2.05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2.31 (1.03-5.14)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0.04</w:t>
            </w: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＜3.36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PLR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3.36-5.69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23995.97 (0.00-5.50E107)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0.934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＜126.84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＞5.69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27468.86 (0.00-6.30E107)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0.933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≥126.84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2.32 (1.01-5.33)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0.047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Triglycerides/HDL-C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MLR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＜1.08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＜0.22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≥1.08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2.30 (1.04-5.10)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.040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≥0.22</w:t>
            </w:r>
          </w:p>
        </w:tc>
        <w:tc>
          <w:tcPr>
            <w:tcW w:w="2392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2.52 (1.14-5.57)</w:t>
            </w:r>
          </w:p>
        </w:tc>
        <w:tc>
          <w:tcPr>
            <w:tcW w:w="993" w:type="dxa"/>
            <w:tcBorders>
              <w:bottom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.023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Albumin, g/L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Peripheral blood eosinophils percentage , %</w:t>
            </w:r>
          </w:p>
        </w:tc>
        <w:tc>
          <w:tcPr>
            <w:tcW w:w="1701" w:type="dxa"/>
            <w:tcBorders>
              <w:left w:val="single" w:color="auto" w:sz="4" w:space="0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≥42.45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＜0.7</w:t>
            </w:r>
          </w:p>
        </w:tc>
        <w:tc>
          <w:tcPr>
            <w:tcW w:w="2392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top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＜42.45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2.38 (1.08-5.25)</w:t>
            </w:r>
          </w:p>
        </w:tc>
        <w:tc>
          <w:tcPr>
            <w:tcW w:w="850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.032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≥0.7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3.44 (0.46-25.47)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0.227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AST, U/L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Hemoglobin, g/L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≤34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＜110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＞34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0.56 (0.07-4.13)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0.566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≥110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3.03 (0.40-22.68)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0.280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ALT, U/L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RDW, %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≤40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＜12.91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＞40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0.95 (0.22-4.05)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.946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≥12.91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32 (1.02-5.27)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0.044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ALP, U/L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Platelet count, 10^9/L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≤150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＜135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＞150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0.05 (0.00-24697998.16)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.768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135-350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 xml:space="preserve">62039.87 </w:t>
            </w:r>
            <w:r>
              <w:rPr>
                <w:rFonts w:cs="Arial"/>
                <w:color w:val="000000" w:themeColor="text1"/>
                <w:kern w:val="0"/>
                <w:sz w:val="13"/>
                <w:szCs w:val="13"/>
                <w:lang w:bidi="ar"/>
                <w14:textFill>
                  <w14:solidFill>
                    <w14:schemeClr w14:val="tx1"/>
                  </w14:solidFill>
                </w14:textFill>
              </w:rPr>
              <w:t>(0.00-7.98E274)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 xml:space="preserve">0.972 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Creatinine, umol/L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＞350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83691.98 (0.00-1.08E275)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0.972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≤84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PDW, %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2.26 (0.30-16.86)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.425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＜11.5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gridSpan w:val="3"/>
            <w:tcBorders>
              <w:left w:val="single" w:color="auto" w:sz="4" w:space="0"/>
              <w:bottom w:val="nil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Uric acid, umol/L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11.5-16.5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7119.71 (0.00-9.19E85)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0.927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≤420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＞16.5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12356.11 (0.00-1.60E86)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0.922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＞420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2.27 (0.67-7.67)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.186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Blood type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3.20 (1.17-8.76)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.023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000000" w:themeColor="text1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jc w:val="left"/>
        <w:textAlignment w:val="center"/>
        <w:rPr>
          <w:rFonts w:cs="Arial"/>
          <w:bCs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Table </w:t>
      </w:r>
      <w:r>
        <w:rPr>
          <w:rFonts w:hint="eastAsia" w:cs="Arial"/>
          <w:b/>
          <w:sz w:val="20"/>
          <w:szCs w:val="20"/>
          <w:lang w:val="en-US" w:eastAsia="zh-CN"/>
        </w:rPr>
        <w:t>S5</w:t>
      </w:r>
      <w:bookmarkStart w:id="0" w:name="_GoBack"/>
      <w:bookmarkEnd w:id="0"/>
      <w:r>
        <w:rPr>
          <w:rFonts w:cs="Arial"/>
          <w:b/>
          <w:sz w:val="20"/>
          <w:szCs w:val="20"/>
        </w:rPr>
        <w:t xml:space="preserve"> </w:t>
      </w:r>
      <w:r>
        <w:rPr>
          <w:rFonts w:hint="eastAsia" w:cs="Arial"/>
          <w:bCs/>
          <w:sz w:val="20"/>
          <w:szCs w:val="20"/>
        </w:rPr>
        <w:t>Overall survival of the routine laboratory biomarkers with other clinicopathological variables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4NzIyN2MxYTlmMzQ1NGE2MjU5NWRkMjhlOGMxYTAifQ=="/>
  </w:docVars>
  <w:rsids>
    <w:rsidRoot w:val="00364B56"/>
    <w:rsid w:val="000158F2"/>
    <w:rsid w:val="000242F5"/>
    <w:rsid w:val="000B7F6F"/>
    <w:rsid w:val="001535BB"/>
    <w:rsid w:val="00170673"/>
    <w:rsid w:val="001710A5"/>
    <w:rsid w:val="00227116"/>
    <w:rsid w:val="00246620"/>
    <w:rsid w:val="00364B56"/>
    <w:rsid w:val="003740C7"/>
    <w:rsid w:val="00376CCC"/>
    <w:rsid w:val="00392C1A"/>
    <w:rsid w:val="003D5E5A"/>
    <w:rsid w:val="00426C37"/>
    <w:rsid w:val="004B020F"/>
    <w:rsid w:val="005726F1"/>
    <w:rsid w:val="00572BEE"/>
    <w:rsid w:val="00611F76"/>
    <w:rsid w:val="006E7044"/>
    <w:rsid w:val="0073664D"/>
    <w:rsid w:val="007D4F77"/>
    <w:rsid w:val="009429A5"/>
    <w:rsid w:val="00A0415F"/>
    <w:rsid w:val="00A553C2"/>
    <w:rsid w:val="00A57AB4"/>
    <w:rsid w:val="00AE1993"/>
    <w:rsid w:val="00AF62AE"/>
    <w:rsid w:val="00B23FEB"/>
    <w:rsid w:val="00B755CE"/>
    <w:rsid w:val="00CB358D"/>
    <w:rsid w:val="00E12FA3"/>
    <w:rsid w:val="00E81E3C"/>
    <w:rsid w:val="39437A0B"/>
    <w:rsid w:val="444950C1"/>
    <w:rsid w:val="4ECD45CE"/>
    <w:rsid w:val="5730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宋体" w:cstheme="minorBidi"/>
      <w:color w:val="000000"/>
      <w:kern w:val="36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List Table 3 Accent 1"/>
    <w:basedOn w:val="5"/>
    <w:qFormat/>
    <w:uiPriority w:val="48"/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1" w:sz="4" w:space="0"/>
          <w:left w:val="nil"/>
        </w:tcBorders>
      </w:tcPr>
    </w:tblStylePr>
    <w:tblStylePr w:type="swCell">
      <w:tcPr>
        <w:tcBorders>
          <w:top w:val="double" w:color="4472C4" w:themeColor="accent1" w:sz="4" w:space="0"/>
          <w:right w:val="nil"/>
        </w:tcBorders>
      </w:tcPr>
    </w:tblStylePr>
  </w:style>
  <w:style w:type="table" w:customStyle="1" w:styleId="9">
    <w:name w:val="List Table 4 Accent 1"/>
    <w:basedOn w:val="5"/>
    <w:qFormat/>
    <w:uiPriority w:val="49"/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10">
    <w:name w:val="List Table 6 Colorful"/>
    <w:basedOn w:val="5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1">
    <w:name w:val="Plain Table 2"/>
    <w:basedOn w:val="5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12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4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1699</Characters>
  <Lines>14</Lines>
  <Paragraphs>3</Paragraphs>
  <TotalTime>0</TotalTime>
  <ScaleCrop>false</ScaleCrop>
  <LinksUpToDate>false</LinksUpToDate>
  <CharactersWithSpaces>1994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2020-07-21T07:27:00Z</dcterms:created>
  <dc:creator>2446928288@qq.com</dc:creator>
  <cp:lastModifiedBy>1</cp:lastModifiedBy>
  <dcterms:modified xsi:type="dcterms:W3CDTF">2022-12-02T09:41:30Z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D9E4029FEF8A4EA79B8822CD90179A22</vt:lpwstr>
  </property>
</Properties>
</file>