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>file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 xml:space="preserve"> 2: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>he details of radiotherapy and chemotherapy</w:t>
      </w:r>
      <w:bookmarkStart w:id="1" w:name="_GoBack"/>
      <w:bookmarkEnd w:id="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All patients received IMRT with the daily fraction raging from 2.12-2.24 Gy, 5 days a week for 6-8 weeks. The total prescribed doses were 70-74 Gy to the primary tumor volume of the nasopharynx (GTVnx), 66-70 Gy to the the positive neck lymph node tumor volume (GTVnd), 60-62 Gy to the high-risk clinical target volume 1 (CTV1)，and 50-56 Gy to the low-risk clinical target volume 2 (CTV2).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Concurrent chemotherapy (1-2 cycles) included cisplatin monotherapy regimen (cisplatin 25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/d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on days 1-3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) and TP regimen (paclitaxel 135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/d or docetaxel 60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/d,day 1;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cisplatin 25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/d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on days 1-3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). Induction chemotherapy</w:t>
      </w:r>
      <w:bookmarkStart w:id="0" w:name="OLE_LINK13"/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(1-2 cycles)</w:t>
      </w:r>
      <w:bookmarkEnd w:id="0"/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or adjuvant chemotherapy  (1-4 cycles) was performed with TP (paclitaxel 135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/d or docetaxel 60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/d,day 1;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cisplatin 25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/d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on days 1-3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) or TPF (paclitaxel 135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/d or docetaxel 60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/d,day 1;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cisplatin 25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/d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on days 1-3; 5-fluorouracil 600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/d on days 1-5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), or PF (cisplatin 25 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/d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on days 1-3; 5-fluorouracil 600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mg/m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/d on days 1-5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). All of the chemotherapy regimens were performed in every 21 days as a cycle.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B17DF7"/>
    <w:rsid w:val="2EB1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2023-06-11T11:53:00Z</dcterms:created>
  <dc:creator>LeeSSang_。</dc:creator>
  <cp:lastModifiedBy>LeeSSang_。</cp:lastModifiedBy>
  <dcterms:modified xsi:type="dcterms:W3CDTF">2023-06-11T11:55:06Z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BD94D84E75E94EE898727F71CF7CED5D</vt:lpwstr>
  </property>
</Properties>
</file>