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8DD22" w14:textId="7D3DF5F0" w:rsidR="00FB311C" w:rsidRPr="00F400D1" w:rsidRDefault="00FB311C" w:rsidP="00FB311C">
      <w:pPr>
        <w:rPr>
          <w:rFonts w:ascii="Calibri" w:hAnsi="Calibri" w:cs="Calibri"/>
          <w:sz w:val="24"/>
          <w:szCs w:val="24"/>
        </w:rPr>
      </w:pPr>
      <w:r w:rsidRPr="00867D70">
        <w:rPr>
          <w:rFonts w:ascii="Calibri" w:hAnsi="Calibri" w:cs="Calibri"/>
          <w:noProof/>
        </w:rPr>
        <w:drawing>
          <wp:inline distT="0" distB="0" distL="0" distR="0" wp14:anchorId="33A8ADEC" wp14:editId="7D165044">
            <wp:extent cx="5264150" cy="2051050"/>
            <wp:effectExtent l="0" t="0" r="0" b="6350"/>
            <wp:docPr id="12173489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205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00D1">
        <w:rPr>
          <w:rFonts w:ascii="Calibri" w:hAnsi="Calibri" w:cs="Calibri"/>
          <w:sz w:val="24"/>
          <w:szCs w:val="24"/>
        </w:rPr>
        <w:t xml:space="preserve">Figure S1. The negative control </w:t>
      </w:r>
      <w:r w:rsidR="00224480" w:rsidRPr="00F400D1">
        <w:rPr>
          <w:rFonts w:ascii="Calibri" w:hAnsi="Calibri" w:cs="Calibri"/>
          <w:sz w:val="24"/>
          <w:szCs w:val="24"/>
        </w:rPr>
        <w:t>of</w:t>
      </w:r>
      <w:r w:rsidRPr="00F400D1">
        <w:rPr>
          <w:rFonts w:ascii="Calibri" w:hAnsi="Calibri" w:cs="Calibri"/>
          <w:sz w:val="24"/>
          <w:szCs w:val="24"/>
        </w:rPr>
        <w:t xml:space="preserve"> dual-labeled immunofluorescence technology. </w:t>
      </w:r>
    </w:p>
    <w:p w14:paraId="73AB6060" w14:textId="4D10EF8C" w:rsidR="006D2242" w:rsidRPr="00F400D1" w:rsidRDefault="00FB311C" w:rsidP="00FB311C">
      <w:pPr>
        <w:rPr>
          <w:rFonts w:ascii="Calibri" w:hAnsi="Calibri" w:cs="Calibri"/>
          <w:sz w:val="24"/>
          <w:szCs w:val="24"/>
        </w:rPr>
      </w:pPr>
      <w:r w:rsidRPr="00F400D1">
        <w:rPr>
          <w:rFonts w:ascii="Calibri" w:hAnsi="Calibri" w:cs="Calibri"/>
          <w:sz w:val="24"/>
          <w:szCs w:val="24"/>
        </w:rPr>
        <w:t>The primary antibody (TMEFF1 and ST14) was replaced with rabbit or mouse IgG as a negative control. Blue represents the nucleus, red represents rabbit, green represents mouse (original magnification, ×600, ×400).</w:t>
      </w:r>
    </w:p>
    <w:sectPr w:rsidR="006D2242" w:rsidRPr="00F400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4D8C1" w14:textId="77777777" w:rsidR="007B2A80" w:rsidRDefault="007B2A80" w:rsidP="00FB311C">
      <w:r>
        <w:separator/>
      </w:r>
    </w:p>
  </w:endnote>
  <w:endnote w:type="continuationSeparator" w:id="0">
    <w:p w14:paraId="4F0C47F3" w14:textId="77777777" w:rsidR="007B2A80" w:rsidRDefault="007B2A80" w:rsidP="00FB3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DB8A4" w14:textId="77777777" w:rsidR="007B2A80" w:rsidRDefault="007B2A80" w:rsidP="00FB311C">
      <w:r>
        <w:separator/>
      </w:r>
    </w:p>
  </w:footnote>
  <w:footnote w:type="continuationSeparator" w:id="0">
    <w:p w14:paraId="1DE44DF2" w14:textId="77777777" w:rsidR="007B2A80" w:rsidRDefault="007B2A80" w:rsidP="00FB31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C5E"/>
    <w:rsid w:val="00224480"/>
    <w:rsid w:val="006D2242"/>
    <w:rsid w:val="007B2A80"/>
    <w:rsid w:val="00867D70"/>
    <w:rsid w:val="009D7C5E"/>
    <w:rsid w:val="00B2099F"/>
    <w:rsid w:val="00F1451B"/>
    <w:rsid w:val="00F400D1"/>
    <w:rsid w:val="00FB3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14044B"/>
  <w15:chartTrackingRefBased/>
  <w15:docId w15:val="{4A694E60-9E3F-42CD-8D24-032E7CC5B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311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B311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B31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B31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 xin</dc:creator>
  <cp:keywords/>
  <dc:description/>
  <cp:lastModifiedBy>nie xin</cp:lastModifiedBy>
  <cp:revision>7</cp:revision>
  <dcterms:created xsi:type="dcterms:W3CDTF">2023-06-30T11:36:00Z</dcterms:created>
  <dcterms:modified xsi:type="dcterms:W3CDTF">2023-06-30T12:37:00Z</dcterms:modified>
</cp:coreProperties>
</file>