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/>
        <w:jc w:val="both"/>
        <w:rPr>
          <w:rFonts w:hint="default" w:ascii="Arial" w:hAnsi="Arial" w:eastAsia="宋体" w:cs="Arial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  <w:t>Supplementary material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1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a</w:t>
      </w:r>
    </w:p>
    <w:p>
      <w:pPr>
        <w:widowControl w:val="0"/>
        <w:adjustRightInd/>
        <w:snapToGrid/>
        <w:spacing w:after="0"/>
        <w:jc w:val="center"/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eastAsia="zh-CN"/>
        </w:rPr>
      </w:pPr>
    </w:p>
    <w:p>
      <w:pPr>
        <w:widowControl w:val="0"/>
        <w:adjustRightInd/>
        <w:snapToGrid/>
        <w:spacing w:after="0"/>
        <w:jc w:val="center"/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eastAsia="zh-CN"/>
        </w:rPr>
        <w:drawing>
          <wp:inline distT="0" distB="0" distL="114300" distR="114300">
            <wp:extent cx="6479540" cy="4370705"/>
            <wp:effectExtent l="0" t="0" r="10160" b="10795"/>
            <wp:docPr id="4" name="图片 4" descr="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olor w:val="000000"/>
          <w:kern w:val="2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eastAsia="STIX-Regular" w:cs="Times New Roman"/>
          <w:b w:val="0"/>
          <w:bCs w:val="0"/>
          <w:i w:val="0"/>
          <w:color w:val="000000"/>
          <w:kern w:val="2"/>
          <w:sz w:val="24"/>
          <w:szCs w:val="24"/>
        </w:rPr>
        <w:t>low chart of the disposition process of HCC patients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olor w:val="000000"/>
          <w:kern w:val="2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  <w:t xml:space="preserve"> </w:t>
      </w: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宋体" w:cs="Arial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  <w:t>Supplementary material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1b</w:t>
      </w:r>
    </w:p>
    <w:p>
      <w:pPr>
        <w:spacing w:after="0" w:line="360" w:lineRule="auto"/>
        <w:jc w:val="center"/>
        <w:rPr>
          <w:rFonts w:hint="eastAsia" w:ascii="Times New Roman" w:hAnsi="Times New Roman" w:eastAsia="微软雅黑" w:cs="Times New Roman"/>
          <w:sz w:val="24"/>
          <w:szCs w:val="24"/>
          <w:lang w:eastAsia="zh-CN"/>
        </w:rPr>
      </w:pPr>
    </w:p>
    <w:p>
      <w:pPr>
        <w:spacing w:after="0" w:line="360" w:lineRule="auto"/>
        <w:jc w:val="center"/>
        <w:rPr>
          <w:rFonts w:hint="eastAsia" w:ascii="Times New Roman" w:hAnsi="Times New Roman" w:eastAsia="微软雅黑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微软雅黑" w:cs="Times New Roman"/>
          <w:sz w:val="24"/>
          <w:szCs w:val="24"/>
          <w:lang w:eastAsia="zh-CN"/>
        </w:rPr>
        <w:drawing>
          <wp:inline distT="0" distB="0" distL="114300" distR="114300">
            <wp:extent cx="6480175" cy="4511040"/>
            <wp:effectExtent l="0" t="0" r="9525" b="10160"/>
            <wp:docPr id="1" name="图片 1" descr="S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2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jc w:val="both"/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Kaplan-Meier analyses of progression-free survival (PFS) and overall survival (OS) according to different PD-1 inhibitors in the patients receiving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HAIC-LEN-PD1 and LEN-PD1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.The median PFS (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</w:rPr>
        <w:t>a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) of the camrelizumba, tisleizumab and sintilimab was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9.1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 months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(95%CI 7.5–10.7) , 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</w:rPr>
        <w:t xml:space="preserve">9.9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months (95%CI 7.9–11.8), and 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</w:rPr>
        <w:t xml:space="preserve">7.7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months (95%CI 3.4–12.1)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in HAIC-LEN-PD1,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respectively (</w:t>
      </w:r>
      <w:r>
        <w:rPr>
          <w:rFonts w:hint="default" w:ascii="Arial" w:hAnsi="Arial" w:eastAsia="宋体" w:cs="Arial"/>
          <w:i/>
          <w:iCs/>
          <w:color w:val="000000"/>
          <w:kern w:val="2"/>
          <w:sz w:val="24"/>
          <w:szCs w:val="24"/>
        </w:rPr>
        <w:t>p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=0.802)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.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The median PFS (</w:t>
      </w:r>
      <w:r>
        <w:rPr>
          <w:rFonts w:hint="default" w:ascii="Arial" w:hAnsi="Arial" w:eastAsia="宋体" w:cs="Arial"/>
          <w:b/>
          <w:bCs/>
          <w:color w:val="000000"/>
          <w:kern w:val="2"/>
          <w:sz w:val="24"/>
          <w:szCs w:val="24"/>
          <w:lang w:val="en-US" w:eastAsia="zh-CN"/>
        </w:rPr>
        <w:t>b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) of the camrelizumba, tisleizumab and sintilimab was 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/>
        </w:rPr>
        <w:t>4.5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</w:rPr>
        <w:t xml:space="preserve">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months (95%CI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3.2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–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5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.8), and 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/>
        </w:rPr>
        <w:t>4.8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</w:rPr>
        <w:t xml:space="preserve">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months (95%CI 3.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8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–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5.8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)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, 6.9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months (95%CI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3.4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–10.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3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)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in LEN-PD1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,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respectively (</w:t>
      </w:r>
      <w:r>
        <w:rPr>
          <w:rFonts w:hint="default" w:ascii="Arial" w:hAnsi="Arial" w:eastAsia="宋体" w:cs="Arial"/>
          <w:i/>
          <w:iCs/>
          <w:color w:val="000000"/>
          <w:kern w:val="2"/>
          <w:sz w:val="24"/>
          <w:szCs w:val="24"/>
        </w:rPr>
        <w:t>p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=0.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544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)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.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The median OS (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c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) of the camrelizumba, tisleizumab and sintilimab was </w:t>
      </w:r>
      <w:r>
        <w:rPr>
          <w:rFonts w:hint="eastAsia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21.7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months (95%CI 12.0–31.3) , 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</w:rPr>
        <w:t xml:space="preserve">15.3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months (95%CI 11.7–18.8), and NE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in HAIC-LEN-PD1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, respectively (</w:t>
      </w:r>
      <w:r>
        <w:rPr>
          <w:rFonts w:hint="default" w:ascii="Arial" w:hAnsi="Arial" w:eastAsia="宋体" w:cs="Arial"/>
          <w:i/>
          <w:iCs/>
          <w:color w:val="000000"/>
          <w:kern w:val="2"/>
          <w:sz w:val="24"/>
          <w:szCs w:val="24"/>
        </w:rPr>
        <w:t>p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=0.641)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.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The median OS (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d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) of the camrelizumba, tisleizumab and sintilimab was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7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.7 months (95%CI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5.25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–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10.28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) , 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/>
        </w:rPr>
        <w:t>10.1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</w:rPr>
        <w:t xml:space="preserve">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months (95%CI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4.5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–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15.8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), and 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  <w:lang w:val="en-US" w:eastAsia="zh-CN"/>
        </w:rPr>
        <w:t>18.4</w:t>
      </w:r>
      <w:r>
        <w:rPr>
          <w:rFonts w:hint="default" w:ascii="Arial" w:hAnsi="Arial" w:eastAsia="宋体" w:cs="Arial"/>
          <w:color w:val="000000"/>
          <w:kern w:val="0"/>
          <w:sz w:val="24"/>
          <w:szCs w:val="24"/>
        </w:rPr>
        <w:t xml:space="preserve"> 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months (95%CI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0.1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–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36.6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)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 xml:space="preserve"> in LEN-PD1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, respectively (</w:t>
      </w:r>
      <w:r>
        <w:rPr>
          <w:rFonts w:hint="default" w:ascii="Arial" w:hAnsi="Arial" w:eastAsia="宋体" w:cs="Arial"/>
          <w:i/>
          <w:iCs/>
          <w:color w:val="000000"/>
          <w:kern w:val="2"/>
          <w:sz w:val="24"/>
          <w:szCs w:val="24"/>
        </w:rPr>
        <w:t>p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>=0.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292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</w:rPr>
        <w:t xml:space="preserve">). NE; </w:t>
      </w:r>
      <w:r>
        <w:rPr>
          <w:rFonts w:hint="default" w:ascii="Arial" w:hAnsi="Arial" w:eastAsia="STIX-Regular" w:cs="Arial"/>
          <w:color w:val="000000"/>
          <w:kern w:val="2"/>
          <w:sz w:val="24"/>
          <w:szCs w:val="24"/>
        </w:rPr>
        <w:t>not estimable</w:t>
      </w:r>
      <w:r>
        <w:rPr>
          <w:rFonts w:hint="default" w:ascii="Arial" w:hAnsi="Arial" w:eastAsia="宋体" w:cs="Arial"/>
          <w:color w:val="000000"/>
          <w:kern w:val="2"/>
          <w:sz w:val="24"/>
          <w:szCs w:val="24"/>
          <w:lang w:val="en-US" w:eastAsia="zh-CN"/>
        </w:rPr>
        <w:t>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eastAsia="微软雅黑" w:cs="Times New Roman"/>
          <w:sz w:val="24"/>
          <w:szCs w:val="24"/>
          <w:lang w:eastAsia="zh-CN"/>
        </w:rPr>
      </w:pPr>
    </w:p>
    <w:tbl>
      <w:tblPr>
        <w:tblStyle w:val="4"/>
        <w:tblpPr w:leftFromText="180" w:rightFromText="180" w:vertAnchor="page" w:horzAnchor="page" w:tblpX="2601" w:tblpY="2596"/>
        <w:tblOverlap w:val="never"/>
        <w:tblW w:w="169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283"/>
        <w:gridCol w:w="851"/>
        <w:gridCol w:w="1349"/>
        <w:gridCol w:w="1060"/>
        <w:gridCol w:w="284"/>
        <w:gridCol w:w="850"/>
        <w:gridCol w:w="1418"/>
        <w:gridCol w:w="992"/>
        <w:gridCol w:w="284"/>
        <w:gridCol w:w="850"/>
        <w:gridCol w:w="1418"/>
        <w:gridCol w:w="992"/>
        <w:gridCol w:w="283"/>
        <w:gridCol w:w="993"/>
        <w:gridCol w:w="1417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903" w:type="dxa"/>
            <w:gridSpan w:val="17"/>
            <w:tcBorders>
              <w:bottom w:val="single" w:color="auto" w:sz="12" w:space="0"/>
            </w:tcBorders>
            <w:vAlign w:val="bottom"/>
          </w:tcPr>
          <w:p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Univariable and multivariable analyses of covariables associated with PFS and 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8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PFS</w:t>
            </w: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tabs>
                <w:tab w:val="left" w:pos="807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Univariable analysis</w:t>
            </w:r>
          </w:p>
        </w:tc>
        <w:tc>
          <w:tcPr>
            <w:tcW w:w="284" w:type="dxa"/>
            <w:vMerge w:val="restart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Multivariable analysis</w:t>
            </w:r>
          </w:p>
        </w:tc>
        <w:tc>
          <w:tcPr>
            <w:tcW w:w="284" w:type="dxa"/>
            <w:vMerge w:val="restart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Univariable analysis</w:t>
            </w:r>
          </w:p>
        </w:tc>
        <w:tc>
          <w:tcPr>
            <w:tcW w:w="283" w:type="dxa"/>
            <w:vMerge w:val="restart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Multivariable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tabs>
                <w:tab w:val="left" w:pos="807"/>
              </w:tabs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HR</w:t>
            </w:r>
          </w:p>
        </w:tc>
        <w:tc>
          <w:tcPr>
            <w:tcW w:w="134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95%CI</w:t>
            </w:r>
          </w:p>
        </w:tc>
        <w:tc>
          <w:tcPr>
            <w:tcW w:w="106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284" w:type="dxa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ind w:firstLine="120" w:firstLineChars="5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HR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95%CI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284" w:type="dxa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HR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95%CI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283" w:type="dxa"/>
            <w:vMerge w:val="continue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HR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95%CI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Gender</w:t>
            </w:r>
          </w:p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(Female vs Male)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0.728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0.418-1.269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0.263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0.432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0.233-0.799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0.007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0.255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0.132-0.491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Age</w:t>
            </w:r>
          </w:p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(&lt;60 vs ≥60)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0.751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0.517-1.089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0.784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0.481-1.277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0.328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AFP</w:t>
            </w:r>
          </w:p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bookmarkStart w:id="0" w:name="OLE_LINK3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≤400 vs </w:t>
            </w:r>
            <w:bookmarkEnd w:id="0"/>
            <w:r>
              <w:rPr>
                <w:rFonts w:ascii="Arial" w:hAnsi="Arial" w:cs="Arial"/>
                <w:color w:val="000000"/>
                <w:sz w:val="24"/>
                <w:szCs w:val="24"/>
              </w:rPr>
              <w:t>&gt;400 ng/ml)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1.059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0.741-1.513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0.753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1.246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0.789-1.966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0.345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Child-Pugh class </w:t>
            </w:r>
          </w:p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(A vs B)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1.456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0.957-2.215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0.079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1.151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0.732-1.809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0.543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2.294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1.415-3.720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2.179</w:t>
            </w: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1.156-4.106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0.016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spacing w:after="0" w:line="360" w:lineRule="auto"/>
              <w:ind w:firstLine="960" w:firstLineChars="400"/>
              <w:rPr>
                <w:rFonts w:hint="eastAsia"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ALBI</w:t>
            </w:r>
          </w:p>
          <w:p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（Grade1 vs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 xml:space="preserve"> G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rade2/3）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1.514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1.071-2.139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1.262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0.866-1.838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0.225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2.183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1.378-3.458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1.615</w:t>
            </w: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0.971-2.684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HBV infected</w:t>
            </w:r>
          </w:p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 No vs Yes 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1.085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0.621-1.893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0.775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1.133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0.546-2.353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0.737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Extrahepatic metastasis</w:t>
            </w:r>
          </w:p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(No vs Yes)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1.765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1.234-2.526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1.497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1.035-2.165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0.032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1.894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1.223-2.935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0.004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1.510</w:t>
            </w: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0.962-2.371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Vp4 (No vs Yes)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0.699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0.496-0.986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0.041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0.775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0.546-1.101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0.155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0.715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0.463-1.104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0.130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TO≥50% (No vs Yes)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1.235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0.848-1.799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0.272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0.945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0.577-1.548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0.822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vAlign w:val="center"/>
          </w:tcPr>
          <w:p>
            <w:pPr>
              <w:wordWrap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Vp4 and TO≥50%</w:t>
            </w:r>
          </w:p>
          <w:p>
            <w:pPr>
              <w:wordWrap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(No vs Yes)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1.392</w:t>
            </w:r>
          </w:p>
        </w:tc>
        <w:tc>
          <w:tcPr>
            <w:tcW w:w="1349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0.900-2.152</w:t>
            </w:r>
          </w:p>
        </w:tc>
        <w:tc>
          <w:tcPr>
            <w:tcW w:w="10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1.781</w:t>
            </w:r>
          </w:p>
        </w:tc>
        <w:tc>
          <w:tcPr>
            <w:tcW w:w="1418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1.085-2.924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28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1.068</w:t>
            </w:r>
          </w:p>
        </w:tc>
        <w:tc>
          <w:tcPr>
            <w:tcW w:w="1417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0.585-1.949</w:t>
            </w:r>
          </w:p>
        </w:tc>
        <w:tc>
          <w:tcPr>
            <w:tcW w:w="992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  <w:tcBorders>
              <w:bottom w:val="single" w:color="auto" w:sz="12" w:space="0"/>
            </w:tcBorders>
            <w:vAlign w:val="center"/>
          </w:tcPr>
          <w:p>
            <w:pPr>
              <w:wordWrap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Combined HAIC</w:t>
            </w:r>
          </w:p>
          <w:p>
            <w:pPr>
              <w:wordWrap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(No vs Yes)</w:t>
            </w:r>
          </w:p>
        </w:tc>
        <w:tc>
          <w:tcPr>
            <w:tcW w:w="28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0.483</w:t>
            </w: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0.341-0.685</w:t>
            </w:r>
          </w:p>
        </w:tc>
        <w:tc>
          <w:tcPr>
            <w:tcW w:w="106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＜0.001</w:t>
            </w:r>
          </w:p>
        </w:tc>
        <w:tc>
          <w:tcPr>
            <w:tcW w:w="28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0.516</w:t>
            </w: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0.362-0.736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＜0.001</w:t>
            </w:r>
          </w:p>
        </w:tc>
        <w:tc>
          <w:tcPr>
            <w:tcW w:w="28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0.429</w:t>
            </w: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0.278-0.662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＜0.001</w:t>
            </w:r>
          </w:p>
        </w:tc>
        <w:tc>
          <w:tcPr>
            <w:tcW w:w="28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0.350</w:t>
            </w: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0.218-0.562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＜0.001</w:t>
            </w:r>
          </w:p>
        </w:tc>
      </w:tr>
    </w:tbl>
    <w:p>
      <w:pPr>
        <w:widowControl w:val="0"/>
        <w:adjustRightInd/>
        <w:snapToGrid/>
        <w:spacing w:after="0"/>
        <w:jc w:val="both"/>
        <w:rPr>
          <w:rFonts w:hint="default" w:ascii="Arial" w:hAnsi="Arial" w:eastAsia="宋体" w:cs="Arial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  <w:t>Supplementary material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1c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bidi w:val="0"/>
        <w:spacing w:line="360" w:lineRule="auto"/>
        <w:rPr>
          <w:rFonts w:ascii="Tahoma" w:hAnsi="Tahoma" w:eastAsia="微软雅黑" w:cstheme="minorBidi"/>
          <w:sz w:val="24"/>
          <w:szCs w:val="24"/>
          <w:lang w:val="en-US" w:eastAsia="zh-CN" w:bidi="ar-SA"/>
        </w:rPr>
      </w:pPr>
    </w:p>
    <w:p>
      <w:pPr>
        <w:bidi w:val="0"/>
        <w:spacing w:line="360" w:lineRule="auto"/>
        <w:rPr>
          <w:sz w:val="24"/>
          <w:szCs w:val="24"/>
          <w:lang w:val="en-US" w:eastAsia="zh-CN"/>
        </w:rPr>
      </w:pPr>
    </w:p>
    <w:p>
      <w:pPr>
        <w:bidi w:val="0"/>
        <w:spacing w:line="360" w:lineRule="auto"/>
        <w:rPr>
          <w:sz w:val="24"/>
          <w:szCs w:val="24"/>
          <w:lang w:val="en-US" w:eastAsia="zh-CN"/>
        </w:rPr>
      </w:pPr>
    </w:p>
    <w:p>
      <w:pPr>
        <w:bidi w:val="0"/>
        <w:spacing w:line="360" w:lineRule="auto"/>
        <w:rPr>
          <w:sz w:val="24"/>
          <w:szCs w:val="24"/>
          <w:lang w:val="en-US" w:eastAsia="zh-CN"/>
        </w:rPr>
      </w:pPr>
    </w:p>
    <w:p>
      <w:pPr>
        <w:bidi w:val="0"/>
        <w:spacing w:line="360" w:lineRule="auto"/>
        <w:rPr>
          <w:sz w:val="24"/>
          <w:szCs w:val="24"/>
          <w:lang w:val="en-US" w:eastAsia="zh-CN"/>
        </w:rPr>
      </w:pPr>
    </w:p>
    <w:p>
      <w:pPr>
        <w:bidi w:val="0"/>
        <w:spacing w:line="360" w:lineRule="auto"/>
        <w:rPr>
          <w:sz w:val="24"/>
          <w:szCs w:val="24"/>
          <w:lang w:val="en-US" w:eastAsia="zh-CN"/>
        </w:rPr>
      </w:pPr>
    </w:p>
    <w:p>
      <w:pPr>
        <w:bidi w:val="0"/>
        <w:spacing w:line="360" w:lineRule="auto"/>
        <w:rPr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ab/>
      </w: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宋体" w:cs="Arial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  <w:t>Supplementary material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1d</w:t>
      </w:r>
    </w:p>
    <w:p>
      <w:pPr>
        <w:widowControl w:val="0"/>
        <w:adjustRightInd/>
        <w:snapToGrid/>
        <w:spacing w:after="0" w:line="360" w:lineRule="auto"/>
        <w:jc w:val="both"/>
        <w:rPr>
          <w:rFonts w:hint="default" w:ascii="Arial" w:hAnsi="Arial" w:eastAsia="宋体" w:cs="Arial"/>
          <w:b/>
          <w:bCs/>
          <w:color w:val="000000"/>
          <w:kern w:val="2"/>
          <w:sz w:val="24"/>
          <w:szCs w:val="24"/>
          <w:lang w:val="en-US" w:eastAsia="zh-CN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394"/>
        <w:gridCol w:w="1719"/>
        <w:gridCol w:w="988"/>
        <w:gridCol w:w="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3" w:type="dxa"/>
            <w:gridSpan w:val="4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9"/>
                <w:rFonts w:hint="default" w:ascii="Arial" w:hAnsi="Arial" w:eastAsia="宋体" w:cs="Arial"/>
                <w:b/>
                <w:bCs/>
                <w:color w:val="000000"/>
                <w:kern w:val="2"/>
                <w:sz w:val="24"/>
                <w:szCs w:val="24"/>
              </w:rPr>
              <w:t>F</w:t>
            </w:r>
            <w:r>
              <w:rPr>
                <w:rStyle w:val="9"/>
                <w:rFonts w:hint="default" w:ascii="Arial" w:hAnsi="Arial" w:cs="Arial"/>
                <w:b/>
                <w:bCs/>
                <w:color w:val="000000"/>
                <w:kern w:val="2"/>
                <w:sz w:val="24"/>
                <w:szCs w:val="24"/>
              </w:rPr>
              <w:t>urther treatments after disease progression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Style w:val="9"/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HAIC-LEN-PD1 (n=103)</w:t>
            </w:r>
          </w:p>
        </w:tc>
        <w:tc>
          <w:tcPr>
            <w:tcW w:w="171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LEN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-PD1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 xml:space="preserve"> (n=61)</w:t>
            </w:r>
          </w:p>
        </w:tc>
        <w:tc>
          <w:tcPr>
            <w:tcW w:w="1228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/>
                <w:color w:val="000000"/>
                <w:kern w:val="2"/>
                <w:sz w:val="24"/>
                <w:szCs w:val="24"/>
              </w:rPr>
              <w:t>P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Disease Progression</w:t>
            </w:r>
          </w:p>
        </w:tc>
        <w:tc>
          <w:tcPr>
            <w:tcW w:w="239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78</w:t>
            </w:r>
          </w:p>
        </w:tc>
        <w:tc>
          <w:tcPr>
            <w:tcW w:w="1719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55</w:t>
            </w:r>
          </w:p>
        </w:tc>
        <w:tc>
          <w:tcPr>
            <w:tcW w:w="1228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Best Supportive Care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1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HAIC+ regorafenib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HAIC+regorafenib+PD-1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TACE+regorafenib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TACE+regorafenib+PD-1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A</w:t>
            </w:r>
            <w:r>
              <w:rPr>
                <w:rFonts w:hint="default" w:ascii="Arial" w:hAnsi="Arial" w:eastAsia="STIX-Regular" w:cs="Arial"/>
                <w:b w:val="0"/>
                <w:bCs w:val="0"/>
                <w:color w:val="000000"/>
                <w:kern w:val="2"/>
                <w:sz w:val="24"/>
                <w:szCs w:val="24"/>
              </w:rPr>
              <w:t>tezolizumabplusbevacizumab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Regorafenib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Regorafenib+PD1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SBRT+regorafenib and/or PD-1</w:t>
            </w:r>
          </w:p>
        </w:tc>
        <w:tc>
          <w:tcPr>
            <w:tcW w:w="2394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719" w:type="dxa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28" w:type="dxa"/>
            <w:gridSpan w:val="2"/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others</w:t>
            </w:r>
          </w:p>
        </w:tc>
        <w:tc>
          <w:tcPr>
            <w:tcW w:w="2394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1719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228" w:type="dxa"/>
            <w:gridSpan w:val="2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0.351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3" w:type="dxa"/>
            <w:gridSpan w:val="4"/>
            <w:tcBorders>
              <w:top w:val="single" w:color="auto" w:sz="12" w:space="0"/>
              <w:bottom w:val="nil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HAIC:h</w:t>
            </w:r>
            <w:r>
              <w:rPr>
                <w:rFonts w:hint="default" w:ascii="Arial" w:hAnsi="Arial" w:eastAsia="Helvetica" w:cs="Arial"/>
                <w:b w:val="0"/>
                <w:bCs w:val="0"/>
                <w:color w:val="000000"/>
                <w:kern w:val="2"/>
                <w:sz w:val="24"/>
                <w:szCs w:val="24"/>
              </w:rPr>
              <w:t>epatic arterial infusion chemotherapy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;TACE: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hint="default" w:ascii="Arial" w:hAnsi="Arial" w:eastAsia="AdvOTb03e4648 . B" w:cs="Arial"/>
                <w:b w:val="0"/>
                <w:bCs w:val="0"/>
                <w:color w:val="000000"/>
                <w:kern w:val="2"/>
                <w:sz w:val="24"/>
                <w:szCs w:val="24"/>
              </w:rPr>
              <w:t>ransarteria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l c</w:t>
            </w:r>
            <w:r>
              <w:rPr>
                <w:rFonts w:hint="default" w:ascii="Arial" w:hAnsi="Arial" w:eastAsia="AdvOTb03e4648 . B" w:cs="Arial"/>
                <w:b w:val="0"/>
                <w:bCs w:val="0"/>
                <w:color w:val="000000"/>
                <w:kern w:val="2"/>
                <w:sz w:val="24"/>
                <w:szCs w:val="24"/>
              </w:rPr>
              <w:t>hemoembolization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>; PD-1:</w:t>
            </w:r>
            <w:r>
              <w:rPr>
                <w:rFonts w:hint="default" w:ascii="Arial" w:hAnsi="Arial" w:eastAsia="Helvetica" w:cs="Arial"/>
                <w:b w:val="0"/>
                <w:bCs w:val="0"/>
                <w:color w:val="000000"/>
                <w:kern w:val="2"/>
                <w:sz w:val="24"/>
                <w:szCs w:val="24"/>
              </w:rPr>
              <w:t>humanized programmed death receptor-1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  <w:t xml:space="preserve">; SBRT: </w:t>
            </w:r>
            <w:r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  <w:shd w:val="clear" w:color="auto" w:fill="FFFFFF"/>
              </w:rPr>
              <w:t>stereotactic body radiationtherapy</w:t>
            </w:r>
          </w:p>
        </w:tc>
        <w:tc>
          <w:tcPr>
            <w:tcW w:w="240" w:type="dxa"/>
            <w:tcBorders>
              <w:top w:val="single" w:color="auto" w:sz="12" w:space="0"/>
              <w:bottom w:val="nil"/>
            </w:tcBorders>
            <w:noWrap w:val="0"/>
            <w:vAlign w:val="top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</w:tr>
    </w:tbl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0"/>
        <w:jc w:val="both"/>
        <w:rPr>
          <w:rFonts w:hint="default" w:ascii="Arial" w:hAnsi="Arial" w:eastAsia="宋体" w:cs="Arial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  <w:t>Supplementary material</w:t>
      </w:r>
      <w:r>
        <w:rPr>
          <w:rFonts w:hint="default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Arial" w:hAnsi="Arial" w:eastAsia="宋体" w:cs="Arial"/>
          <w:b/>
          <w:color w:val="000000"/>
          <w:kern w:val="2"/>
          <w:sz w:val="24"/>
          <w:szCs w:val="24"/>
          <w:lang w:val="en-US" w:eastAsia="zh-CN"/>
        </w:rPr>
        <w:t>1e</w:t>
      </w: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7199630" cy="2359660"/>
            <wp:effectExtent l="0" t="0" r="1270" b="2540"/>
            <wp:docPr id="3" name="图片 3" descr="S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/>
        <w:jc w:val="both"/>
        <w:rPr>
          <w:rFonts w:hint="eastAsia" w:ascii="Arial" w:hAnsi="Arial" w:eastAsia="宋体" w:cs="Arial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kern w:val="2"/>
          <w:sz w:val="24"/>
          <w:szCs w:val="24"/>
        </w:rPr>
        <w:t xml:space="preserve">The Sankey diagram of the dynamic changes of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/>
        </w:rPr>
        <w:t>Child-Pugh</w:t>
      </w:r>
      <w:r>
        <w:rPr>
          <w:rFonts w:hint="default" w:ascii="Arial" w:hAnsi="Arial" w:eastAsia="宋体" w:cs="Arial"/>
          <w:kern w:val="2"/>
          <w:sz w:val="24"/>
          <w:szCs w:val="24"/>
        </w:rPr>
        <w:t xml:space="preserve"> 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/>
        </w:rPr>
        <w:t>class</w:t>
      </w:r>
      <w:r>
        <w:rPr>
          <w:rFonts w:hint="default" w:ascii="Arial" w:hAnsi="Arial" w:eastAsia="宋体" w:cs="Arial"/>
          <w:kern w:val="2"/>
          <w:sz w:val="24"/>
          <w:szCs w:val="24"/>
        </w:rPr>
        <w:t xml:space="preserve"> in the patients receiving LEN-PD1</w:t>
      </w:r>
      <w:r>
        <w:rPr>
          <w:rFonts w:hint="eastAsia" w:ascii="Arial" w:hAnsi="Arial" w:eastAsia="宋体" w:cs="Arial"/>
          <w:b/>
          <w:bCs/>
          <w:kern w:val="2"/>
          <w:sz w:val="24"/>
          <w:szCs w:val="24"/>
          <w:lang w:val="en-US" w:eastAsia="zh-CN"/>
        </w:rPr>
        <w:t xml:space="preserve"> (a)</w:t>
      </w:r>
      <w:r>
        <w:rPr>
          <w:rFonts w:hint="default" w:ascii="Arial" w:hAnsi="Arial" w:eastAsia="宋体" w:cs="Arial"/>
          <w:kern w:val="2"/>
          <w:sz w:val="24"/>
          <w:szCs w:val="24"/>
        </w:rPr>
        <w:t xml:space="preserve"> and HAIC-LEN-PD1</w:t>
      </w:r>
      <w:r>
        <w:rPr>
          <w:rFonts w:hint="eastAsia" w:ascii="Arial" w:hAnsi="Arial" w:eastAsia="宋体" w:cs="Arial"/>
          <w:b/>
          <w:bCs/>
          <w:kern w:val="2"/>
          <w:sz w:val="24"/>
          <w:szCs w:val="24"/>
          <w:lang w:val="en-US" w:eastAsia="zh-CN"/>
        </w:rPr>
        <w:t xml:space="preserve"> (b)</w:t>
      </w:r>
      <w:r>
        <w:rPr>
          <w:rFonts w:hint="default" w:ascii="Arial" w:hAnsi="Arial" w:eastAsia="宋体" w:cs="Arial"/>
          <w:kern w:val="2"/>
          <w:sz w:val="24"/>
          <w:szCs w:val="24"/>
        </w:rPr>
        <w:t>. The number above each bar represents the corresponding number of patients</w:t>
      </w:r>
      <w:r>
        <w:rPr>
          <w:rFonts w:hint="eastAsia" w:ascii="Arial" w:hAnsi="Arial" w:eastAsia="宋体" w:cs="Arial"/>
          <w:kern w:val="2"/>
          <w:sz w:val="24"/>
          <w:szCs w:val="24"/>
          <w:lang w:val="en-US" w:eastAsia="zh-CN"/>
        </w:rPr>
        <w:t>.</w:t>
      </w: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19421"/>
        </w:tabs>
        <w:bidi w:val="0"/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0"/>
        <w:jc w:val="both"/>
        <w:rPr>
          <w:rFonts w:hint="eastAsia" w:ascii="Arial" w:hAnsi="Arial" w:eastAsia="AdvPTimes" w:cs="Arial"/>
          <w:b/>
          <w:color w:val="000000"/>
          <w:kern w:val="2"/>
          <w:sz w:val="24"/>
          <w:szCs w:val="24"/>
          <w:lang w:val="en-US" w:eastAsia="zh-CN"/>
        </w:rPr>
      </w:pPr>
      <w:r>
        <w:rPr>
          <w:rFonts w:hint="default" w:ascii="Arial" w:hAnsi="Arial" w:eastAsia="AdvPTimes" w:cs="Arial"/>
          <w:b/>
          <w:color w:val="000000"/>
          <w:kern w:val="2"/>
          <w:sz w:val="24"/>
          <w:szCs w:val="24"/>
        </w:rPr>
        <w:t xml:space="preserve">Supplementary material </w:t>
      </w:r>
      <w:r>
        <w:rPr>
          <w:rFonts w:hint="eastAsia" w:ascii="Arial" w:hAnsi="Arial" w:eastAsia="AdvPTimes" w:cs="Arial"/>
          <w:b/>
          <w:color w:val="000000"/>
          <w:kern w:val="2"/>
          <w:sz w:val="24"/>
          <w:szCs w:val="24"/>
          <w:lang w:val="en-US" w:eastAsia="zh-CN"/>
        </w:rPr>
        <w:t>1</w:t>
      </w:r>
      <w:r>
        <w:rPr>
          <w:rFonts w:hint="default" w:ascii="Arial" w:hAnsi="Arial" w:eastAsia="AdvPTimes" w:cs="Arial"/>
          <w:b/>
          <w:color w:val="000000"/>
          <w:kern w:val="2"/>
          <w:sz w:val="24"/>
          <w:szCs w:val="24"/>
          <w:lang w:val="en-US" w:eastAsia="zh-CN"/>
        </w:rPr>
        <w:t xml:space="preserve">f </w:t>
      </w:r>
    </w:p>
    <w:tbl>
      <w:tblPr>
        <w:tblStyle w:val="5"/>
        <w:tblpPr w:leftFromText="180" w:rightFromText="180" w:vertAnchor="text" w:horzAnchor="page" w:tblpXSpec="center" w:tblpY="334"/>
        <w:tblOverlap w:val="never"/>
        <w:tblW w:w="111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1450"/>
        <w:gridCol w:w="1100"/>
        <w:gridCol w:w="1626"/>
        <w:gridCol w:w="240"/>
        <w:gridCol w:w="1435"/>
        <w:gridCol w:w="1087"/>
        <w:gridCol w:w="15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1101" w:type="dxa"/>
            <w:gridSpan w:val="8"/>
            <w:tcBorders>
              <w:top w:val="nil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20"/>
                <w:szCs w:val="20"/>
              </w:rPr>
              <w:t>Treatment related adverse events</w:t>
            </w:r>
            <w:r>
              <w:rPr>
                <w:rFonts w:hint="default" w:ascii="Arial" w:hAnsi="Arial" w:eastAsia="微软雅黑" w:cs="Arial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of different </w:t>
            </w:r>
            <w:r>
              <w:rPr>
                <w:rFonts w:hint="default" w:ascii="Arial" w:hAnsi="Arial" w:eastAsia="宋体" w:cs="Arial"/>
                <w:kern w:val="2"/>
                <w:sz w:val="20"/>
                <w:szCs w:val="20"/>
              </w:rPr>
              <w:t>immune checkpoint inhibitors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600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  <w:t>Adverse event</w:t>
            </w:r>
          </w:p>
        </w:tc>
        <w:tc>
          <w:tcPr>
            <w:tcW w:w="4176" w:type="dxa"/>
            <w:gridSpan w:val="3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  <w:t>Any Grade</w:t>
            </w:r>
          </w:p>
        </w:tc>
        <w:tc>
          <w:tcPr>
            <w:tcW w:w="240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5" w:type="dxa"/>
            <w:gridSpan w:val="3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  <w:t>Grade 3-4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600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</w:rPr>
              <w:t>Tislelizumab</w:t>
            </w:r>
          </w:p>
        </w:tc>
        <w:tc>
          <w:tcPr>
            <w:tcW w:w="110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</w:rPr>
              <w:t>Sintilimab</w:t>
            </w:r>
          </w:p>
        </w:tc>
        <w:tc>
          <w:tcPr>
            <w:tcW w:w="162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</w:rPr>
              <w:t>Camrelizumab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</w:rPr>
              <w:t>Tislelizumab</w:t>
            </w:r>
          </w:p>
        </w:tc>
        <w:tc>
          <w:tcPr>
            <w:tcW w:w="1087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</w:rPr>
              <w:t>Sintilimab</w:t>
            </w:r>
          </w:p>
        </w:tc>
        <w:tc>
          <w:tcPr>
            <w:tcW w:w="156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</w:rPr>
              <w:t>Camrelizumab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6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  <w:t>Hypothyroidism</w:t>
            </w:r>
          </w:p>
        </w:tc>
        <w:tc>
          <w:tcPr>
            <w:tcW w:w="1450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3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6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  <w:t>Immune-r</w:t>
            </w: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  <w:t>lated hepatitis</w:t>
            </w:r>
          </w:p>
        </w:tc>
        <w:tc>
          <w:tcPr>
            <w:tcW w:w="145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3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63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6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  <w:t>Immune-r</w:t>
            </w: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  <w:t>lated pneumonitis</w:t>
            </w:r>
          </w:p>
        </w:tc>
        <w:tc>
          <w:tcPr>
            <w:tcW w:w="145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3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63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6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  <w:t>Immune-related dermatitis</w:t>
            </w:r>
          </w:p>
        </w:tc>
        <w:tc>
          <w:tcPr>
            <w:tcW w:w="145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3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87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1563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600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</w:rPr>
              <w:t>Immune-related myocarditis</w:t>
            </w:r>
          </w:p>
        </w:tc>
        <w:tc>
          <w:tcPr>
            <w:tcW w:w="1450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626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0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35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87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563" w:type="dxa"/>
            <w:tcBorders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tabs>
          <w:tab w:val="left" w:pos="19421"/>
        </w:tabs>
        <w:bidi w:val="0"/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  <w:bookmarkStart w:id="1" w:name="_GoBack"/>
      <w:bookmarkEnd w:id="1"/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vPTime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TIX-Regular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dvOTb03e4648 . B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ODYyYzllNmJiNDM2YjUxZDQ1ZjMyZmM0OWVmNGYifQ=="/>
    <w:docVar w:name="KY_MEDREF_DOCUID" w:val="{1B094838-F375-4CFC-AE38-435198D3506C}"/>
    <w:docVar w:name="KY_MEDREF_VERSION" w:val="3"/>
  </w:docVars>
  <w:rsids>
    <w:rsidRoot w:val="00737B9D"/>
    <w:rsid w:val="00001FFC"/>
    <w:rsid w:val="00004D27"/>
    <w:rsid w:val="00045F2C"/>
    <w:rsid w:val="00071B3A"/>
    <w:rsid w:val="00075C09"/>
    <w:rsid w:val="000E198E"/>
    <w:rsid w:val="0010713C"/>
    <w:rsid w:val="00113462"/>
    <w:rsid w:val="001203DD"/>
    <w:rsid w:val="00124913"/>
    <w:rsid w:val="001964B7"/>
    <w:rsid w:val="001A2CC5"/>
    <w:rsid w:val="001D0467"/>
    <w:rsid w:val="002320E9"/>
    <w:rsid w:val="00240567"/>
    <w:rsid w:val="00247C88"/>
    <w:rsid w:val="002679D9"/>
    <w:rsid w:val="00287BCC"/>
    <w:rsid w:val="002F5BE0"/>
    <w:rsid w:val="003146CC"/>
    <w:rsid w:val="00317D60"/>
    <w:rsid w:val="003249E0"/>
    <w:rsid w:val="003270B8"/>
    <w:rsid w:val="003331E4"/>
    <w:rsid w:val="00360A4C"/>
    <w:rsid w:val="0041097B"/>
    <w:rsid w:val="00441B09"/>
    <w:rsid w:val="004A78AD"/>
    <w:rsid w:val="0059329C"/>
    <w:rsid w:val="005C01BF"/>
    <w:rsid w:val="005E5496"/>
    <w:rsid w:val="005F5E51"/>
    <w:rsid w:val="00630DA4"/>
    <w:rsid w:val="00644584"/>
    <w:rsid w:val="00646450"/>
    <w:rsid w:val="006A1E49"/>
    <w:rsid w:val="006B142A"/>
    <w:rsid w:val="006B49AE"/>
    <w:rsid w:val="006B77D4"/>
    <w:rsid w:val="006E45FD"/>
    <w:rsid w:val="006F3C03"/>
    <w:rsid w:val="00714E26"/>
    <w:rsid w:val="0071624A"/>
    <w:rsid w:val="007245F1"/>
    <w:rsid w:val="00727312"/>
    <w:rsid w:val="00737B9D"/>
    <w:rsid w:val="007674E0"/>
    <w:rsid w:val="007F135C"/>
    <w:rsid w:val="00850EA1"/>
    <w:rsid w:val="008B7ABF"/>
    <w:rsid w:val="008D45EE"/>
    <w:rsid w:val="008D4FB5"/>
    <w:rsid w:val="008F4FE2"/>
    <w:rsid w:val="009012E2"/>
    <w:rsid w:val="0092368E"/>
    <w:rsid w:val="009449B5"/>
    <w:rsid w:val="00977CFC"/>
    <w:rsid w:val="009D4911"/>
    <w:rsid w:val="009E0E5C"/>
    <w:rsid w:val="00A16D3F"/>
    <w:rsid w:val="00A41064"/>
    <w:rsid w:val="00A63C88"/>
    <w:rsid w:val="00A72CE7"/>
    <w:rsid w:val="00A733B2"/>
    <w:rsid w:val="00AD1724"/>
    <w:rsid w:val="00AE1F2B"/>
    <w:rsid w:val="00AE2D9E"/>
    <w:rsid w:val="00B00650"/>
    <w:rsid w:val="00B10CD0"/>
    <w:rsid w:val="00B13638"/>
    <w:rsid w:val="00B33D1E"/>
    <w:rsid w:val="00B361D4"/>
    <w:rsid w:val="00B941B2"/>
    <w:rsid w:val="00C060E9"/>
    <w:rsid w:val="00C26C22"/>
    <w:rsid w:val="00C9700E"/>
    <w:rsid w:val="00CE7271"/>
    <w:rsid w:val="00CF3DDA"/>
    <w:rsid w:val="00D07272"/>
    <w:rsid w:val="00D905D1"/>
    <w:rsid w:val="00DA1C08"/>
    <w:rsid w:val="00DE685E"/>
    <w:rsid w:val="00DF04D5"/>
    <w:rsid w:val="00E574E3"/>
    <w:rsid w:val="00E8691C"/>
    <w:rsid w:val="00E95FA0"/>
    <w:rsid w:val="00EA6598"/>
    <w:rsid w:val="00ED70B5"/>
    <w:rsid w:val="00F93663"/>
    <w:rsid w:val="00FA476C"/>
    <w:rsid w:val="00FA62F0"/>
    <w:rsid w:val="00FD6B20"/>
    <w:rsid w:val="00FE2E9D"/>
    <w:rsid w:val="00FE5E0E"/>
    <w:rsid w:val="014A6E34"/>
    <w:rsid w:val="01612DC8"/>
    <w:rsid w:val="01943E76"/>
    <w:rsid w:val="01CD4E1E"/>
    <w:rsid w:val="01F011AD"/>
    <w:rsid w:val="021744AA"/>
    <w:rsid w:val="021942B5"/>
    <w:rsid w:val="02A7066E"/>
    <w:rsid w:val="02AB2E9A"/>
    <w:rsid w:val="02B145A9"/>
    <w:rsid w:val="02D62BA0"/>
    <w:rsid w:val="033A2015"/>
    <w:rsid w:val="0366201D"/>
    <w:rsid w:val="03CE2302"/>
    <w:rsid w:val="03E7623D"/>
    <w:rsid w:val="03E84046"/>
    <w:rsid w:val="04044C96"/>
    <w:rsid w:val="041F4794"/>
    <w:rsid w:val="04432FE9"/>
    <w:rsid w:val="046A57D6"/>
    <w:rsid w:val="04AC72FA"/>
    <w:rsid w:val="052A5C96"/>
    <w:rsid w:val="059214A1"/>
    <w:rsid w:val="05AB3F4E"/>
    <w:rsid w:val="05DA2C42"/>
    <w:rsid w:val="05DD0AE2"/>
    <w:rsid w:val="05E13916"/>
    <w:rsid w:val="05F75989"/>
    <w:rsid w:val="06011F8B"/>
    <w:rsid w:val="062F44F8"/>
    <w:rsid w:val="06312B14"/>
    <w:rsid w:val="06395135"/>
    <w:rsid w:val="064B428A"/>
    <w:rsid w:val="068D50FD"/>
    <w:rsid w:val="06916C46"/>
    <w:rsid w:val="06A13364"/>
    <w:rsid w:val="06AB36E8"/>
    <w:rsid w:val="070817FA"/>
    <w:rsid w:val="075D6C36"/>
    <w:rsid w:val="076379C9"/>
    <w:rsid w:val="0785664A"/>
    <w:rsid w:val="07CF5DFA"/>
    <w:rsid w:val="083043F2"/>
    <w:rsid w:val="084D4C21"/>
    <w:rsid w:val="08C4245A"/>
    <w:rsid w:val="08DA25C6"/>
    <w:rsid w:val="08F07694"/>
    <w:rsid w:val="092360C1"/>
    <w:rsid w:val="096B5626"/>
    <w:rsid w:val="09773700"/>
    <w:rsid w:val="09D216F6"/>
    <w:rsid w:val="09D42782"/>
    <w:rsid w:val="09FC2DF8"/>
    <w:rsid w:val="0A046DD5"/>
    <w:rsid w:val="0AF71875"/>
    <w:rsid w:val="0B5E1329"/>
    <w:rsid w:val="0B781649"/>
    <w:rsid w:val="0BA55300"/>
    <w:rsid w:val="0C437054"/>
    <w:rsid w:val="0C5102FF"/>
    <w:rsid w:val="0C7F23EE"/>
    <w:rsid w:val="0C8E428D"/>
    <w:rsid w:val="0CB9370D"/>
    <w:rsid w:val="0CDB7814"/>
    <w:rsid w:val="0CE32D75"/>
    <w:rsid w:val="0D21590D"/>
    <w:rsid w:val="0D2476D3"/>
    <w:rsid w:val="0D68408F"/>
    <w:rsid w:val="0D710667"/>
    <w:rsid w:val="0D876DCA"/>
    <w:rsid w:val="0D8A1DF9"/>
    <w:rsid w:val="0DA66675"/>
    <w:rsid w:val="0DB9527E"/>
    <w:rsid w:val="0DE36F5D"/>
    <w:rsid w:val="0E0B25F0"/>
    <w:rsid w:val="0E386251"/>
    <w:rsid w:val="0E5B6217"/>
    <w:rsid w:val="0EA375DB"/>
    <w:rsid w:val="0EB674C4"/>
    <w:rsid w:val="0EFD4EED"/>
    <w:rsid w:val="0F1333C2"/>
    <w:rsid w:val="0F1524A5"/>
    <w:rsid w:val="0F337204"/>
    <w:rsid w:val="0F483411"/>
    <w:rsid w:val="0F7717BD"/>
    <w:rsid w:val="0FAB0E10"/>
    <w:rsid w:val="0FAF1357"/>
    <w:rsid w:val="0FBA06D8"/>
    <w:rsid w:val="0FDB4DA0"/>
    <w:rsid w:val="0FE434C6"/>
    <w:rsid w:val="0FF17FD0"/>
    <w:rsid w:val="0FFA0A61"/>
    <w:rsid w:val="102A24B9"/>
    <w:rsid w:val="105613D5"/>
    <w:rsid w:val="107D0BCD"/>
    <w:rsid w:val="10993038"/>
    <w:rsid w:val="10D86E52"/>
    <w:rsid w:val="116F2593"/>
    <w:rsid w:val="11780D33"/>
    <w:rsid w:val="11B97BA4"/>
    <w:rsid w:val="11CA063F"/>
    <w:rsid w:val="11F10AAE"/>
    <w:rsid w:val="121C0DE3"/>
    <w:rsid w:val="12ED1222"/>
    <w:rsid w:val="130674D7"/>
    <w:rsid w:val="132D1136"/>
    <w:rsid w:val="13865015"/>
    <w:rsid w:val="13A34778"/>
    <w:rsid w:val="13B50173"/>
    <w:rsid w:val="13D433D4"/>
    <w:rsid w:val="13DC7449"/>
    <w:rsid w:val="13E26845"/>
    <w:rsid w:val="13E520CB"/>
    <w:rsid w:val="14400778"/>
    <w:rsid w:val="1464525F"/>
    <w:rsid w:val="147C1D96"/>
    <w:rsid w:val="14947614"/>
    <w:rsid w:val="14950498"/>
    <w:rsid w:val="157651A1"/>
    <w:rsid w:val="1590368A"/>
    <w:rsid w:val="15BE191A"/>
    <w:rsid w:val="15D1639F"/>
    <w:rsid w:val="15E96114"/>
    <w:rsid w:val="16255BF9"/>
    <w:rsid w:val="162A51FD"/>
    <w:rsid w:val="166A6643"/>
    <w:rsid w:val="16943854"/>
    <w:rsid w:val="16AB5FDC"/>
    <w:rsid w:val="16B33963"/>
    <w:rsid w:val="16C51BC8"/>
    <w:rsid w:val="16D71CAE"/>
    <w:rsid w:val="16FD44EE"/>
    <w:rsid w:val="174910C0"/>
    <w:rsid w:val="17BE7B2B"/>
    <w:rsid w:val="18084361"/>
    <w:rsid w:val="182D2656"/>
    <w:rsid w:val="1863583F"/>
    <w:rsid w:val="18A966D5"/>
    <w:rsid w:val="18B7454F"/>
    <w:rsid w:val="18E17B94"/>
    <w:rsid w:val="196E5542"/>
    <w:rsid w:val="197503AE"/>
    <w:rsid w:val="19776751"/>
    <w:rsid w:val="198E5B56"/>
    <w:rsid w:val="19B14C1F"/>
    <w:rsid w:val="19E01A83"/>
    <w:rsid w:val="1A01040E"/>
    <w:rsid w:val="1A08151D"/>
    <w:rsid w:val="1A1B5712"/>
    <w:rsid w:val="1A6228B8"/>
    <w:rsid w:val="1ADC66C7"/>
    <w:rsid w:val="1B430879"/>
    <w:rsid w:val="1B82049F"/>
    <w:rsid w:val="1BD66558"/>
    <w:rsid w:val="1C0801D0"/>
    <w:rsid w:val="1C122C14"/>
    <w:rsid w:val="1C272994"/>
    <w:rsid w:val="1C5923C8"/>
    <w:rsid w:val="1C741D42"/>
    <w:rsid w:val="1C93209A"/>
    <w:rsid w:val="1D2C21C8"/>
    <w:rsid w:val="1D2D47F4"/>
    <w:rsid w:val="1D2F356D"/>
    <w:rsid w:val="1D6F5722"/>
    <w:rsid w:val="1DE25833"/>
    <w:rsid w:val="1EA774D2"/>
    <w:rsid w:val="1EBF2BDF"/>
    <w:rsid w:val="1F6821BD"/>
    <w:rsid w:val="1F7D4B7B"/>
    <w:rsid w:val="1F860ED1"/>
    <w:rsid w:val="1F874347"/>
    <w:rsid w:val="1FA771B9"/>
    <w:rsid w:val="1FCA0C97"/>
    <w:rsid w:val="201D5C3E"/>
    <w:rsid w:val="202A220C"/>
    <w:rsid w:val="2038091F"/>
    <w:rsid w:val="20541F04"/>
    <w:rsid w:val="2072785E"/>
    <w:rsid w:val="20834A42"/>
    <w:rsid w:val="20C97AAB"/>
    <w:rsid w:val="20D024A5"/>
    <w:rsid w:val="20F55561"/>
    <w:rsid w:val="21095371"/>
    <w:rsid w:val="211E0DB7"/>
    <w:rsid w:val="21FB475D"/>
    <w:rsid w:val="2228105B"/>
    <w:rsid w:val="22535C27"/>
    <w:rsid w:val="227C014D"/>
    <w:rsid w:val="2282563E"/>
    <w:rsid w:val="22B9111D"/>
    <w:rsid w:val="23132882"/>
    <w:rsid w:val="231E2413"/>
    <w:rsid w:val="23335D3A"/>
    <w:rsid w:val="23812C9C"/>
    <w:rsid w:val="23A2618D"/>
    <w:rsid w:val="24055015"/>
    <w:rsid w:val="241645F1"/>
    <w:rsid w:val="24502E00"/>
    <w:rsid w:val="24974332"/>
    <w:rsid w:val="2499505F"/>
    <w:rsid w:val="24BC746E"/>
    <w:rsid w:val="24CE7E53"/>
    <w:rsid w:val="24E942E6"/>
    <w:rsid w:val="25A72B1B"/>
    <w:rsid w:val="25A9587F"/>
    <w:rsid w:val="25BC27FD"/>
    <w:rsid w:val="265F6B0E"/>
    <w:rsid w:val="266F0702"/>
    <w:rsid w:val="26B82ED1"/>
    <w:rsid w:val="26FF6A46"/>
    <w:rsid w:val="2710159C"/>
    <w:rsid w:val="271B08B4"/>
    <w:rsid w:val="274772B1"/>
    <w:rsid w:val="275C377C"/>
    <w:rsid w:val="275F3F17"/>
    <w:rsid w:val="279A1B99"/>
    <w:rsid w:val="27BF67C5"/>
    <w:rsid w:val="27F513C4"/>
    <w:rsid w:val="285941A3"/>
    <w:rsid w:val="296219A0"/>
    <w:rsid w:val="29841778"/>
    <w:rsid w:val="29CE6806"/>
    <w:rsid w:val="29E660F8"/>
    <w:rsid w:val="29FA0741"/>
    <w:rsid w:val="2A402F9C"/>
    <w:rsid w:val="2AF14335"/>
    <w:rsid w:val="2B3077F3"/>
    <w:rsid w:val="2B6201DB"/>
    <w:rsid w:val="2C00121A"/>
    <w:rsid w:val="2C082743"/>
    <w:rsid w:val="2C3E2D91"/>
    <w:rsid w:val="2CEB1AB9"/>
    <w:rsid w:val="2CF60081"/>
    <w:rsid w:val="2D0C16DC"/>
    <w:rsid w:val="2D1675D4"/>
    <w:rsid w:val="2DB177DE"/>
    <w:rsid w:val="2E187651"/>
    <w:rsid w:val="2E7774CD"/>
    <w:rsid w:val="2E7E5B6B"/>
    <w:rsid w:val="2EB45C46"/>
    <w:rsid w:val="2ED809A0"/>
    <w:rsid w:val="2EE86FF7"/>
    <w:rsid w:val="2F2632B6"/>
    <w:rsid w:val="2F2D713B"/>
    <w:rsid w:val="2F347F39"/>
    <w:rsid w:val="2F5E4654"/>
    <w:rsid w:val="2F6552FA"/>
    <w:rsid w:val="2F68344D"/>
    <w:rsid w:val="2FA020D2"/>
    <w:rsid w:val="306C10B4"/>
    <w:rsid w:val="30770678"/>
    <w:rsid w:val="307E7D8E"/>
    <w:rsid w:val="309F14DC"/>
    <w:rsid w:val="31450C44"/>
    <w:rsid w:val="31581365"/>
    <w:rsid w:val="315B2AC0"/>
    <w:rsid w:val="317D2A34"/>
    <w:rsid w:val="31EB54AE"/>
    <w:rsid w:val="32244970"/>
    <w:rsid w:val="322C573C"/>
    <w:rsid w:val="32611E9F"/>
    <w:rsid w:val="32941AF7"/>
    <w:rsid w:val="32A777DC"/>
    <w:rsid w:val="32BD73CD"/>
    <w:rsid w:val="33033A21"/>
    <w:rsid w:val="3322353D"/>
    <w:rsid w:val="33E80423"/>
    <w:rsid w:val="342A20DD"/>
    <w:rsid w:val="3472629B"/>
    <w:rsid w:val="347A62EA"/>
    <w:rsid w:val="3481653B"/>
    <w:rsid w:val="349E5327"/>
    <w:rsid w:val="34F34A9D"/>
    <w:rsid w:val="352F5C28"/>
    <w:rsid w:val="35550620"/>
    <w:rsid w:val="356B5C39"/>
    <w:rsid w:val="358265D6"/>
    <w:rsid w:val="35B2772D"/>
    <w:rsid w:val="35BD6C52"/>
    <w:rsid w:val="35ED75D8"/>
    <w:rsid w:val="367B0D63"/>
    <w:rsid w:val="36CD7B4B"/>
    <w:rsid w:val="36DB3DA0"/>
    <w:rsid w:val="37271D61"/>
    <w:rsid w:val="37332A6C"/>
    <w:rsid w:val="37B427B1"/>
    <w:rsid w:val="37BB484B"/>
    <w:rsid w:val="37EE4143"/>
    <w:rsid w:val="383F0AB1"/>
    <w:rsid w:val="384A7CB8"/>
    <w:rsid w:val="387732DF"/>
    <w:rsid w:val="3942518A"/>
    <w:rsid w:val="39612EDC"/>
    <w:rsid w:val="39D947E5"/>
    <w:rsid w:val="3A49496A"/>
    <w:rsid w:val="3A4D54D7"/>
    <w:rsid w:val="3A545682"/>
    <w:rsid w:val="3A9E2B37"/>
    <w:rsid w:val="3AB67EF5"/>
    <w:rsid w:val="3AB94A86"/>
    <w:rsid w:val="3B7D3E23"/>
    <w:rsid w:val="3BA31A23"/>
    <w:rsid w:val="3BCB4C0B"/>
    <w:rsid w:val="3BF85623"/>
    <w:rsid w:val="3C1D06D2"/>
    <w:rsid w:val="3C6055A3"/>
    <w:rsid w:val="3C711129"/>
    <w:rsid w:val="3CB75DBD"/>
    <w:rsid w:val="3CF12CEA"/>
    <w:rsid w:val="3D561E48"/>
    <w:rsid w:val="3D674CE9"/>
    <w:rsid w:val="3D752122"/>
    <w:rsid w:val="3DC25B28"/>
    <w:rsid w:val="3DC93B13"/>
    <w:rsid w:val="3DC9704E"/>
    <w:rsid w:val="3DF436DB"/>
    <w:rsid w:val="3E061075"/>
    <w:rsid w:val="3E6C6149"/>
    <w:rsid w:val="3E6C6AB4"/>
    <w:rsid w:val="3E7379FF"/>
    <w:rsid w:val="3EA62029"/>
    <w:rsid w:val="3EF477AE"/>
    <w:rsid w:val="3F1C48D8"/>
    <w:rsid w:val="3F260C0A"/>
    <w:rsid w:val="3FBA603F"/>
    <w:rsid w:val="3FBE0251"/>
    <w:rsid w:val="3FDE4236"/>
    <w:rsid w:val="3FE26749"/>
    <w:rsid w:val="3FE674E8"/>
    <w:rsid w:val="3FF81AF8"/>
    <w:rsid w:val="409C188C"/>
    <w:rsid w:val="40C82F65"/>
    <w:rsid w:val="411E0E56"/>
    <w:rsid w:val="412D6E45"/>
    <w:rsid w:val="41504494"/>
    <w:rsid w:val="425C0DAD"/>
    <w:rsid w:val="425C3411"/>
    <w:rsid w:val="42745BB5"/>
    <w:rsid w:val="427E199A"/>
    <w:rsid w:val="431315CF"/>
    <w:rsid w:val="435B7300"/>
    <w:rsid w:val="43856A4B"/>
    <w:rsid w:val="43A84B68"/>
    <w:rsid w:val="43DA3F4A"/>
    <w:rsid w:val="43E83023"/>
    <w:rsid w:val="43EB63D0"/>
    <w:rsid w:val="43F11B5C"/>
    <w:rsid w:val="43FC0051"/>
    <w:rsid w:val="440673D2"/>
    <w:rsid w:val="44A9206F"/>
    <w:rsid w:val="44ED44FA"/>
    <w:rsid w:val="44EE009A"/>
    <w:rsid w:val="450F7C6B"/>
    <w:rsid w:val="453964E3"/>
    <w:rsid w:val="453D7737"/>
    <w:rsid w:val="45A82154"/>
    <w:rsid w:val="45C80749"/>
    <w:rsid w:val="461102AA"/>
    <w:rsid w:val="46424572"/>
    <w:rsid w:val="4643110D"/>
    <w:rsid w:val="46485B2D"/>
    <w:rsid w:val="466D4F1D"/>
    <w:rsid w:val="46C6053A"/>
    <w:rsid w:val="46D45522"/>
    <w:rsid w:val="46E04611"/>
    <w:rsid w:val="46E22B74"/>
    <w:rsid w:val="47061FC5"/>
    <w:rsid w:val="472038AC"/>
    <w:rsid w:val="475462FB"/>
    <w:rsid w:val="476835F6"/>
    <w:rsid w:val="47B33D8B"/>
    <w:rsid w:val="47B51BA6"/>
    <w:rsid w:val="47B528FA"/>
    <w:rsid w:val="47B66061"/>
    <w:rsid w:val="47BA75FF"/>
    <w:rsid w:val="48060976"/>
    <w:rsid w:val="481C102F"/>
    <w:rsid w:val="482307D2"/>
    <w:rsid w:val="48392AF1"/>
    <w:rsid w:val="48482582"/>
    <w:rsid w:val="49092F2E"/>
    <w:rsid w:val="494A2CEC"/>
    <w:rsid w:val="49523927"/>
    <w:rsid w:val="498E233A"/>
    <w:rsid w:val="49EE783C"/>
    <w:rsid w:val="4A0C212A"/>
    <w:rsid w:val="4A147690"/>
    <w:rsid w:val="4A2D5BBD"/>
    <w:rsid w:val="4A313A81"/>
    <w:rsid w:val="4A4928F6"/>
    <w:rsid w:val="4A72429C"/>
    <w:rsid w:val="4AE00872"/>
    <w:rsid w:val="4B0E5593"/>
    <w:rsid w:val="4B3F5305"/>
    <w:rsid w:val="4BB11230"/>
    <w:rsid w:val="4BB92A41"/>
    <w:rsid w:val="4BE710A9"/>
    <w:rsid w:val="4C03481D"/>
    <w:rsid w:val="4C2643CA"/>
    <w:rsid w:val="4C6B75B9"/>
    <w:rsid w:val="4CFA4431"/>
    <w:rsid w:val="4D030D4A"/>
    <w:rsid w:val="4D1C48DC"/>
    <w:rsid w:val="4D4E152E"/>
    <w:rsid w:val="4DA41B32"/>
    <w:rsid w:val="4DCB6B6C"/>
    <w:rsid w:val="4E12082A"/>
    <w:rsid w:val="4E1D3F2A"/>
    <w:rsid w:val="4E2F6C9F"/>
    <w:rsid w:val="4E427461"/>
    <w:rsid w:val="4E552D77"/>
    <w:rsid w:val="4EFB139D"/>
    <w:rsid w:val="4F0D12B8"/>
    <w:rsid w:val="4FD416A0"/>
    <w:rsid w:val="4FD54702"/>
    <w:rsid w:val="500243C0"/>
    <w:rsid w:val="502D1D4A"/>
    <w:rsid w:val="50CF4833"/>
    <w:rsid w:val="50FF6476"/>
    <w:rsid w:val="518C2F04"/>
    <w:rsid w:val="51A1417F"/>
    <w:rsid w:val="52046E07"/>
    <w:rsid w:val="527B3870"/>
    <w:rsid w:val="528B0A30"/>
    <w:rsid w:val="529713E5"/>
    <w:rsid w:val="529C48A7"/>
    <w:rsid w:val="52A6131E"/>
    <w:rsid w:val="52CD6104"/>
    <w:rsid w:val="52DC0B8A"/>
    <w:rsid w:val="52FD3FAE"/>
    <w:rsid w:val="530329C9"/>
    <w:rsid w:val="537A3412"/>
    <w:rsid w:val="53D32034"/>
    <w:rsid w:val="54421219"/>
    <w:rsid w:val="545C725A"/>
    <w:rsid w:val="546C4F35"/>
    <w:rsid w:val="546C788F"/>
    <w:rsid w:val="54D53EC4"/>
    <w:rsid w:val="54E62ED7"/>
    <w:rsid w:val="54F2158E"/>
    <w:rsid w:val="55155D48"/>
    <w:rsid w:val="552D1348"/>
    <w:rsid w:val="55452026"/>
    <w:rsid w:val="55596D29"/>
    <w:rsid w:val="557D2FB4"/>
    <w:rsid w:val="557E31F9"/>
    <w:rsid w:val="557F1961"/>
    <w:rsid w:val="55996FCC"/>
    <w:rsid w:val="55D340B5"/>
    <w:rsid w:val="55F5353F"/>
    <w:rsid w:val="55F61D5C"/>
    <w:rsid w:val="560903C1"/>
    <w:rsid w:val="562B0CA1"/>
    <w:rsid w:val="563C1FA8"/>
    <w:rsid w:val="57082B9A"/>
    <w:rsid w:val="57B84864"/>
    <w:rsid w:val="57FB18D0"/>
    <w:rsid w:val="58014802"/>
    <w:rsid w:val="580814EF"/>
    <w:rsid w:val="580E5513"/>
    <w:rsid w:val="58117AFD"/>
    <w:rsid w:val="58DA3CA8"/>
    <w:rsid w:val="596B61AE"/>
    <w:rsid w:val="59772CAA"/>
    <w:rsid w:val="597C75B3"/>
    <w:rsid w:val="59AB4238"/>
    <w:rsid w:val="5A2274E9"/>
    <w:rsid w:val="5A425F50"/>
    <w:rsid w:val="5AF15253"/>
    <w:rsid w:val="5B031637"/>
    <w:rsid w:val="5B233210"/>
    <w:rsid w:val="5B296CF5"/>
    <w:rsid w:val="5B6A1E59"/>
    <w:rsid w:val="5BF33A51"/>
    <w:rsid w:val="5BF94402"/>
    <w:rsid w:val="5C1E344A"/>
    <w:rsid w:val="5C4B2AB5"/>
    <w:rsid w:val="5C5E7FD1"/>
    <w:rsid w:val="5CCF5A9F"/>
    <w:rsid w:val="5D285B8B"/>
    <w:rsid w:val="5D3E4B83"/>
    <w:rsid w:val="5D40609F"/>
    <w:rsid w:val="5D650598"/>
    <w:rsid w:val="5D821E05"/>
    <w:rsid w:val="5DCE09BB"/>
    <w:rsid w:val="5E1551F7"/>
    <w:rsid w:val="5E4960A8"/>
    <w:rsid w:val="5E6A46AA"/>
    <w:rsid w:val="5E931FA0"/>
    <w:rsid w:val="5E99257B"/>
    <w:rsid w:val="5E9E6E62"/>
    <w:rsid w:val="5EB00075"/>
    <w:rsid w:val="5EC902AC"/>
    <w:rsid w:val="5EF468BB"/>
    <w:rsid w:val="5F023E36"/>
    <w:rsid w:val="5F393461"/>
    <w:rsid w:val="5F515B9D"/>
    <w:rsid w:val="5F6B0FDE"/>
    <w:rsid w:val="5F6F5D50"/>
    <w:rsid w:val="5FAB02CC"/>
    <w:rsid w:val="5FD73E77"/>
    <w:rsid w:val="5FF40ED7"/>
    <w:rsid w:val="60884A9B"/>
    <w:rsid w:val="61B14DC0"/>
    <w:rsid w:val="61CC57CD"/>
    <w:rsid w:val="61CD6262"/>
    <w:rsid w:val="61D25908"/>
    <w:rsid w:val="61E92A58"/>
    <w:rsid w:val="622D161B"/>
    <w:rsid w:val="628D7ECC"/>
    <w:rsid w:val="62941A5A"/>
    <w:rsid w:val="62E53469"/>
    <w:rsid w:val="62E779C4"/>
    <w:rsid w:val="630C1F32"/>
    <w:rsid w:val="6310456E"/>
    <w:rsid w:val="632E2882"/>
    <w:rsid w:val="633A5D92"/>
    <w:rsid w:val="63873E23"/>
    <w:rsid w:val="63956A98"/>
    <w:rsid w:val="63D561D0"/>
    <w:rsid w:val="6405236D"/>
    <w:rsid w:val="642A5B9A"/>
    <w:rsid w:val="64C9233B"/>
    <w:rsid w:val="64DD0A7D"/>
    <w:rsid w:val="66D930BC"/>
    <w:rsid w:val="67092A20"/>
    <w:rsid w:val="67224065"/>
    <w:rsid w:val="675328C9"/>
    <w:rsid w:val="676D2E42"/>
    <w:rsid w:val="67827EA8"/>
    <w:rsid w:val="67EE0A14"/>
    <w:rsid w:val="6805091E"/>
    <w:rsid w:val="680B4E64"/>
    <w:rsid w:val="682806CA"/>
    <w:rsid w:val="68874D4F"/>
    <w:rsid w:val="68982593"/>
    <w:rsid w:val="68DD3662"/>
    <w:rsid w:val="691460EB"/>
    <w:rsid w:val="69264DD6"/>
    <w:rsid w:val="695077A6"/>
    <w:rsid w:val="696C1EC2"/>
    <w:rsid w:val="69814A3B"/>
    <w:rsid w:val="69B0738F"/>
    <w:rsid w:val="69F0434B"/>
    <w:rsid w:val="6A2C1E8D"/>
    <w:rsid w:val="6A332DCF"/>
    <w:rsid w:val="6A611BB7"/>
    <w:rsid w:val="6A99545F"/>
    <w:rsid w:val="6ADD6E02"/>
    <w:rsid w:val="6C4545A2"/>
    <w:rsid w:val="6C47297B"/>
    <w:rsid w:val="6C670232"/>
    <w:rsid w:val="6CC61065"/>
    <w:rsid w:val="6CE26D90"/>
    <w:rsid w:val="6D3E5BA4"/>
    <w:rsid w:val="6D890115"/>
    <w:rsid w:val="6DA05D9A"/>
    <w:rsid w:val="6DFE6331"/>
    <w:rsid w:val="6E3C6754"/>
    <w:rsid w:val="6E701B50"/>
    <w:rsid w:val="6EDB088A"/>
    <w:rsid w:val="6F1C6879"/>
    <w:rsid w:val="6F79447F"/>
    <w:rsid w:val="6FB50E44"/>
    <w:rsid w:val="6FED799F"/>
    <w:rsid w:val="707207B6"/>
    <w:rsid w:val="7077210B"/>
    <w:rsid w:val="70933E66"/>
    <w:rsid w:val="70B21688"/>
    <w:rsid w:val="710D15EF"/>
    <w:rsid w:val="712F7164"/>
    <w:rsid w:val="713A0219"/>
    <w:rsid w:val="713D5876"/>
    <w:rsid w:val="71607C4B"/>
    <w:rsid w:val="719F25CB"/>
    <w:rsid w:val="71BF1CB6"/>
    <w:rsid w:val="71D77EE2"/>
    <w:rsid w:val="728D2282"/>
    <w:rsid w:val="72B12A57"/>
    <w:rsid w:val="72D563D5"/>
    <w:rsid w:val="72EE1E3B"/>
    <w:rsid w:val="731D6DA6"/>
    <w:rsid w:val="73460B16"/>
    <w:rsid w:val="734D2CD0"/>
    <w:rsid w:val="73A7517A"/>
    <w:rsid w:val="74140B49"/>
    <w:rsid w:val="74264A9C"/>
    <w:rsid w:val="74761051"/>
    <w:rsid w:val="74AC15BC"/>
    <w:rsid w:val="752458CC"/>
    <w:rsid w:val="752A474F"/>
    <w:rsid w:val="754B3FB4"/>
    <w:rsid w:val="754B69DD"/>
    <w:rsid w:val="75827325"/>
    <w:rsid w:val="75A35DA7"/>
    <w:rsid w:val="75C17C4E"/>
    <w:rsid w:val="760605DE"/>
    <w:rsid w:val="76725DEF"/>
    <w:rsid w:val="770D468F"/>
    <w:rsid w:val="77121E46"/>
    <w:rsid w:val="77A01204"/>
    <w:rsid w:val="780624E2"/>
    <w:rsid w:val="781A4E64"/>
    <w:rsid w:val="782A679C"/>
    <w:rsid w:val="786B6D46"/>
    <w:rsid w:val="78DA27BF"/>
    <w:rsid w:val="79115FD7"/>
    <w:rsid w:val="7A0E4481"/>
    <w:rsid w:val="7A8C3BB9"/>
    <w:rsid w:val="7AB16CE9"/>
    <w:rsid w:val="7AE137BC"/>
    <w:rsid w:val="7AE7312C"/>
    <w:rsid w:val="7AE84CA6"/>
    <w:rsid w:val="7B2E5561"/>
    <w:rsid w:val="7BE90531"/>
    <w:rsid w:val="7C5838F9"/>
    <w:rsid w:val="7C954BFA"/>
    <w:rsid w:val="7CC91945"/>
    <w:rsid w:val="7CCE506C"/>
    <w:rsid w:val="7D2E6A11"/>
    <w:rsid w:val="7E2C165C"/>
    <w:rsid w:val="7E814C97"/>
    <w:rsid w:val="7EC12E14"/>
    <w:rsid w:val="7EE21E2B"/>
    <w:rsid w:val="7F121E3C"/>
    <w:rsid w:val="7F6917B5"/>
    <w:rsid w:val="7F8849FB"/>
    <w:rsid w:val="7F8951BF"/>
    <w:rsid w:val="7F9921F3"/>
    <w:rsid w:val="7FA441FB"/>
    <w:rsid w:val="7FAC2300"/>
    <w:rsid w:val="7FF57E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fontstyle01"/>
    <w:autoRedefine/>
    <w:qFormat/>
    <w:uiPriority w:val="0"/>
    <w:rPr>
      <w:rFonts w:ascii="AdvPTimes" w:hAnsi="AdvPTimes" w:eastAsia="AdvPTimes" w:cs="AdvPTimes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914</Words>
  <Characters>5214</Characters>
  <Lines>43</Lines>
  <Paragraphs>12</Paragraphs>
  <TotalTime>0</TotalTime>
  <ScaleCrop>false</ScaleCrop>
  <LinksUpToDate>false</LinksUpToDate>
  <CharactersWithSpaces>6116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2023-03-24T01:12:00Z</dcterms:created>
  <dc:creator>User</dc:creator>
  <cp:lastModifiedBy>君子</cp:lastModifiedBy>
  <dcterms:modified xsi:type="dcterms:W3CDTF">2024-04-01T13:18:32Z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4E26A96773BD4E7CA2738B69D18A3634_12</vt:lpwstr>
  </property>
</Properties>
</file>