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7721" w14:textId="0A6A41BD" w:rsidR="0036703A" w:rsidRPr="00920574" w:rsidRDefault="00920574" w:rsidP="0036703A">
      <w:pPr>
        <w:spacing w:line="48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0F6107" wp14:editId="2968B4E5">
            <wp:extent cx="5274310" cy="3648710"/>
            <wp:effectExtent l="0" t="0" r="2540" b="8890"/>
            <wp:docPr id="240447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47897" name="图片 2404478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30F13" w14:textId="06040484" w:rsidR="003A0455" w:rsidRDefault="0036703A" w:rsidP="0036703A">
      <w:pPr>
        <w:spacing w:line="480" w:lineRule="auto"/>
        <w:rPr>
          <w:rFonts w:ascii="Times New Roman" w:hAnsi="Times New Roman" w:cs="Times New Roman"/>
          <w:szCs w:val="21"/>
        </w:rPr>
      </w:pPr>
      <w:r w:rsidRPr="009D5216">
        <w:rPr>
          <w:rFonts w:ascii="Times New Roman" w:hAnsi="Times New Roman" w:cs="Times New Roman"/>
          <w:bCs/>
          <w:szCs w:val="21"/>
        </w:rPr>
        <w:t>Supplementary</w:t>
      </w:r>
      <w:r w:rsidRPr="009D5216">
        <w:rPr>
          <w:rFonts w:ascii="Times New Roman" w:hAnsi="Times New Roman" w:cs="Times New Roman" w:hint="eastAsia"/>
          <w:bCs/>
          <w:szCs w:val="21"/>
        </w:rPr>
        <w:t xml:space="preserve"> </w:t>
      </w:r>
      <w:r w:rsidRPr="009D5216">
        <w:rPr>
          <w:rFonts w:ascii="Times New Roman" w:hAnsi="Times New Roman" w:cs="Times New Roman"/>
          <w:bCs/>
          <w:szCs w:val="21"/>
        </w:rPr>
        <w:t>Figure</w:t>
      </w:r>
      <w:r w:rsidRPr="009D5216">
        <w:rPr>
          <w:rFonts w:ascii="Times New Roman" w:hAnsi="Times New Roman" w:cs="Times New Roman" w:hint="eastAsia"/>
          <w:bCs/>
          <w:szCs w:val="21"/>
        </w:rPr>
        <w:t xml:space="preserve"> </w:t>
      </w:r>
      <w:r w:rsidR="00A03E1E">
        <w:rPr>
          <w:rFonts w:ascii="Times New Roman" w:hAnsi="Times New Roman" w:cs="Times New Roman"/>
          <w:bCs/>
          <w:szCs w:val="21"/>
        </w:rPr>
        <w:t>S</w:t>
      </w:r>
      <w:r w:rsidRPr="009D5216">
        <w:rPr>
          <w:rFonts w:ascii="Times New Roman" w:hAnsi="Times New Roman" w:cs="Times New Roman"/>
          <w:bCs/>
          <w:szCs w:val="21"/>
        </w:rPr>
        <w:t>1</w:t>
      </w:r>
      <w:r w:rsidRPr="009D5216">
        <w:t xml:space="preserve">. </w:t>
      </w:r>
      <w:r w:rsidRPr="00A94C0A">
        <w:rPr>
          <w:rFonts w:ascii="Times New Roman" w:hAnsi="Times New Roman" w:cs="Times New Roman"/>
          <w:bCs/>
          <w:szCs w:val="21"/>
        </w:rPr>
        <w:t>RNH1 knockdown and RNH1 overexpression models was successfully constructed in LUAD cells.</w:t>
      </w:r>
      <w:r w:rsidRPr="00D574DF">
        <w:rPr>
          <w:rFonts w:ascii="Times New Roman" w:hAnsi="Times New Roman" w:cs="Times New Roman"/>
          <w:b/>
          <w:bCs/>
          <w:szCs w:val="21"/>
        </w:rPr>
        <w:t xml:space="preserve"> </w:t>
      </w:r>
      <w:r w:rsidRPr="00D574DF">
        <w:rPr>
          <w:rFonts w:ascii="Times New Roman" w:hAnsi="Times New Roman" w:cs="Times New Roman"/>
          <w:szCs w:val="21"/>
        </w:rPr>
        <w:t>(A) Western blot was performed to detect the expression of RNH1 in LUAD cell lines (NCI-H1975, NCI-H1395, A549, NCI-H1437, HCC827) and human normal lung epithelial cells (BEAS-2B).</w:t>
      </w:r>
      <w:r w:rsidRPr="00D574DF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Pr="00D574DF">
        <w:rPr>
          <w:rFonts w:ascii="Times New Roman" w:hAnsi="Times New Roman" w:cs="Times New Roman"/>
          <w:szCs w:val="21"/>
        </w:rPr>
        <w:t>qRT</w:t>
      </w:r>
      <w:proofErr w:type="spellEnd"/>
      <w:r w:rsidRPr="00D574DF">
        <w:rPr>
          <w:rFonts w:ascii="Times New Roman" w:hAnsi="Times New Roman" w:cs="Times New Roman"/>
          <w:szCs w:val="21"/>
        </w:rPr>
        <w:t xml:space="preserve">-PCR and </w:t>
      </w:r>
      <w:r>
        <w:rPr>
          <w:rFonts w:ascii="Times New Roman" w:hAnsi="Times New Roman" w:cs="Times New Roman" w:hint="eastAsia"/>
          <w:szCs w:val="21"/>
        </w:rPr>
        <w:t>W</w:t>
      </w:r>
      <w:r w:rsidRPr="00D574DF">
        <w:rPr>
          <w:rFonts w:ascii="Times New Roman" w:hAnsi="Times New Roman" w:cs="Times New Roman"/>
          <w:szCs w:val="21"/>
        </w:rPr>
        <w:t>estern blot were used to detect the expression of RNH1 in NCI-H1395 cells (B) and NCI-H1437 cells</w:t>
      </w:r>
      <w:r w:rsidRPr="00D574DF">
        <w:rPr>
          <w:rFonts w:ascii="Times New Roman" w:hAnsi="Times New Roman" w:cs="Times New Roman"/>
          <w:b/>
          <w:bCs/>
          <w:szCs w:val="21"/>
        </w:rPr>
        <w:t xml:space="preserve"> </w:t>
      </w:r>
      <w:r w:rsidRPr="00D574DF">
        <w:rPr>
          <w:rFonts w:ascii="Times New Roman" w:hAnsi="Times New Roman" w:cs="Times New Roman"/>
          <w:szCs w:val="21"/>
        </w:rPr>
        <w:t xml:space="preserve">(C). </w:t>
      </w:r>
      <w:proofErr w:type="spellStart"/>
      <w:r w:rsidRPr="00D574DF">
        <w:rPr>
          <w:rFonts w:ascii="Times New Roman" w:hAnsi="Times New Roman" w:cs="Times New Roman"/>
          <w:szCs w:val="21"/>
        </w:rPr>
        <w:t>shNC</w:t>
      </w:r>
      <w:proofErr w:type="spellEnd"/>
      <w:r w:rsidRPr="00D574DF">
        <w:rPr>
          <w:rFonts w:ascii="Times New Roman" w:hAnsi="Times New Roman" w:cs="Times New Roman"/>
          <w:szCs w:val="21"/>
        </w:rPr>
        <w:t xml:space="preserve">, negative control; vector-1, empty vector 1. </w:t>
      </w:r>
      <w:r w:rsidRPr="00AB0D5D">
        <w:rPr>
          <w:rFonts w:ascii="Times New Roman" w:hAnsi="Times New Roman" w:cs="Times New Roman"/>
          <w:i/>
          <w:szCs w:val="21"/>
        </w:rPr>
        <w:t>P</w:t>
      </w:r>
      <w:r w:rsidRPr="00AB0D5D">
        <w:rPr>
          <w:rFonts w:ascii="Times New Roman" w:hAnsi="Times New Roman" w:cs="Times New Roman"/>
          <w:szCs w:val="21"/>
        </w:rPr>
        <w:t>&lt;0.05</w:t>
      </w:r>
      <w:r w:rsidRPr="00AB0D5D">
        <w:rPr>
          <w:rFonts w:ascii="Times New Roman" w:hAnsi="Times New Roman" w:cs="Times New Roman" w:hint="eastAsia"/>
          <w:szCs w:val="21"/>
        </w:rPr>
        <w:t xml:space="preserve"> </w:t>
      </w:r>
      <w:r w:rsidRPr="00AB0D5D">
        <w:rPr>
          <w:rFonts w:ascii="Times New Roman" w:hAnsi="Times New Roman" w:cs="Times New Roman"/>
          <w:szCs w:val="21"/>
        </w:rPr>
        <w:t>was</w:t>
      </w:r>
      <w:r w:rsidRPr="00AB0D5D">
        <w:rPr>
          <w:rFonts w:ascii="Times New Roman" w:hAnsi="Times New Roman" w:cs="Times New Roman" w:hint="eastAsia"/>
          <w:szCs w:val="21"/>
        </w:rPr>
        <w:t xml:space="preserve"> </w:t>
      </w:r>
      <w:r w:rsidRPr="00AB0D5D">
        <w:rPr>
          <w:rFonts w:ascii="Times New Roman" w:hAnsi="Times New Roman" w:cs="Times New Roman"/>
          <w:szCs w:val="21"/>
        </w:rPr>
        <w:t>considered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B0D5D">
        <w:rPr>
          <w:rFonts w:ascii="Times New Roman" w:hAnsi="Times New Roman" w:cs="Times New Roman"/>
          <w:szCs w:val="21"/>
        </w:rPr>
        <w:t>statistically significant</w:t>
      </w:r>
      <w:r w:rsidRPr="00AB0D5D">
        <w:rPr>
          <w:rFonts w:ascii="Times New Roman" w:hAnsi="Times New Roman" w:cs="Times New Roman" w:hint="eastAsia"/>
          <w:szCs w:val="21"/>
        </w:rPr>
        <w:t>.</w:t>
      </w:r>
    </w:p>
    <w:p w14:paraId="632DFFE9" w14:textId="77777777" w:rsidR="003A0455" w:rsidRDefault="003A0455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474F5BC" w14:textId="2C3EC030" w:rsidR="0036703A" w:rsidRDefault="003A0455" w:rsidP="0036703A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E5FC56E" wp14:editId="51ABADC7">
            <wp:extent cx="5274310" cy="6275070"/>
            <wp:effectExtent l="0" t="0" r="2540" b="0"/>
            <wp:docPr id="1786872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72383" name="图片 17868723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EAF68" w14:textId="276E7494" w:rsidR="003A0455" w:rsidRDefault="00DF754A" w:rsidP="0036703A">
      <w:pPr>
        <w:spacing w:line="480" w:lineRule="auto"/>
        <w:rPr>
          <w:rFonts w:ascii="Times New Roman" w:hAnsi="Times New Roman" w:cs="Times New Roman"/>
          <w:szCs w:val="21"/>
        </w:rPr>
      </w:pPr>
      <w:r w:rsidRPr="009D5216">
        <w:rPr>
          <w:rFonts w:ascii="Times New Roman" w:hAnsi="Times New Roman" w:cs="Times New Roman"/>
          <w:bCs/>
          <w:szCs w:val="21"/>
        </w:rPr>
        <w:t>Supplementary</w:t>
      </w:r>
      <w:r w:rsidRPr="009D5216">
        <w:rPr>
          <w:rFonts w:ascii="Times New Roman" w:hAnsi="Times New Roman" w:cs="Times New Roman" w:hint="eastAsia"/>
          <w:bCs/>
          <w:szCs w:val="21"/>
        </w:rPr>
        <w:t xml:space="preserve"> </w:t>
      </w:r>
      <w:r w:rsidRPr="009D5216">
        <w:rPr>
          <w:rFonts w:ascii="Times New Roman" w:hAnsi="Times New Roman" w:cs="Times New Roman"/>
          <w:bCs/>
          <w:szCs w:val="21"/>
        </w:rPr>
        <w:t>Figure</w:t>
      </w:r>
      <w:r w:rsidRPr="009D5216">
        <w:rPr>
          <w:rFonts w:ascii="Times New Roman" w:hAnsi="Times New Roman" w:cs="Times New Roman" w:hint="eastAsia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S</w:t>
      </w:r>
      <w:r w:rsidR="00940BCB">
        <w:rPr>
          <w:rFonts w:ascii="Times New Roman" w:hAnsi="Times New Roman" w:cs="Times New Roman"/>
          <w:bCs/>
          <w:szCs w:val="21"/>
        </w:rPr>
        <w:t>2</w:t>
      </w:r>
      <w:r w:rsidRPr="009D5216">
        <w:t>.</w:t>
      </w:r>
      <w:r>
        <w:t xml:space="preserve"> </w:t>
      </w:r>
      <w:r w:rsidR="0092608E" w:rsidRPr="002D0364">
        <w:rPr>
          <w:rFonts w:ascii="Times New Roman" w:hAnsi="Times New Roman" w:cs="Times New Roman"/>
          <w:szCs w:val="21"/>
        </w:rPr>
        <w:t>Venn plots showing the intersection of up-regulated genes (</w:t>
      </w:r>
      <w:r w:rsidR="0092608E">
        <w:rPr>
          <w:rFonts w:ascii="Times New Roman" w:hAnsi="Times New Roman" w:cs="Times New Roman" w:hint="eastAsia"/>
          <w:szCs w:val="21"/>
        </w:rPr>
        <w:t>A</w:t>
      </w:r>
      <w:r w:rsidR="0092608E" w:rsidRPr="002D0364">
        <w:rPr>
          <w:rFonts w:ascii="Times New Roman" w:hAnsi="Times New Roman" w:cs="Times New Roman"/>
          <w:szCs w:val="21"/>
        </w:rPr>
        <w:t>) and down-regulated genes (</w:t>
      </w:r>
      <w:r w:rsidR="0092608E">
        <w:rPr>
          <w:rFonts w:ascii="Times New Roman" w:hAnsi="Times New Roman" w:cs="Times New Roman" w:hint="eastAsia"/>
          <w:szCs w:val="21"/>
        </w:rPr>
        <w:t>B</w:t>
      </w:r>
      <w:r w:rsidR="0092608E" w:rsidRPr="002D0364">
        <w:rPr>
          <w:rFonts w:ascii="Times New Roman" w:hAnsi="Times New Roman" w:cs="Times New Roman"/>
          <w:szCs w:val="21"/>
        </w:rPr>
        <w:t>) in NCI-H1395 cells and NCI-H1437 cells. The number in the Venn diagram indicated the number of genes belonging to the corresponding intersection. GO enrichment analysis was performed on the genes with high expression (</w:t>
      </w:r>
      <w:r w:rsidR="0092608E">
        <w:rPr>
          <w:rFonts w:ascii="Times New Roman" w:hAnsi="Times New Roman" w:cs="Times New Roman" w:hint="eastAsia"/>
          <w:szCs w:val="21"/>
        </w:rPr>
        <w:t>C</w:t>
      </w:r>
      <w:r w:rsidR="0092608E" w:rsidRPr="002D0364">
        <w:rPr>
          <w:rFonts w:ascii="Times New Roman" w:hAnsi="Times New Roman" w:cs="Times New Roman"/>
          <w:szCs w:val="21"/>
        </w:rPr>
        <w:t>) and low expression (</w:t>
      </w:r>
      <w:r w:rsidR="0092608E">
        <w:rPr>
          <w:rFonts w:ascii="Times New Roman" w:hAnsi="Times New Roman" w:cs="Times New Roman" w:hint="eastAsia"/>
          <w:szCs w:val="21"/>
        </w:rPr>
        <w:t>D</w:t>
      </w:r>
      <w:r w:rsidR="0092608E" w:rsidRPr="002D0364">
        <w:rPr>
          <w:rFonts w:ascii="Times New Roman" w:hAnsi="Times New Roman" w:cs="Times New Roman"/>
          <w:szCs w:val="21"/>
        </w:rPr>
        <w:t>) selected after intersection. KEGG analysis was performed on the genes with high expression (</w:t>
      </w:r>
      <w:r w:rsidR="0092608E">
        <w:rPr>
          <w:rFonts w:ascii="Times New Roman" w:hAnsi="Times New Roman" w:cs="Times New Roman" w:hint="eastAsia"/>
          <w:szCs w:val="21"/>
        </w:rPr>
        <w:t>E</w:t>
      </w:r>
      <w:r w:rsidR="0092608E" w:rsidRPr="002D0364">
        <w:rPr>
          <w:rFonts w:ascii="Times New Roman" w:hAnsi="Times New Roman" w:cs="Times New Roman"/>
          <w:szCs w:val="21"/>
        </w:rPr>
        <w:t>) and low expression (</w:t>
      </w:r>
      <w:r w:rsidR="0092608E">
        <w:rPr>
          <w:rFonts w:ascii="Times New Roman" w:hAnsi="Times New Roman" w:cs="Times New Roman" w:hint="eastAsia"/>
          <w:szCs w:val="21"/>
        </w:rPr>
        <w:t>F</w:t>
      </w:r>
      <w:r w:rsidR="0092608E" w:rsidRPr="002D0364">
        <w:rPr>
          <w:rFonts w:ascii="Times New Roman" w:hAnsi="Times New Roman" w:cs="Times New Roman"/>
          <w:szCs w:val="21"/>
        </w:rPr>
        <w:t>) after intersection selection.</w:t>
      </w:r>
    </w:p>
    <w:p w14:paraId="658B9472" w14:textId="1B3A000B" w:rsidR="006B4E01" w:rsidRDefault="006B4E01" w:rsidP="0036703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B206D1B" wp14:editId="55F9744F">
            <wp:extent cx="5274310" cy="33470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712E" w14:textId="6C8E7CEB" w:rsidR="006B4E01" w:rsidRPr="006B4E01" w:rsidRDefault="00A03E1E" w:rsidP="0036703A">
      <w:pPr>
        <w:spacing w:line="480" w:lineRule="auto"/>
        <w:rPr>
          <w:rFonts w:ascii="Times New Roman" w:hAnsi="Times New Roman" w:cs="Times New Roman"/>
        </w:rPr>
      </w:pPr>
      <w:r w:rsidRPr="009D5216">
        <w:rPr>
          <w:rFonts w:ascii="Times New Roman" w:hAnsi="Times New Roman" w:cs="Times New Roman"/>
          <w:bCs/>
          <w:szCs w:val="21"/>
        </w:rPr>
        <w:t>Supplementary</w:t>
      </w:r>
      <w:r w:rsidRPr="009D5216">
        <w:rPr>
          <w:rFonts w:ascii="Times New Roman" w:hAnsi="Times New Roman" w:cs="Times New Roman" w:hint="eastAsia"/>
          <w:bCs/>
          <w:szCs w:val="21"/>
        </w:rPr>
        <w:t xml:space="preserve"> </w:t>
      </w:r>
      <w:r w:rsidRPr="009D5216">
        <w:rPr>
          <w:rFonts w:ascii="Times New Roman" w:hAnsi="Times New Roman" w:cs="Times New Roman"/>
          <w:bCs/>
          <w:szCs w:val="21"/>
        </w:rPr>
        <w:t>Figure</w:t>
      </w:r>
      <w:r w:rsidRPr="009D5216">
        <w:rPr>
          <w:rFonts w:ascii="Times New Roman" w:hAnsi="Times New Roman" w:cs="Times New Roman" w:hint="eastAsia"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S</w:t>
      </w:r>
      <w:r w:rsidR="00DF754A">
        <w:rPr>
          <w:rFonts w:ascii="Times New Roman" w:hAnsi="Times New Roman" w:cs="Times New Roman"/>
          <w:bCs/>
          <w:szCs w:val="21"/>
        </w:rPr>
        <w:t>3</w:t>
      </w:r>
      <w:r w:rsidR="006B4E01">
        <w:rPr>
          <w:rFonts w:ascii="Times New Roman" w:hAnsi="Times New Roman" w:cs="Times New Roman"/>
          <w:szCs w:val="21"/>
        </w:rPr>
        <w:t xml:space="preserve"> </w:t>
      </w:r>
      <w:r w:rsidR="006B4E01" w:rsidRPr="006B4E01">
        <w:rPr>
          <w:rFonts w:ascii="Times New Roman" w:hAnsi="Times New Roman" w:cs="Times New Roman"/>
          <w:szCs w:val="21"/>
        </w:rPr>
        <w:t>Full-length</w:t>
      </w:r>
      <w:r w:rsidR="006B4E01">
        <w:rPr>
          <w:rFonts w:ascii="Times New Roman" w:hAnsi="Times New Roman" w:cs="Times New Roman"/>
          <w:szCs w:val="21"/>
        </w:rPr>
        <w:t xml:space="preserve"> of all blots.</w:t>
      </w:r>
    </w:p>
    <w:p w14:paraId="52F5F689" w14:textId="77777777" w:rsidR="00FC5BE0" w:rsidRDefault="00FC5BE0">
      <w:pPr>
        <w:widowControl/>
        <w:jc w:val="left"/>
      </w:pPr>
      <w:r>
        <w:br w:type="page"/>
      </w:r>
    </w:p>
    <w:p w14:paraId="40FFCD2C" w14:textId="77777777" w:rsidR="00B437F3" w:rsidRPr="00810C2E" w:rsidRDefault="00B437F3"/>
    <w:p w14:paraId="306EDDF0" w14:textId="77777777" w:rsidR="00FC5BE0" w:rsidRPr="00810C2E" w:rsidRDefault="00FC5BE0" w:rsidP="00FC5BE0">
      <w:pPr>
        <w:spacing w:line="360" w:lineRule="auto"/>
        <w:jc w:val="center"/>
        <w:rPr>
          <w:rFonts w:ascii="Times New Roman" w:hAnsi="Times New Roman" w:cs="Times New Roman"/>
        </w:rPr>
      </w:pPr>
      <w:r w:rsidRPr="00810C2E">
        <w:rPr>
          <w:rFonts w:ascii="Times New Roman" w:hAnsi="Times New Roman" w:cs="Times New Roman"/>
        </w:rPr>
        <w:t>Table.S1 Information about primary antibodies</w:t>
      </w:r>
    </w:p>
    <w:tbl>
      <w:tblPr>
        <w:tblW w:w="9672" w:type="dxa"/>
        <w:jc w:val="center"/>
        <w:tblLayout w:type="fixed"/>
        <w:tblLook w:val="0000" w:firstRow="0" w:lastRow="0" w:firstColumn="0" w:lastColumn="0" w:noHBand="0" w:noVBand="0"/>
      </w:tblPr>
      <w:tblGrid>
        <w:gridCol w:w="3912"/>
        <w:gridCol w:w="199"/>
        <w:gridCol w:w="1675"/>
        <w:gridCol w:w="2552"/>
        <w:gridCol w:w="1334"/>
      </w:tblGrid>
      <w:tr w:rsidR="00810C2E" w:rsidRPr="00810C2E" w14:paraId="32335A70" w14:textId="77777777" w:rsidTr="005C4D2C">
        <w:trPr>
          <w:trHeight w:val="323"/>
          <w:jc w:val="center"/>
        </w:trPr>
        <w:tc>
          <w:tcPr>
            <w:tcW w:w="391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450892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</w:rPr>
              <w:t>Primary antibody</w:t>
            </w:r>
          </w:p>
        </w:tc>
        <w:tc>
          <w:tcPr>
            <w:tcW w:w="187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B668E58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  <w:shd w:val="clear" w:color="auto" w:fill="FFFFFF"/>
              </w:rPr>
              <w:t>Dilution ratio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6FC6D9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Manufacturer</w:t>
            </w:r>
          </w:p>
        </w:tc>
        <w:tc>
          <w:tcPr>
            <w:tcW w:w="13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2C367E" w14:textId="77777777" w:rsidR="00FC5BE0" w:rsidRPr="00810C2E" w:rsidRDefault="00FC5BE0" w:rsidP="005C4D2C">
            <w:pPr>
              <w:spacing w:line="360" w:lineRule="auto"/>
              <w:jc w:val="center"/>
              <w:rPr>
                <w:shd w:val="clear" w:color="auto" w:fill="FFFFFF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Number</w:t>
            </w:r>
          </w:p>
        </w:tc>
      </w:tr>
      <w:tr w:rsidR="00810C2E" w:rsidRPr="00810C2E" w14:paraId="6ED01752" w14:textId="77777777" w:rsidTr="005C4D2C">
        <w:trPr>
          <w:trHeight w:val="323"/>
          <w:jc w:val="center"/>
        </w:trPr>
        <w:tc>
          <w:tcPr>
            <w:tcW w:w="4111" w:type="dxa"/>
            <w:gridSpan w:val="2"/>
            <w:tcBorders>
              <w:top w:val="single" w:sz="8" w:space="0" w:color="auto"/>
            </w:tcBorders>
            <w:vAlign w:val="center"/>
          </w:tcPr>
          <w:p w14:paraId="77214C48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RNH1</w:t>
            </w:r>
          </w:p>
        </w:tc>
        <w:tc>
          <w:tcPr>
            <w:tcW w:w="1675" w:type="dxa"/>
            <w:tcBorders>
              <w:top w:val="single" w:sz="8" w:space="0" w:color="auto"/>
            </w:tcBorders>
            <w:vAlign w:val="center"/>
          </w:tcPr>
          <w:p w14:paraId="53785EF1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14:paraId="4BDF15E6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Affinity</w:t>
            </w:r>
          </w:p>
        </w:tc>
        <w:tc>
          <w:tcPr>
            <w:tcW w:w="1334" w:type="dxa"/>
            <w:tcBorders>
              <w:top w:val="single" w:sz="8" w:space="0" w:color="auto"/>
            </w:tcBorders>
            <w:vAlign w:val="center"/>
          </w:tcPr>
          <w:p w14:paraId="4857E3EF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DF1217</w:t>
            </w:r>
          </w:p>
        </w:tc>
      </w:tr>
      <w:tr w:rsidR="00810C2E" w:rsidRPr="00810C2E" w14:paraId="5135A60A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401B9A47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proliferating cell nuclear antigen (PCNA)</w:t>
            </w:r>
          </w:p>
        </w:tc>
        <w:tc>
          <w:tcPr>
            <w:tcW w:w="1675" w:type="dxa"/>
            <w:vAlign w:val="center"/>
          </w:tcPr>
          <w:p w14:paraId="7DFA686F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2552" w:type="dxa"/>
            <w:vAlign w:val="center"/>
          </w:tcPr>
          <w:p w14:paraId="0A8577F1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  <w:r w:rsidRPr="00810C2E">
              <w:rPr>
                <w:rFonts w:ascii="Times New Roman" w:hAnsi="Times New Roman" w:cs="Times New Roman"/>
                <w:szCs w:val="21"/>
              </w:rPr>
              <w:t>, Wuhan, China</w:t>
            </w:r>
          </w:p>
        </w:tc>
        <w:tc>
          <w:tcPr>
            <w:tcW w:w="1334" w:type="dxa"/>
            <w:vAlign w:val="center"/>
          </w:tcPr>
          <w:p w14:paraId="3D5717B7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A12427</w:t>
            </w:r>
          </w:p>
        </w:tc>
      </w:tr>
      <w:tr w:rsidR="00810C2E" w:rsidRPr="00810C2E" w14:paraId="3760FD2D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122FB051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cyclin dependent kinase 2 (CDK2)</w:t>
            </w:r>
          </w:p>
        </w:tc>
        <w:tc>
          <w:tcPr>
            <w:tcW w:w="1675" w:type="dxa"/>
            <w:vAlign w:val="center"/>
          </w:tcPr>
          <w:p w14:paraId="4A8BCF5E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2552" w:type="dxa"/>
            <w:vAlign w:val="center"/>
          </w:tcPr>
          <w:p w14:paraId="709F2EF9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25DA00E4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A0294</w:t>
            </w:r>
          </w:p>
        </w:tc>
      </w:tr>
      <w:tr w:rsidR="00810C2E" w:rsidRPr="00810C2E" w14:paraId="30E2B8AC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1EDD72BA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Cyclin</w:t>
            </w:r>
          </w:p>
        </w:tc>
        <w:tc>
          <w:tcPr>
            <w:tcW w:w="1675" w:type="dxa"/>
            <w:vAlign w:val="center"/>
          </w:tcPr>
          <w:p w14:paraId="30871912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500</w:t>
            </w:r>
          </w:p>
        </w:tc>
        <w:tc>
          <w:tcPr>
            <w:tcW w:w="2552" w:type="dxa"/>
            <w:vAlign w:val="center"/>
          </w:tcPr>
          <w:p w14:paraId="49D996AA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3B75CA68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AF0142</w:t>
            </w:r>
          </w:p>
        </w:tc>
      </w:tr>
      <w:tr w:rsidR="00810C2E" w:rsidRPr="00810C2E" w14:paraId="5D55C182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04D35D81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cyclin-dependent kinase inhibitor 1A (p21)</w:t>
            </w:r>
          </w:p>
        </w:tc>
        <w:tc>
          <w:tcPr>
            <w:tcW w:w="1675" w:type="dxa"/>
            <w:vAlign w:val="center"/>
          </w:tcPr>
          <w:p w14:paraId="3BB6C820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500</w:t>
            </w:r>
          </w:p>
        </w:tc>
        <w:tc>
          <w:tcPr>
            <w:tcW w:w="2552" w:type="dxa"/>
            <w:vAlign w:val="center"/>
          </w:tcPr>
          <w:p w14:paraId="6E28382F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180044A2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A2691</w:t>
            </w:r>
          </w:p>
        </w:tc>
      </w:tr>
      <w:tr w:rsidR="00810C2E" w:rsidRPr="00810C2E" w14:paraId="690EF0D1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3DED7D15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Calcineurin E (E-cadherin)</w:t>
            </w:r>
          </w:p>
        </w:tc>
        <w:tc>
          <w:tcPr>
            <w:tcW w:w="1675" w:type="dxa"/>
            <w:vAlign w:val="center"/>
          </w:tcPr>
          <w:p w14:paraId="5AE454D6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500</w:t>
            </w:r>
          </w:p>
        </w:tc>
        <w:tc>
          <w:tcPr>
            <w:tcW w:w="2552" w:type="dxa"/>
            <w:vAlign w:val="center"/>
          </w:tcPr>
          <w:p w14:paraId="04977727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41C2CBBD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A3044</w:t>
            </w:r>
          </w:p>
        </w:tc>
      </w:tr>
      <w:tr w:rsidR="00810C2E" w:rsidRPr="00810C2E" w14:paraId="3A7A88DD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7D3975FC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Vimentin</w:t>
            </w:r>
          </w:p>
        </w:tc>
        <w:tc>
          <w:tcPr>
            <w:tcW w:w="1675" w:type="dxa"/>
            <w:vAlign w:val="center"/>
          </w:tcPr>
          <w:p w14:paraId="2070529D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1: 1000</w:t>
            </w:r>
          </w:p>
        </w:tc>
        <w:tc>
          <w:tcPr>
            <w:tcW w:w="2552" w:type="dxa"/>
            <w:vAlign w:val="center"/>
          </w:tcPr>
          <w:p w14:paraId="101E1380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Affinity</w:t>
            </w:r>
          </w:p>
        </w:tc>
        <w:tc>
          <w:tcPr>
            <w:tcW w:w="1334" w:type="dxa"/>
            <w:vAlign w:val="center"/>
          </w:tcPr>
          <w:p w14:paraId="6CDECD65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AF7013</w:t>
            </w:r>
          </w:p>
        </w:tc>
      </w:tr>
      <w:tr w:rsidR="00810C2E" w:rsidRPr="00810C2E" w14:paraId="572AE924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09E152CA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Twist</w:t>
            </w:r>
          </w:p>
        </w:tc>
        <w:tc>
          <w:tcPr>
            <w:tcW w:w="1675" w:type="dxa"/>
            <w:vAlign w:val="center"/>
          </w:tcPr>
          <w:p w14:paraId="2431D452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2552" w:type="dxa"/>
            <w:vAlign w:val="center"/>
          </w:tcPr>
          <w:p w14:paraId="26AB0576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09FD5823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A3237</w:t>
            </w:r>
          </w:p>
        </w:tc>
      </w:tr>
      <w:tr w:rsidR="00810C2E" w:rsidRPr="00810C2E" w14:paraId="3CC917AE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243EED49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Bcl-2 associated death promoter (BCL-</w:t>
            </w:r>
            <w:proofErr w:type="spellStart"/>
            <w:r w:rsidRPr="00810C2E">
              <w:rPr>
                <w:rFonts w:ascii="Times New Roman" w:hAnsi="Times New Roman" w:cs="Times New Roman"/>
              </w:rPr>
              <w:t>xL</w:t>
            </w:r>
            <w:proofErr w:type="spellEnd"/>
            <w:r w:rsidRPr="00810C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5" w:type="dxa"/>
            <w:vAlign w:val="center"/>
          </w:tcPr>
          <w:p w14:paraId="1D21CFE1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2552" w:type="dxa"/>
            <w:vAlign w:val="center"/>
          </w:tcPr>
          <w:p w14:paraId="3530B3B8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286B708A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A19703</w:t>
            </w:r>
          </w:p>
        </w:tc>
      </w:tr>
      <w:tr w:rsidR="00810C2E" w:rsidRPr="00810C2E" w14:paraId="48D2FDD9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099E34DF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BCL2 associated agonist of cell death (Bad)</w:t>
            </w:r>
          </w:p>
        </w:tc>
        <w:tc>
          <w:tcPr>
            <w:tcW w:w="1675" w:type="dxa"/>
            <w:vAlign w:val="center"/>
          </w:tcPr>
          <w:p w14:paraId="155F0D81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2552" w:type="dxa"/>
            <w:vAlign w:val="center"/>
          </w:tcPr>
          <w:p w14:paraId="7A95D411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60F597F2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A19595</w:t>
            </w:r>
          </w:p>
        </w:tc>
      </w:tr>
      <w:tr w:rsidR="00810C2E" w:rsidRPr="00810C2E" w14:paraId="06B1C152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61614CFD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cleaved caspase 3</w:t>
            </w:r>
          </w:p>
        </w:tc>
        <w:tc>
          <w:tcPr>
            <w:tcW w:w="1675" w:type="dxa"/>
            <w:vAlign w:val="center"/>
          </w:tcPr>
          <w:p w14:paraId="6CD379F9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2552" w:type="dxa"/>
            <w:vAlign w:val="center"/>
          </w:tcPr>
          <w:p w14:paraId="07FB2D29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Affinity</w:t>
            </w:r>
          </w:p>
        </w:tc>
        <w:tc>
          <w:tcPr>
            <w:tcW w:w="1334" w:type="dxa"/>
            <w:vAlign w:val="center"/>
          </w:tcPr>
          <w:p w14:paraId="4A00405B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AF7022</w:t>
            </w:r>
          </w:p>
        </w:tc>
      </w:tr>
      <w:tr w:rsidR="00810C2E" w:rsidRPr="00810C2E" w14:paraId="1086296B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6C522D98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E2F1</w:t>
            </w:r>
          </w:p>
        </w:tc>
        <w:tc>
          <w:tcPr>
            <w:tcW w:w="1675" w:type="dxa"/>
            <w:vAlign w:val="center"/>
          </w:tcPr>
          <w:p w14:paraId="27AC1303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</w:t>
            </w:r>
          </w:p>
        </w:tc>
        <w:tc>
          <w:tcPr>
            <w:tcW w:w="2552" w:type="dxa"/>
            <w:vAlign w:val="center"/>
          </w:tcPr>
          <w:p w14:paraId="0F62180F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4141B33E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A19579</w:t>
            </w:r>
          </w:p>
        </w:tc>
      </w:tr>
      <w:tr w:rsidR="00810C2E" w:rsidRPr="00810C2E" w14:paraId="53D0D1F6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74CA9DA8" w14:textId="4B4DA5C7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p-Erk1/2</w:t>
            </w:r>
          </w:p>
        </w:tc>
        <w:tc>
          <w:tcPr>
            <w:tcW w:w="1675" w:type="dxa"/>
            <w:vAlign w:val="center"/>
          </w:tcPr>
          <w:p w14:paraId="1C0F2BAC" w14:textId="67BA059B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 w:hint="eastAsia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：</w:t>
            </w:r>
            <w:r w:rsidRPr="00810C2E">
              <w:rPr>
                <w:rFonts w:ascii="Times New Roman" w:hAnsi="Times New Roman" w:cs="Times New Roman" w:hint="eastAsia"/>
              </w:rPr>
              <w:t>1000</w:t>
            </w:r>
          </w:p>
        </w:tc>
        <w:tc>
          <w:tcPr>
            <w:tcW w:w="2552" w:type="dxa"/>
            <w:vAlign w:val="center"/>
          </w:tcPr>
          <w:p w14:paraId="0D0B1FDB" w14:textId="1394184F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7ED1DB23" w14:textId="1CDADE6F" w:rsidR="00BD2FA7" w:rsidRPr="00810C2E" w:rsidRDefault="004267DB" w:rsidP="004267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C2E">
              <w:rPr>
                <w:rFonts w:ascii="Times New Roman" w:hAnsi="Times New Roman" w:cs="Times New Roman"/>
                <w:sz w:val="20"/>
                <w:szCs w:val="20"/>
              </w:rPr>
              <w:t>A22447</w:t>
            </w:r>
          </w:p>
        </w:tc>
      </w:tr>
      <w:tr w:rsidR="00810C2E" w:rsidRPr="00810C2E" w14:paraId="7E14F166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2DB5C5D1" w14:textId="7CDDB089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 xml:space="preserve">Erk1/2 </w:t>
            </w:r>
          </w:p>
        </w:tc>
        <w:tc>
          <w:tcPr>
            <w:tcW w:w="1675" w:type="dxa"/>
            <w:vAlign w:val="center"/>
          </w:tcPr>
          <w:p w14:paraId="31729B7F" w14:textId="7823B508" w:rsidR="00BD2FA7" w:rsidRPr="00810C2E" w:rsidRDefault="004267DB" w:rsidP="004267D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C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0C2E">
              <w:rPr>
                <w:rFonts w:cs="Times New Roman" w:hint="eastAsia"/>
                <w:sz w:val="20"/>
                <w:szCs w:val="20"/>
              </w:rPr>
              <w:t>：</w:t>
            </w:r>
            <w:r w:rsidRPr="00810C2E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552" w:type="dxa"/>
            <w:vAlign w:val="center"/>
          </w:tcPr>
          <w:p w14:paraId="14C4364C" w14:textId="43A70840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4663CF4F" w14:textId="0130DB97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A4782</w:t>
            </w:r>
          </w:p>
        </w:tc>
      </w:tr>
      <w:tr w:rsidR="00810C2E" w:rsidRPr="00810C2E" w14:paraId="630A781F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0DC3D2DB" w14:textId="5FCA7187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 xml:space="preserve">p-MEK1/2 </w:t>
            </w:r>
          </w:p>
        </w:tc>
        <w:tc>
          <w:tcPr>
            <w:tcW w:w="1675" w:type="dxa"/>
            <w:vAlign w:val="center"/>
          </w:tcPr>
          <w:p w14:paraId="2C7CD867" w14:textId="4B1F14BF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 w:hint="eastAsia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：</w:t>
            </w:r>
            <w:r w:rsidRPr="00810C2E">
              <w:rPr>
                <w:rFonts w:ascii="Times New Roman" w:hAnsi="Times New Roman" w:cs="Times New Roman" w:hint="eastAsia"/>
              </w:rPr>
              <w:t>500</w:t>
            </w:r>
          </w:p>
        </w:tc>
        <w:tc>
          <w:tcPr>
            <w:tcW w:w="2552" w:type="dxa"/>
            <w:vAlign w:val="center"/>
          </w:tcPr>
          <w:p w14:paraId="4C86ADC6" w14:textId="3E498E71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65C57445" w14:textId="300F643B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AP1349</w:t>
            </w:r>
          </w:p>
        </w:tc>
      </w:tr>
      <w:tr w:rsidR="00810C2E" w:rsidRPr="00810C2E" w14:paraId="76311701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280E982C" w14:textId="74722853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 xml:space="preserve">MEK1/2 </w:t>
            </w:r>
          </w:p>
        </w:tc>
        <w:tc>
          <w:tcPr>
            <w:tcW w:w="1675" w:type="dxa"/>
            <w:vAlign w:val="center"/>
          </w:tcPr>
          <w:p w14:paraId="52F0A4BA" w14:textId="7DD21581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 w:hint="eastAsia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：</w:t>
            </w:r>
            <w:r w:rsidRPr="00810C2E">
              <w:rPr>
                <w:rFonts w:ascii="Times New Roman" w:hAnsi="Times New Roman" w:cs="Times New Roman" w:hint="eastAsia"/>
              </w:rPr>
              <w:t>500</w:t>
            </w:r>
          </w:p>
        </w:tc>
        <w:tc>
          <w:tcPr>
            <w:tcW w:w="2552" w:type="dxa"/>
            <w:vAlign w:val="center"/>
          </w:tcPr>
          <w:p w14:paraId="74EC5E1E" w14:textId="3BBBA17D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2AE389FA" w14:textId="30B9717A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A4868</w:t>
            </w:r>
          </w:p>
        </w:tc>
      </w:tr>
      <w:tr w:rsidR="00810C2E" w:rsidRPr="00810C2E" w14:paraId="331BEE24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74169F30" w14:textId="5A81E1A6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 xml:space="preserve">p-PI3Kp85/p55 </w:t>
            </w:r>
          </w:p>
        </w:tc>
        <w:tc>
          <w:tcPr>
            <w:tcW w:w="1675" w:type="dxa"/>
            <w:vAlign w:val="center"/>
          </w:tcPr>
          <w:p w14:paraId="22E5F2EB" w14:textId="2191DDCE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 w:hint="eastAsia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：</w:t>
            </w:r>
            <w:r w:rsidRPr="00810C2E">
              <w:rPr>
                <w:rFonts w:ascii="Times New Roman" w:hAnsi="Times New Roman" w:cs="Times New Roman" w:hint="eastAsia"/>
              </w:rPr>
              <w:t>1000</w:t>
            </w:r>
          </w:p>
        </w:tc>
        <w:tc>
          <w:tcPr>
            <w:tcW w:w="2552" w:type="dxa"/>
            <w:vAlign w:val="center"/>
          </w:tcPr>
          <w:p w14:paraId="6AA4EC39" w14:textId="13D6E97A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Affinity</w:t>
            </w:r>
          </w:p>
        </w:tc>
        <w:tc>
          <w:tcPr>
            <w:tcW w:w="1334" w:type="dxa"/>
            <w:vAlign w:val="center"/>
          </w:tcPr>
          <w:p w14:paraId="54073227" w14:textId="22B5B958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AF3242</w:t>
            </w:r>
          </w:p>
        </w:tc>
      </w:tr>
      <w:tr w:rsidR="00810C2E" w:rsidRPr="00810C2E" w14:paraId="07D5798E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63F6BB7E" w14:textId="43BA93EB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PI3K</w:t>
            </w:r>
          </w:p>
        </w:tc>
        <w:tc>
          <w:tcPr>
            <w:tcW w:w="1675" w:type="dxa"/>
            <w:vAlign w:val="center"/>
          </w:tcPr>
          <w:p w14:paraId="0B83C298" w14:textId="548624D4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 w:hint="eastAsia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：</w:t>
            </w:r>
            <w:r w:rsidRPr="00810C2E">
              <w:rPr>
                <w:rFonts w:ascii="Times New Roman" w:hAnsi="Times New Roman" w:cs="Times New Roman" w:hint="eastAsia"/>
              </w:rPr>
              <w:t>1000</w:t>
            </w:r>
          </w:p>
        </w:tc>
        <w:tc>
          <w:tcPr>
            <w:tcW w:w="2552" w:type="dxa"/>
            <w:vAlign w:val="center"/>
          </w:tcPr>
          <w:p w14:paraId="58CCF152" w14:textId="6C902AF7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Affinity</w:t>
            </w:r>
          </w:p>
        </w:tc>
        <w:tc>
          <w:tcPr>
            <w:tcW w:w="1334" w:type="dxa"/>
            <w:vAlign w:val="center"/>
          </w:tcPr>
          <w:p w14:paraId="4952C828" w14:textId="38E5691E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AF6783</w:t>
            </w:r>
          </w:p>
        </w:tc>
      </w:tr>
      <w:tr w:rsidR="00810C2E" w:rsidRPr="00810C2E" w14:paraId="15303A50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7CE5722D" w14:textId="67C96673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 xml:space="preserve">p-Akt </w:t>
            </w:r>
          </w:p>
        </w:tc>
        <w:tc>
          <w:tcPr>
            <w:tcW w:w="1675" w:type="dxa"/>
            <w:vAlign w:val="center"/>
          </w:tcPr>
          <w:p w14:paraId="095A3524" w14:textId="7A05CA54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 w:hint="eastAsia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：</w:t>
            </w:r>
            <w:r w:rsidRPr="00810C2E">
              <w:rPr>
                <w:rFonts w:ascii="Times New Roman" w:hAnsi="Times New Roman" w:cs="Times New Roman" w:hint="eastAsia"/>
              </w:rPr>
              <w:t>1000</w:t>
            </w:r>
          </w:p>
        </w:tc>
        <w:tc>
          <w:tcPr>
            <w:tcW w:w="2552" w:type="dxa"/>
            <w:vAlign w:val="center"/>
          </w:tcPr>
          <w:p w14:paraId="64B5653E" w14:textId="2077E55A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1DF9DA16" w14:textId="4D0F7CEE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AP1208</w:t>
            </w:r>
          </w:p>
        </w:tc>
      </w:tr>
      <w:tr w:rsidR="00810C2E" w:rsidRPr="00810C2E" w14:paraId="30C9ED61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78A1F891" w14:textId="346C3FF1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 xml:space="preserve">Akt </w:t>
            </w:r>
          </w:p>
        </w:tc>
        <w:tc>
          <w:tcPr>
            <w:tcW w:w="1675" w:type="dxa"/>
            <w:vAlign w:val="center"/>
          </w:tcPr>
          <w:p w14:paraId="78C9BBCC" w14:textId="61884BE6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 w:hint="eastAsia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：</w:t>
            </w:r>
            <w:r w:rsidRPr="00810C2E">
              <w:rPr>
                <w:rFonts w:ascii="Times New Roman" w:hAnsi="Times New Roman" w:cs="Times New Roman" w:hint="eastAsia"/>
              </w:rPr>
              <w:t>1000</w:t>
            </w:r>
          </w:p>
        </w:tc>
        <w:tc>
          <w:tcPr>
            <w:tcW w:w="2552" w:type="dxa"/>
            <w:vAlign w:val="center"/>
          </w:tcPr>
          <w:p w14:paraId="6E367B51" w14:textId="32A67E65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/>
                <w:szCs w:val="21"/>
              </w:rPr>
              <w:t>Abclonal</w:t>
            </w:r>
            <w:proofErr w:type="spellEnd"/>
          </w:p>
        </w:tc>
        <w:tc>
          <w:tcPr>
            <w:tcW w:w="1334" w:type="dxa"/>
            <w:vAlign w:val="center"/>
          </w:tcPr>
          <w:p w14:paraId="3B25B628" w14:textId="7FC297F0" w:rsidR="00BD2FA7" w:rsidRPr="00810C2E" w:rsidRDefault="004267DB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A17909</w:t>
            </w:r>
          </w:p>
        </w:tc>
      </w:tr>
      <w:tr w:rsidR="00810C2E" w:rsidRPr="00810C2E" w14:paraId="2C5A6314" w14:textId="77777777" w:rsidTr="005C4D2C">
        <w:trPr>
          <w:trHeight w:val="323"/>
          <w:jc w:val="center"/>
        </w:trPr>
        <w:tc>
          <w:tcPr>
            <w:tcW w:w="4111" w:type="dxa"/>
            <w:gridSpan w:val="2"/>
            <w:vAlign w:val="center"/>
          </w:tcPr>
          <w:p w14:paraId="649408ED" w14:textId="01EC73B3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MMP9</w:t>
            </w:r>
          </w:p>
        </w:tc>
        <w:tc>
          <w:tcPr>
            <w:tcW w:w="1675" w:type="dxa"/>
            <w:vAlign w:val="center"/>
          </w:tcPr>
          <w:p w14:paraId="1E275B4B" w14:textId="4A8B956F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1:100</w:t>
            </w:r>
          </w:p>
        </w:tc>
        <w:tc>
          <w:tcPr>
            <w:tcW w:w="2552" w:type="dxa"/>
            <w:vAlign w:val="center"/>
          </w:tcPr>
          <w:p w14:paraId="66E61500" w14:textId="7340D62B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Affinity</w:t>
            </w:r>
          </w:p>
        </w:tc>
        <w:tc>
          <w:tcPr>
            <w:tcW w:w="1334" w:type="dxa"/>
            <w:vAlign w:val="center"/>
          </w:tcPr>
          <w:p w14:paraId="23C08927" w14:textId="7BAE5BA2" w:rsidR="00BD2FA7" w:rsidRPr="00810C2E" w:rsidRDefault="00BD2FA7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  <w:szCs w:val="21"/>
              </w:rPr>
              <w:t>AF5228</w:t>
            </w:r>
          </w:p>
        </w:tc>
      </w:tr>
      <w:tr w:rsidR="00810C2E" w:rsidRPr="00810C2E" w14:paraId="6D3D9A88" w14:textId="77777777" w:rsidTr="005C4D2C">
        <w:trPr>
          <w:trHeight w:val="323"/>
          <w:jc w:val="center"/>
        </w:trPr>
        <w:tc>
          <w:tcPr>
            <w:tcW w:w="4111" w:type="dxa"/>
            <w:gridSpan w:val="2"/>
            <w:tcBorders>
              <w:bottom w:val="single" w:sz="12" w:space="0" w:color="auto"/>
            </w:tcBorders>
            <w:vAlign w:val="center"/>
          </w:tcPr>
          <w:p w14:paraId="05EFA3D3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vAlign w:val="center"/>
          </w:tcPr>
          <w:p w14:paraId="556C80BC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C2E">
              <w:rPr>
                <w:rFonts w:ascii="Times New Roman" w:hAnsi="Times New Roman" w:cs="Times New Roman"/>
              </w:rPr>
              <w:t>1</w:t>
            </w:r>
            <w:r w:rsidRPr="00810C2E">
              <w:rPr>
                <w:rFonts w:ascii="Times New Roman" w:hAnsi="Times New Roman" w:cs="Times New Roman" w:hint="eastAsia"/>
              </w:rPr>
              <w:t>:</w:t>
            </w:r>
            <w:r w:rsidRPr="00810C2E">
              <w:rPr>
                <w:rFonts w:ascii="Times New Roman" w:hAnsi="Times New Roman" w:cs="Times New Roman"/>
              </w:rPr>
              <w:t xml:space="preserve"> 10000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3E939725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10C2E">
              <w:rPr>
                <w:rFonts w:ascii="Times New Roman" w:hAnsi="Times New Roman" w:cs="Times New Roman" w:hint="eastAsia"/>
              </w:rPr>
              <w:t>P</w:t>
            </w:r>
            <w:r w:rsidRPr="00810C2E">
              <w:rPr>
                <w:rFonts w:ascii="Times New Roman" w:hAnsi="Times New Roman" w:cs="Times New Roman"/>
              </w:rPr>
              <w:t>roteintech</w:t>
            </w:r>
            <w:proofErr w:type="spellEnd"/>
            <w:r w:rsidRPr="00810C2E"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proofErr w:type="gramStart"/>
            <w:r w:rsidRPr="00810C2E">
              <w:rPr>
                <w:rFonts w:ascii="Times New Roman" w:hAnsi="Times New Roman" w:cs="Times New Roman"/>
                <w:szCs w:val="21"/>
              </w:rPr>
              <w:t>Wuhan</w:t>
            </w:r>
            <w:r w:rsidRPr="00810C2E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810C2E">
              <w:rPr>
                <w:rFonts w:ascii="Times New Roman" w:hAnsi="Times New Roman" w:cs="Times New Roman"/>
                <w:szCs w:val="21"/>
              </w:rPr>
              <w:t>China</w:t>
            </w:r>
            <w:proofErr w:type="spellEnd"/>
            <w:proofErr w:type="gramEnd"/>
          </w:p>
        </w:tc>
        <w:tc>
          <w:tcPr>
            <w:tcW w:w="1334" w:type="dxa"/>
            <w:tcBorders>
              <w:bottom w:val="single" w:sz="12" w:space="0" w:color="auto"/>
            </w:tcBorders>
            <w:vAlign w:val="center"/>
          </w:tcPr>
          <w:p w14:paraId="3F1A4108" w14:textId="77777777" w:rsidR="00FC5BE0" w:rsidRPr="00810C2E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10C2E">
              <w:rPr>
                <w:rFonts w:ascii="Times New Roman" w:hAnsi="Times New Roman" w:cs="Times New Roman"/>
              </w:rPr>
              <w:t>60004-1-Ig</w:t>
            </w:r>
          </w:p>
        </w:tc>
      </w:tr>
    </w:tbl>
    <w:p w14:paraId="6F5E504F" w14:textId="77777777" w:rsidR="00FC5BE0" w:rsidRPr="00F05930" w:rsidRDefault="00FC5BE0" w:rsidP="00FC5BE0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 w:rsidRPr="00F05930">
        <w:rPr>
          <w:rFonts w:ascii="Times New Roman" w:hAnsi="Times New Roman" w:cs="Times New Roman"/>
        </w:rPr>
        <w:t xml:space="preserve">ilution </w:t>
      </w:r>
      <w:r>
        <w:rPr>
          <w:rFonts w:ascii="Times New Roman" w:hAnsi="Times New Roman" w:cs="Times New Roman" w:hint="eastAsia"/>
        </w:rPr>
        <w:t>ratio,</w:t>
      </w:r>
      <w:r w:rsidRPr="00F059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anufacturer</w:t>
      </w:r>
      <w:r w:rsidRPr="00F05930">
        <w:rPr>
          <w:rFonts w:ascii="Times New Roman" w:hAnsi="Times New Roman" w:cs="Times New Roman"/>
        </w:rPr>
        <w:t xml:space="preserve"> and catalogue number for primary antibodies used in western blot</w:t>
      </w:r>
      <w:r>
        <w:rPr>
          <w:rFonts w:ascii="Times New Roman" w:hAnsi="Times New Roman" w:cs="Times New Roman" w:hint="eastAsia"/>
        </w:rPr>
        <w:t>.</w:t>
      </w:r>
    </w:p>
    <w:p w14:paraId="103BDF1D" w14:textId="77777777" w:rsidR="00FC5BE0" w:rsidRDefault="00FC5BE0" w:rsidP="00FC5BE0">
      <w:pPr>
        <w:widowControl/>
        <w:spacing w:line="360" w:lineRule="auto"/>
      </w:pPr>
      <w:r>
        <w:t xml:space="preserve"> </w:t>
      </w:r>
    </w:p>
    <w:p w14:paraId="63EB0B1D" w14:textId="77777777" w:rsidR="00223EC5" w:rsidRPr="00FC5BE0" w:rsidRDefault="00223EC5"/>
    <w:p w14:paraId="4B163E7C" w14:textId="77777777" w:rsidR="00FC5BE0" w:rsidRPr="00D36737" w:rsidRDefault="00FC5BE0" w:rsidP="00FC5BE0">
      <w:pPr>
        <w:widowControl/>
        <w:spacing w:line="360" w:lineRule="auto"/>
        <w:jc w:val="center"/>
      </w:pPr>
      <w:r w:rsidRPr="00CF50DF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>.S</w:t>
      </w:r>
      <w:r w:rsidRPr="00CF50DF">
        <w:rPr>
          <w:rFonts w:ascii="Times New Roman" w:hAnsi="Times New Roman" w:cs="Times New Roman"/>
        </w:rPr>
        <w:t xml:space="preserve">2. Correlation between RNH1 expression and clinicopathological features of </w:t>
      </w:r>
      <w:r w:rsidRPr="00CF50DF">
        <w:rPr>
          <w:rFonts w:ascii="Times New Roman" w:hAnsi="Times New Roman" w:cs="Times New Roman" w:hint="eastAsia"/>
        </w:rPr>
        <w:t>LUAD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1226"/>
        <w:gridCol w:w="1184"/>
        <w:gridCol w:w="2708"/>
      </w:tblGrid>
      <w:tr w:rsidR="00FC5BE0" w:rsidRPr="00EC42FB" w14:paraId="1A51E782" w14:textId="77777777" w:rsidTr="005C4D2C">
        <w:trPr>
          <w:trHeight w:val="113"/>
          <w:jc w:val="center"/>
        </w:trPr>
        <w:tc>
          <w:tcPr>
            <w:tcW w:w="1919" w:type="pct"/>
            <w:tcBorders>
              <w:bottom w:val="single" w:sz="4" w:space="0" w:color="auto"/>
              <w:right w:val="nil"/>
            </w:tcBorders>
            <w:vAlign w:val="center"/>
          </w:tcPr>
          <w:p w14:paraId="2F680AEB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Clinicopathological Variables</w:t>
            </w:r>
          </w:p>
        </w:tc>
        <w:tc>
          <w:tcPr>
            <w:tcW w:w="7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77941D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High (36)</w:t>
            </w:r>
          </w:p>
        </w:tc>
        <w:tc>
          <w:tcPr>
            <w:tcW w:w="7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7A05F6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Low (84)</w:t>
            </w:r>
          </w:p>
        </w:tc>
        <w:tc>
          <w:tcPr>
            <w:tcW w:w="1630" w:type="pct"/>
            <w:tcBorders>
              <w:left w:val="nil"/>
              <w:bottom w:val="single" w:sz="4" w:space="0" w:color="auto"/>
            </w:tcBorders>
            <w:vAlign w:val="center"/>
          </w:tcPr>
          <w:p w14:paraId="3F4377A6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 xml:space="preserve">Chi-squared test </w:t>
            </w:r>
            <w:r w:rsidRPr="00020D5A">
              <w:rPr>
                <w:rFonts w:ascii="Times New Roman" w:hAnsi="Times New Roman" w:cs="Times New Roman"/>
                <w:i/>
                <w:iCs/>
              </w:rPr>
              <w:t>P</w:t>
            </w:r>
            <w:r w:rsidRPr="00EC42FB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FC5BE0" w:rsidRPr="00EC42FB" w14:paraId="76B58349" w14:textId="77777777" w:rsidTr="005C4D2C">
        <w:trPr>
          <w:trHeight w:val="113"/>
          <w:jc w:val="center"/>
        </w:trPr>
        <w:tc>
          <w:tcPr>
            <w:tcW w:w="1919" w:type="pct"/>
            <w:tcBorders>
              <w:bottom w:val="nil"/>
              <w:right w:val="nil"/>
            </w:tcBorders>
            <w:vAlign w:val="center"/>
          </w:tcPr>
          <w:p w14:paraId="532B35A6" w14:textId="77777777" w:rsidR="00FC5BE0" w:rsidRPr="00EC42FB" w:rsidRDefault="00FC5BE0" w:rsidP="005C4D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lastRenderedPageBreak/>
              <w:t>Gender</w:t>
            </w:r>
          </w:p>
        </w:tc>
        <w:tc>
          <w:tcPr>
            <w:tcW w:w="738" w:type="pct"/>
            <w:tcBorders>
              <w:left w:val="nil"/>
              <w:bottom w:val="nil"/>
              <w:right w:val="nil"/>
            </w:tcBorders>
            <w:vAlign w:val="center"/>
          </w:tcPr>
          <w:p w14:paraId="3BB60FD3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left w:val="nil"/>
              <w:bottom w:val="nil"/>
              <w:right w:val="nil"/>
            </w:tcBorders>
            <w:vAlign w:val="center"/>
          </w:tcPr>
          <w:p w14:paraId="5289E86B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left w:val="nil"/>
              <w:bottom w:val="nil"/>
            </w:tcBorders>
            <w:vAlign w:val="center"/>
          </w:tcPr>
          <w:p w14:paraId="0FA637C0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19BBBED7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2C7A6CC0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C482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1A95D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430B0B42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18AA4CF8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52950C1B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E4505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AA928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79284349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0.76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C5BE0" w:rsidRPr="00EC42FB" w14:paraId="4B015A3E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58578CE6" w14:textId="77777777" w:rsidR="00FC5BE0" w:rsidRPr="00EC42FB" w:rsidRDefault="00FC5BE0" w:rsidP="005C4D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54659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8824B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451B7FC4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5E19F982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0DEFE6C6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＜</w:t>
            </w:r>
            <w:r w:rsidRPr="00B203F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50322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61AF2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5844AFD2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09AE671C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2585D17C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≥59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530C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8B466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362D7A02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0.713</w:t>
            </w:r>
          </w:p>
        </w:tc>
      </w:tr>
      <w:tr w:rsidR="00FC5BE0" w:rsidRPr="00EC42FB" w14:paraId="5659A26A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02B6627C" w14:textId="77777777" w:rsidR="00FC5BE0" w:rsidRPr="00EC42FB" w:rsidRDefault="00FC5BE0" w:rsidP="005C4D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Tumor size, cm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E333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4DF30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2483261B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63491147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47B896B9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≤1.9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055C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5F34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1A16445B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51C8D76A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0528AFCE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＞</w:t>
            </w:r>
            <w:r w:rsidRPr="00B203F2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D319B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AA87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545EBEC1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0.33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C5BE0" w:rsidRPr="00EC42FB" w14:paraId="62FDF294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20FCED87" w14:textId="77777777" w:rsidR="00FC5BE0" w:rsidRPr="00EC42FB" w:rsidRDefault="00FC5BE0" w:rsidP="005C4D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Primary tumor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11CBA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C663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7DF2B45B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7ACB7717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43500AC8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A6D86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8A9D6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56684FD5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2B61C575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6AA4AFF4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T2/T3/T4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F148F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48186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2BA9C7C6" w14:textId="77777777" w:rsidR="00FC5BE0" w:rsidRPr="00EC42FB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42FB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C5BE0" w:rsidRPr="00EC42FB" w14:paraId="12CF7084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60E0DAC4" w14:textId="77777777" w:rsidR="00FC5BE0" w:rsidRPr="00B203F2" w:rsidRDefault="00FC5BE0" w:rsidP="005C4D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Lymph node metastasis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57310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E8D4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706FF9CF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303C4215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3B1C243D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6F90C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D26BD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36B3F149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40762BBF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12BFDAD3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9728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5D6D0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27CEB804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11F8B5D4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1079245E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E5CB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066B4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0990C596" w14:textId="77777777" w:rsidR="00FC5BE0" w:rsidRPr="00221196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1196">
              <w:rPr>
                <w:rFonts w:ascii="Times New Roman" w:hAnsi="Times New Roman" w:cs="Times New Roman"/>
                <w:b/>
                <w:bCs/>
              </w:rPr>
              <w:t>0.028</w:t>
            </w:r>
          </w:p>
        </w:tc>
      </w:tr>
      <w:tr w:rsidR="00FC5BE0" w:rsidRPr="00EC42FB" w14:paraId="70B6FE16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0D64518C" w14:textId="77777777" w:rsidR="00FC5BE0" w:rsidRPr="00B203F2" w:rsidRDefault="00FC5BE0" w:rsidP="005C4D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Histological grading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91EEE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7DB4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53975C26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1E229E88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373E7B7E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6105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EB42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3C80394A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2B882642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3128884C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18A9F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FECC0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1A9A4650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0DBE7E47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2130787C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B03F6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3E92D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1FB56A5F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0.55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C5BE0" w:rsidRPr="00EC42FB" w14:paraId="0ADA24E3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5FFF335F" w14:textId="77777777" w:rsidR="00FC5BE0" w:rsidRPr="00B203F2" w:rsidRDefault="00FC5BE0" w:rsidP="005C4D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Clinical stages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2AB96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7ECB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2DD621C4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6C10379C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6DC5D348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618C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2362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2938332E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540947F1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45325BF3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II/III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E51EB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979A4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44DC572E" w14:textId="77777777" w:rsidR="00FC5BE0" w:rsidRPr="00221196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1196">
              <w:rPr>
                <w:rFonts w:ascii="Times New Roman" w:hAnsi="Times New Roman" w:cs="Times New Roman"/>
                <w:b/>
                <w:bCs/>
              </w:rPr>
              <w:t>0.034</w:t>
            </w:r>
          </w:p>
        </w:tc>
      </w:tr>
      <w:tr w:rsidR="00FC5BE0" w:rsidRPr="00EC42FB" w14:paraId="403075D3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0319C64A" w14:textId="77777777" w:rsidR="00FC5BE0" w:rsidRPr="00B203F2" w:rsidRDefault="00FC5BE0" w:rsidP="005C4D2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TNM stages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8C147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B83B5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1978891A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48F197CB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1E24EF27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7A4C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61E4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13874F15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69CFAD4B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bottom w:val="nil"/>
              <w:right w:val="nil"/>
            </w:tcBorders>
            <w:vAlign w:val="center"/>
          </w:tcPr>
          <w:p w14:paraId="7759254D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90405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BEFD6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</w:tcBorders>
            <w:vAlign w:val="center"/>
          </w:tcPr>
          <w:p w14:paraId="7FCCAB2C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5BE0" w:rsidRPr="00EC42FB" w14:paraId="41B62429" w14:textId="77777777" w:rsidTr="005C4D2C">
        <w:trPr>
          <w:trHeight w:val="113"/>
          <w:jc w:val="center"/>
        </w:trPr>
        <w:tc>
          <w:tcPr>
            <w:tcW w:w="1919" w:type="pct"/>
            <w:tcBorders>
              <w:top w:val="nil"/>
              <w:right w:val="nil"/>
            </w:tcBorders>
            <w:vAlign w:val="center"/>
          </w:tcPr>
          <w:p w14:paraId="5F380F41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738" w:type="pct"/>
            <w:tcBorders>
              <w:top w:val="nil"/>
              <w:left w:val="nil"/>
              <w:right w:val="nil"/>
            </w:tcBorders>
            <w:vAlign w:val="center"/>
          </w:tcPr>
          <w:p w14:paraId="04AE17DE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vAlign w:val="center"/>
          </w:tcPr>
          <w:p w14:paraId="25D65EAA" w14:textId="77777777" w:rsidR="00FC5BE0" w:rsidRPr="00B203F2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03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pct"/>
            <w:tcBorders>
              <w:top w:val="nil"/>
              <w:left w:val="nil"/>
            </w:tcBorders>
            <w:vAlign w:val="center"/>
          </w:tcPr>
          <w:p w14:paraId="2BFA7062" w14:textId="77777777" w:rsidR="00FC5BE0" w:rsidRPr="00221196" w:rsidRDefault="00FC5BE0" w:rsidP="005C4D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1196">
              <w:rPr>
                <w:rFonts w:ascii="Times New Roman" w:hAnsi="Times New Roman" w:cs="Times New Roman"/>
                <w:b/>
                <w:bCs/>
              </w:rPr>
              <w:t>0.031</w:t>
            </w:r>
          </w:p>
        </w:tc>
      </w:tr>
    </w:tbl>
    <w:p w14:paraId="03961A75" w14:textId="77777777" w:rsidR="00FC5BE0" w:rsidRPr="00D9716C" w:rsidRDefault="00FC5BE0" w:rsidP="00FC5BE0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 w:rsidRPr="00D9716C">
        <w:rPr>
          <w:rFonts w:ascii="Times New Roman" w:hAnsi="Times New Roman" w:cs="Times New Roman"/>
        </w:rPr>
        <w:t>old values meaning statistically significant.</w:t>
      </w:r>
    </w:p>
    <w:p w14:paraId="30819AA6" w14:textId="77777777" w:rsidR="00223EC5" w:rsidRPr="00FC5BE0" w:rsidRDefault="00223EC5"/>
    <w:p w14:paraId="7716A938" w14:textId="77777777" w:rsidR="00223EC5" w:rsidRDefault="00223EC5"/>
    <w:p w14:paraId="3B66BE28" w14:textId="77777777" w:rsidR="00223EC5" w:rsidRDefault="00223EC5" w:rsidP="000422BE">
      <w:pPr>
        <w:spacing w:line="480" w:lineRule="auto"/>
      </w:pPr>
    </w:p>
    <w:sectPr w:rsidR="00223EC5" w:rsidSect="003B0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5112" w14:textId="77777777" w:rsidR="003B04B8" w:rsidRDefault="003B04B8" w:rsidP="0036703A">
      <w:r>
        <w:separator/>
      </w:r>
    </w:p>
  </w:endnote>
  <w:endnote w:type="continuationSeparator" w:id="0">
    <w:p w14:paraId="755490AF" w14:textId="77777777" w:rsidR="003B04B8" w:rsidRDefault="003B04B8" w:rsidP="0036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AA69" w14:textId="77777777" w:rsidR="003B04B8" w:rsidRDefault="003B04B8" w:rsidP="0036703A">
      <w:r>
        <w:separator/>
      </w:r>
    </w:p>
  </w:footnote>
  <w:footnote w:type="continuationSeparator" w:id="0">
    <w:p w14:paraId="3EFF9BFD" w14:textId="77777777" w:rsidR="003B04B8" w:rsidRDefault="003B04B8" w:rsidP="00367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3A"/>
    <w:rsid w:val="00032861"/>
    <w:rsid w:val="000422BE"/>
    <w:rsid w:val="000424F9"/>
    <w:rsid w:val="001D6C3C"/>
    <w:rsid w:val="00214CCB"/>
    <w:rsid w:val="00223EC5"/>
    <w:rsid w:val="00241705"/>
    <w:rsid w:val="00246110"/>
    <w:rsid w:val="00297C81"/>
    <w:rsid w:val="0036703A"/>
    <w:rsid w:val="00392DCC"/>
    <w:rsid w:val="003A0455"/>
    <w:rsid w:val="003B04B8"/>
    <w:rsid w:val="004267DB"/>
    <w:rsid w:val="004C0695"/>
    <w:rsid w:val="005C5E5A"/>
    <w:rsid w:val="006B4E01"/>
    <w:rsid w:val="007E028E"/>
    <w:rsid w:val="00810C2E"/>
    <w:rsid w:val="008334F1"/>
    <w:rsid w:val="00892202"/>
    <w:rsid w:val="008A6D04"/>
    <w:rsid w:val="00920574"/>
    <w:rsid w:val="0092608E"/>
    <w:rsid w:val="00940BCB"/>
    <w:rsid w:val="009D10EF"/>
    <w:rsid w:val="00A03E1E"/>
    <w:rsid w:val="00A810D1"/>
    <w:rsid w:val="00B437F3"/>
    <w:rsid w:val="00BD2FA7"/>
    <w:rsid w:val="00C03D48"/>
    <w:rsid w:val="00CA0C4A"/>
    <w:rsid w:val="00CC29F3"/>
    <w:rsid w:val="00DF754A"/>
    <w:rsid w:val="00DF7A2E"/>
    <w:rsid w:val="00E05678"/>
    <w:rsid w:val="00F91E39"/>
    <w:rsid w:val="00FC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3D419"/>
  <w15:docId w15:val="{5D198655-3D91-4AE9-A675-41CB54C8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0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70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7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703A"/>
    <w:rPr>
      <w:sz w:val="18"/>
      <w:szCs w:val="18"/>
    </w:rPr>
  </w:style>
  <w:style w:type="table" w:styleId="a7">
    <w:name w:val="Table Grid"/>
    <w:basedOn w:val="a1"/>
    <w:uiPriority w:val="39"/>
    <w:rsid w:val="00FC5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420</Words>
  <Characters>2394</Characters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2023-05-31T02:01:00Z</dcterms:created>
  <dcterms:modified xsi:type="dcterms:W3CDTF">2024-04-03T07:36:00Z</dcterms:modified>
</cp:coreProperties>
</file>