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E63C5" w14:textId="7B111898" w:rsidR="00420DCE" w:rsidRPr="00420DCE" w:rsidRDefault="00420DCE" w:rsidP="00420DCE">
      <w:pPr>
        <w:tabs>
          <w:tab w:val="left" w:pos="3325"/>
        </w:tabs>
        <w:spacing w:line="360" w:lineRule="auto"/>
        <w:jc w:val="center"/>
        <w:rPr>
          <w:rFonts w:eastAsia="Arial"/>
          <w:b/>
          <w:bCs/>
          <w:sz w:val="36"/>
          <w:szCs w:val="36"/>
          <w:lang w:bidi="en-US"/>
        </w:rPr>
      </w:pPr>
      <w:r w:rsidRPr="00420DCE">
        <w:rPr>
          <w:rFonts w:eastAsia="Arial"/>
          <w:b/>
          <w:bCs/>
          <w:sz w:val="36"/>
          <w:szCs w:val="36"/>
          <w:lang w:bidi="en-US"/>
        </w:rPr>
        <w:t>ADDITIONAL FILE</w:t>
      </w:r>
    </w:p>
    <w:p w14:paraId="5D510A5A" w14:textId="77777777" w:rsidR="00420DCE" w:rsidRPr="00420DCE" w:rsidRDefault="00420DCE" w:rsidP="00420DCE">
      <w:pPr>
        <w:tabs>
          <w:tab w:val="left" w:pos="3325"/>
        </w:tabs>
        <w:spacing w:line="360" w:lineRule="auto"/>
        <w:rPr>
          <w:rFonts w:eastAsia="Arial"/>
          <w:b/>
          <w:bCs/>
          <w:sz w:val="32"/>
          <w:szCs w:val="32"/>
          <w:lang w:bidi="en-US"/>
        </w:rPr>
      </w:pPr>
    </w:p>
    <w:p w14:paraId="1FF3178D" w14:textId="77777777" w:rsidR="00420DCE" w:rsidRPr="00420DCE" w:rsidRDefault="00420DCE" w:rsidP="00420DCE">
      <w:pPr>
        <w:jc w:val="both"/>
        <w:rPr>
          <w:rFonts w:eastAsia="Arial"/>
          <w:color w:val="000000"/>
          <w:sz w:val="32"/>
          <w:szCs w:val="32"/>
        </w:rPr>
      </w:pPr>
      <w:r w:rsidRPr="00420DCE">
        <w:rPr>
          <w:rFonts w:eastAsia="Arial"/>
          <w:color w:val="000000"/>
          <w:sz w:val="32"/>
          <w:szCs w:val="32"/>
        </w:rPr>
        <w:t xml:space="preserve">De la Cruz-López et al. </w:t>
      </w:r>
    </w:p>
    <w:p w14:paraId="33C46C10" w14:textId="77777777" w:rsidR="00420DCE" w:rsidRPr="00420DCE" w:rsidRDefault="00420DCE" w:rsidP="00420DCE">
      <w:pPr>
        <w:jc w:val="both"/>
        <w:rPr>
          <w:rFonts w:eastAsia="Arial"/>
          <w:color w:val="000000"/>
          <w:sz w:val="32"/>
          <w:szCs w:val="32"/>
        </w:rPr>
      </w:pPr>
    </w:p>
    <w:p w14:paraId="66234B72" w14:textId="4BDB3671" w:rsidR="00E04AE8" w:rsidRPr="00420DCE" w:rsidRDefault="00E04AE8" w:rsidP="00420DCE">
      <w:pPr>
        <w:jc w:val="both"/>
        <w:rPr>
          <w:rFonts w:eastAsia="Arial"/>
          <w:color w:val="000000"/>
          <w:sz w:val="32"/>
          <w:szCs w:val="32"/>
          <w:lang w:val="en-US"/>
        </w:rPr>
      </w:pPr>
      <w:r w:rsidRPr="00420DCE">
        <w:rPr>
          <w:rFonts w:eastAsia="Arial"/>
          <w:sz w:val="32"/>
          <w:szCs w:val="32"/>
          <w:lang w:val="en-US"/>
        </w:rPr>
        <w:t>Metformin induces ZFP36 by mTORC1 inhibition in cervical cancer-derived cell lines</w:t>
      </w:r>
      <w:r w:rsidR="00420DCE" w:rsidRPr="00420DCE">
        <w:rPr>
          <w:rFonts w:eastAsia="Arial"/>
          <w:sz w:val="32"/>
          <w:szCs w:val="32"/>
          <w:lang w:val="en-US"/>
        </w:rPr>
        <w:t>.</w:t>
      </w:r>
    </w:p>
    <w:p w14:paraId="1A39D54E" w14:textId="0385BA32" w:rsidR="00E04AE8" w:rsidRDefault="00E04AE8" w:rsidP="004D58F8">
      <w:pPr>
        <w:tabs>
          <w:tab w:val="left" w:pos="3325"/>
        </w:tabs>
        <w:spacing w:line="360" w:lineRule="auto"/>
        <w:jc w:val="both"/>
        <w:rPr>
          <w:rFonts w:ascii="Arial" w:eastAsia="Arial" w:hAnsi="Arial" w:cs="Arial"/>
          <w:sz w:val="32"/>
          <w:szCs w:val="32"/>
          <w:lang w:val="en-US" w:bidi="en-US"/>
        </w:rPr>
      </w:pPr>
    </w:p>
    <w:p w14:paraId="445067EB" w14:textId="77777777" w:rsidR="00900CF6" w:rsidRPr="00420DCE" w:rsidRDefault="00900CF6" w:rsidP="004D58F8">
      <w:pPr>
        <w:tabs>
          <w:tab w:val="left" w:pos="3325"/>
        </w:tabs>
        <w:spacing w:line="360" w:lineRule="auto"/>
        <w:jc w:val="both"/>
        <w:rPr>
          <w:rFonts w:ascii="Arial" w:eastAsia="Arial" w:hAnsi="Arial" w:cs="Arial"/>
          <w:sz w:val="32"/>
          <w:szCs w:val="32"/>
          <w:lang w:val="en-US" w:bidi="en-US"/>
        </w:rPr>
      </w:pPr>
    </w:p>
    <w:p w14:paraId="3278D008" w14:textId="271E178F" w:rsidR="00420DCE" w:rsidRPr="00900CF6" w:rsidRDefault="004D58F8" w:rsidP="004D58F8">
      <w:pPr>
        <w:tabs>
          <w:tab w:val="left" w:pos="3325"/>
        </w:tabs>
        <w:spacing w:line="360" w:lineRule="auto"/>
        <w:jc w:val="both"/>
        <w:rPr>
          <w:rFonts w:eastAsia="Arial"/>
          <w:sz w:val="28"/>
          <w:szCs w:val="28"/>
          <w:lang w:val="en-US" w:bidi="en-US"/>
        </w:rPr>
      </w:pPr>
      <w:r w:rsidRPr="00900CF6">
        <w:rPr>
          <w:rFonts w:eastAsia="Arial"/>
          <w:sz w:val="28"/>
          <w:szCs w:val="28"/>
          <w:lang w:val="en-US" w:bidi="en-US"/>
        </w:rPr>
        <w:t xml:space="preserve">Supplementary </w:t>
      </w:r>
      <w:r w:rsidR="004B1C63" w:rsidRPr="00900CF6">
        <w:rPr>
          <w:rFonts w:eastAsia="Arial"/>
          <w:sz w:val="28"/>
          <w:szCs w:val="28"/>
          <w:lang w:val="en-US" w:bidi="en-US"/>
        </w:rPr>
        <w:t>Figure 1</w:t>
      </w:r>
      <w:r w:rsidR="00900CF6" w:rsidRPr="00900CF6">
        <w:rPr>
          <w:rFonts w:eastAsia="Arial"/>
          <w:sz w:val="28"/>
          <w:szCs w:val="28"/>
          <w:lang w:val="en-US" w:bidi="en-US"/>
        </w:rPr>
        <w:t>.</w:t>
      </w:r>
    </w:p>
    <w:p w14:paraId="203A79CB" w14:textId="7E5F33EA" w:rsidR="00900CF6" w:rsidRPr="00900CF6" w:rsidRDefault="00900CF6" w:rsidP="004D58F8">
      <w:pPr>
        <w:tabs>
          <w:tab w:val="left" w:pos="3325"/>
        </w:tabs>
        <w:spacing w:line="360" w:lineRule="auto"/>
        <w:jc w:val="both"/>
        <w:rPr>
          <w:rFonts w:eastAsia="Arial"/>
          <w:sz w:val="28"/>
          <w:szCs w:val="28"/>
          <w:lang w:val="en-US" w:bidi="en-US"/>
        </w:rPr>
      </w:pPr>
      <w:r w:rsidRPr="00900CF6">
        <w:rPr>
          <w:rFonts w:eastAsia="Arial"/>
          <w:sz w:val="28"/>
          <w:szCs w:val="28"/>
          <w:lang w:val="en-US" w:bidi="en-US"/>
        </w:rPr>
        <w:t>Validation of induced expression of selected genes from tumors of mice treated orally with metformin.</w:t>
      </w:r>
    </w:p>
    <w:p w14:paraId="1ABCBBF7" w14:textId="1CF307A4" w:rsidR="004D58F8" w:rsidRPr="00900CF6" w:rsidRDefault="004D58F8" w:rsidP="004D58F8">
      <w:pPr>
        <w:tabs>
          <w:tab w:val="left" w:pos="3325"/>
        </w:tabs>
        <w:spacing w:line="360" w:lineRule="auto"/>
        <w:jc w:val="both"/>
        <w:rPr>
          <w:rFonts w:eastAsia="Arial"/>
          <w:sz w:val="28"/>
          <w:szCs w:val="28"/>
          <w:lang w:val="en-US" w:bidi="en-US"/>
        </w:rPr>
      </w:pPr>
      <w:r w:rsidRPr="00900CF6">
        <w:rPr>
          <w:rFonts w:eastAsia="Arial"/>
          <w:sz w:val="28"/>
          <w:szCs w:val="28"/>
          <w:lang w:val="en-US" w:bidi="en-US"/>
        </w:rPr>
        <w:t xml:space="preserve"> </w:t>
      </w:r>
    </w:p>
    <w:p w14:paraId="09D32BC0" w14:textId="255789AD" w:rsidR="00420DCE" w:rsidRPr="00900CF6" w:rsidRDefault="00420DCE" w:rsidP="00420DCE">
      <w:pPr>
        <w:tabs>
          <w:tab w:val="left" w:pos="3325"/>
        </w:tabs>
        <w:spacing w:line="360" w:lineRule="auto"/>
        <w:jc w:val="both"/>
        <w:rPr>
          <w:rFonts w:eastAsia="Arial"/>
          <w:sz w:val="28"/>
          <w:szCs w:val="28"/>
          <w:lang w:val="en-US" w:bidi="en-US"/>
        </w:rPr>
      </w:pPr>
      <w:r w:rsidRPr="00900CF6">
        <w:rPr>
          <w:rFonts w:eastAsia="Arial"/>
          <w:sz w:val="28"/>
          <w:szCs w:val="28"/>
          <w:lang w:val="en-US" w:bidi="en-US"/>
        </w:rPr>
        <w:t>Supplementary Figure 2</w:t>
      </w:r>
      <w:r w:rsidR="00900CF6" w:rsidRPr="00900CF6">
        <w:rPr>
          <w:rFonts w:eastAsia="Arial"/>
          <w:sz w:val="28"/>
          <w:szCs w:val="28"/>
          <w:lang w:val="en-US" w:bidi="en-US"/>
        </w:rPr>
        <w:t>.</w:t>
      </w:r>
    </w:p>
    <w:p w14:paraId="1361CF13" w14:textId="2A51D3C3" w:rsidR="00420DCE" w:rsidRPr="00900CF6" w:rsidRDefault="00420DCE" w:rsidP="00420DCE">
      <w:pPr>
        <w:tabs>
          <w:tab w:val="left" w:pos="3325"/>
        </w:tabs>
        <w:spacing w:line="360" w:lineRule="auto"/>
        <w:jc w:val="both"/>
        <w:rPr>
          <w:rFonts w:eastAsia="Arial"/>
          <w:sz w:val="28"/>
          <w:szCs w:val="28"/>
          <w:lang w:val="en-US" w:bidi="en-US"/>
        </w:rPr>
      </w:pPr>
      <w:r w:rsidRPr="00900CF6">
        <w:rPr>
          <w:rFonts w:eastAsia="Arial"/>
          <w:sz w:val="28"/>
          <w:szCs w:val="28"/>
          <w:lang w:val="en-US" w:bidi="en-US"/>
        </w:rPr>
        <w:t>Expression of ZFP36, NR4A1, EGR1, GPR183, FOSB, and ATF3 are significantly lower in human cervical cancer compared to normal tissue.</w:t>
      </w:r>
    </w:p>
    <w:p w14:paraId="06CAA4D2" w14:textId="77777777" w:rsidR="00420DCE" w:rsidRPr="00900CF6" w:rsidRDefault="00420DCE" w:rsidP="00420DCE">
      <w:pPr>
        <w:tabs>
          <w:tab w:val="left" w:pos="3325"/>
        </w:tabs>
        <w:spacing w:line="360" w:lineRule="auto"/>
        <w:jc w:val="both"/>
        <w:rPr>
          <w:rFonts w:eastAsia="Arial"/>
          <w:sz w:val="28"/>
          <w:szCs w:val="28"/>
          <w:lang w:val="en-US" w:bidi="en-US"/>
        </w:rPr>
      </w:pPr>
    </w:p>
    <w:p w14:paraId="21047DA3" w14:textId="2A497A74" w:rsidR="00420DCE" w:rsidRPr="00900CF6" w:rsidRDefault="00420DCE" w:rsidP="00420DCE">
      <w:pPr>
        <w:tabs>
          <w:tab w:val="left" w:pos="3325"/>
        </w:tabs>
        <w:spacing w:line="360" w:lineRule="auto"/>
        <w:jc w:val="both"/>
        <w:rPr>
          <w:rFonts w:eastAsia="Arial"/>
          <w:sz w:val="28"/>
          <w:szCs w:val="28"/>
          <w:lang w:val="en-US" w:bidi="en-US"/>
        </w:rPr>
      </w:pPr>
      <w:r w:rsidRPr="00900CF6">
        <w:rPr>
          <w:rFonts w:eastAsia="Arial"/>
          <w:sz w:val="28"/>
          <w:szCs w:val="28"/>
          <w:lang w:val="en-US" w:bidi="en-US"/>
        </w:rPr>
        <w:t>Supplementary Figure 3</w:t>
      </w:r>
      <w:r w:rsidR="00900CF6" w:rsidRPr="00900CF6">
        <w:rPr>
          <w:rFonts w:eastAsia="Arial"/>
          <w:sz w:val="28"/>
          <w:szCs w:val="28"/>
          <w:lang w:val="en-US" w:bidi="en-US"/>
        </w:rPr>
        <w:t>.</w:t>
      </w:r>
    </w:p>
    <w:p w14:paraId="4287817A" w14:textId="637F024E" w:rsidR="00900CF6" w:rsidRPr="00900CF6" w:rsidRDefault="00900CF6" w:rsidP="00420DCE">
      <w:pPr>
        <w:tabs>
          <w:tab w:val="left" w:pos="3325"/>
        </w:tabs>
        <w:spacing w:line="360" w:lineRule="auto"/>
        <w:jc w:val="both"/>
        <w:rPr>
          <w:rFonts w:eastAsia="Arial"/>
          <w:sz w:val="28"/>
          <w:szCs w:val="28"/>
          <w:lang w:val="en-US" w:bidi="en-US"/>
        </w:rPr>
      </w:pPr>
      <w:r w:rsidRPr="00900CF6">
        <w:rPr>
          <w:rFonts w:eastAsia="Arial"/>
          <w:sz w:val="28"/>
          <w:szCs w:val="28"/>
          <w:lang w:val="en-US" w:bidi="en-US"/>
        </w:rPr>
        <w:t xml:space="preserve">Metformin decreases </w:t>
      </w:r>
      <w:proofErr w:type="spellStart"/>
      <w:r w:rsidRPr="00900CF6">
        <w:rPr>
          <w:rFonts w:eastAsia="Arial"/>
          <w:sz w:val="28"/>
          <w:szCs w:val="28"/>
          <w:lang w:val="en-US" w:bidi="en-US"/>
        </w:rPr>
        <w:t>Erk</w:t>
      </w:r>
      <w:proofErr w:type="spellEnd"/>
      <w:r w:rsidRPr="00900CF6">
        <w:rPr>
          <w:rFonts w:eastAsia="Arial"/>
          <w:sz w:val="28"/>
          <w:szCs w:val="28"/>
          <w:lang w:val="en-US" w:bidi="en-US"/>
        </w:rPr>
        <w:t xml:space="preserve"> 1/2 phosphorylation in cervical cancer cell lines.</w:t>
      </w:r>
    </w:p>
    <w:p w14:paraId="4467C06E" w14:textId="77777777" w:rsidR="004D58F8" w:rsidRDefault="004D58F8" w:rsidP="004D58F8">
      <w:pPr>
        <w:tabs>
          <w:tab w:val="left" w:pos="3325"/>
        </w:tabs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bidi="en-U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lang w:bidi="en-US"/>
        </w:rPr>
        <w:lastRenderedPageBreak/>
        <w:drawing>
          <wp:inline distT="0" distB="0" distL="0" distR="0" wp14:anchorId="543B8C6B" wp14:editId="0B86D471">
            <wp:extent cx="4921627" cy="7948271"/>
            <wp:effectExtent l="0" t="0" r="0" b="254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6405" cy="795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E16FF" w14:textId="77777777" w:rsidR="004D58F8" w:rsidRDefault="004D58F8" w:rsidP="004D58F8">
      <w:pPr>
        <w:tabs>
          <w:tab w:val="left" w:pos="3325"/>
        </w:tabs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bidi="en-US"/>
        </w:rPr>
      </w:pPr>
    </w:p>
    <w:p w14:paraId="5B39DCB4" w14:textId="3C720EE0" w:rsidR="00E04AE8" w:rsidRDefault="00E04AE8" w:rsidP="00E04AE8">
      <w:pPr>
        <w:tabs>
          <w:tab w:val="left" w:pos="3325"/>
        </w:tabs>
        <w:spacing w:line="360" w:lineRule="auto"/>
        <w:jc w:val="both"/>
        <w:rPr>
          <w:rFonts w:eastAsia="Arial"/>
          <w:sz w:val="20"/>
          <w:szCs w:val="20"/>
          <w:lang w:val="en-US" w:bidi="en-US"/>
        </w:rPr>
      </w:pPr>
      <w:r w:rsidRPr="00413788">
        <w:rPr>
          <w:rFonts w:eastAsia="Arial"/>
          <w:b/>
          <w:bCs/>
          <w:sz w:val="20"/>
          <w:szCs w:val="20"/>
          <w:lang w:val="en-US" w:bidi="en-US"/>
        </w:rPr>
        <w:t xml:space="preserve">Supplementary Figure </w:t>
      </w:r>
      <w:r>
        <w:rPr>
          <w:rFonts w:eastAsia="Arial"/>
          <w:b/>
          <w:bCs/>
          <w:sz w:val="20"/>
          <w:szCs w:val="20"/>
          <w:lang w:val="en-US" w:bidi="en-US"/>
        </w:rPr>
        <w:t>1</w:t>
      </w:r>
      <w:r w:rsidRPr="00413788">
        <w:rPr>
          <w:rFonts w:eastAsia="Arial"/>
          <w:b/>
          <w:bCs/>
          <w:sz w:val="20"/>
          <w:szCs w:val="20"/>
          <w:lang w:val="en-US" w:bidi="en-US"/>
        </w:rPr>
        <w:t>.</w:t>
      </w:r>
      <w:r w:rsidRPr="009C25DB">
        <w:rPr>
          <w:rFonts w:eastAsia="Arial"/>
          <w:sz w:val="20"/>
          <w:szCs w:val="20"/>
          <w:lang w:val="en-US" w:bidi="en-US"/>
        </w:rPr>
        <w:t xml:space="preserve"> Validation of induced expression of selected genes from tumors of mice treated orally with metformin. As described in Materials and Methods, RNA from tumors was used to perform RT-qPCR analysis. Relative amounts of each gene were determined using the Ct method, </w:t>
      </w:r>
      <w:r w:rsidRPr="009C25DB">
        <w:rPr>
          <w:rFonts w:eastAsia="Arial"/>
          <w:sz w:val="20"/>
          <w:szCs w:val="20"/>
          <w:lang w:val="en-US" w:bidi="en-US"/>
        </w:rPr>
        <w:lastRenderedPageBreak/>
        <w:t xml:space="preserve">normalized to GAPDH. (A-H) Metformin treatment for 24 days induces an increased expression of ZFP36, NR4A1, FOSB, GPR183, NR4A3, EGR1, and ATF3 genes. Data expressed as mean </w:t>
      </w:r>
      <w:r w:rsidRPr="009C25DB">
        <w:rPr>
          <w:rFonts w:eastAsia="Arial"/>
          <w:sz w:val="20"/>
          <w:szCs w:val="20"/>
          <w:u w:val="single"/>
          <w:lang w:val="en-US" w:bidi="en-US"/>
        </w:rPr>
        <w:t>+</w:t>
      </w:r>
      <w:r w:rsidRPr="009C25DB">
        <w:rPr>
          <w:rFonts w:eastAsia="Arial"/>
          <w:sz w:val="20"/>
          <w:szCs w:val="20"/>
          <w:lang w:val="en-US" w:bidi="en-US"/>
        </w:rPr>
        <w:t>SD from at least three different mice per group. *p&lt;0.01</w:t>
      </w:r>
    </w:p>
    <w:p w14:paraId="7EB17333" w14:textId="789D64D5" w:rsidR="00B00EBD" w:rsidRDefault="00B00EBD" w:rsidP="00E04AE8">
      <w:pPr>
        <w:tabs>
          <w:tab w:val="left" w:pos="3325"/>
        </w:tabs>
        <w:spacing w:line="360" w:lineRule="auto"/>
        <w:jc w:val="both"/>
        <w:rPr>
          <w:rFonts w:eastAsia="Arial"/>
          <w:sz w:val="20"/>
          <w:szCs w:val="20"/>
          <w:lang w:val="en-US" w:bidi="en-US"/>
        </w:rPr>
      </w:pPr>
    </w:p>
    <w:p w14:paraId="4DDC3D4D" w14:textId="77777777" w:rsidR="004B1C63" w:rsidRPr="00B00EBD" w:rsidRDefault="004B1C63" w:rsidP="004D58F8">
      <w:pPr>
        <w:tabs>
          <w:tab w:val="left" w:pos="3325"/>
        </w:tabs>
        <w:spacing w:line="360" w:lineRule="auto"/>
        <w:jc w:val="both"/>
        <w:rPr>
          <w:rFonts w:eastAsia="Arial"/>
          <w:b/>
          <w:bCs/>
          <w:sz w:val="20"/>
          <w:szCs w:val="20"/>
          <w:lang w:bidi="en-US"/>
        </w:rPr>
      </w:pPr>
    </w:p>
    <w:p w14:paraId="1D649D46" w14:textId="77777777" w:rsidR="004B1C63" w:rsidRPr="00F70E58" w:rsidRDefault="004B1C63" w:rsidP="004D58F8">
      <w:pPr>
        <w:tabs>
          <w:tab w:val="left" w:pos="3325"/>
        </w:tabs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bidi="en-US"/>
        </w:rPr>
      </w:pPr>
    </w:p>
    <w:p w14:paraId="5595A215" w14:textId="77777777" w:rsidR="004D58F8" w:rsidRDefault="004D58F8" w:rsidP="004D58F8">
      <w:pPr>
        <w:spacing w:line="360" w:lineRule="auto"/>
        <w:jc w:val="both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  <w:lang w:val="en-US"/>
        </w:rPr>
        <w:drawing>
          <wp:inline distT="0" distB="0" distL="0" distR="0" wp14:anchorId="4E90B849" wp14:editId="2CA0DFE3">
            <wp:extent cx="5524500" cy="6435933"/>
            <wp:effectExtent l="0" t="0" r="0" b="317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567" cy="644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7D3D9" w14:textId="024C2A07" w:rsidR="004D58F8" w:rsidRDefault="004D58F8" w:rsidP="004D58F8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3EF4F967" w14:textId="77777777" w:rsidR="00E04AE8" w:rsidRDefault="00E04AE8" w:rsidP="004D58F8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5F56F97B" w14:textId="77777777" w:rsidR="00E04AE8" w:rsidRDefault="00E04AE8" w:rsidP="00E04AE8">
      <w:pPr>
        <w:tabs>
          <w:tab w:val="left" w:pos="3325"/>
        </w:tabs>
        <w:spacing w:line="360" w:lineRule="auto"/>
        <w:jc w:val="both"/>
        <w:rPr>
          <w:rFonts w:eastAsia="Arial"/>
          <w:sz w:val="20"/>
          <w:szCs w:val="20"/>
          <w:lang w:val="en-US" w:bidi="en-US"/>
        </w:rPr>
      </w:pPr>
      <w:r w:rsidRPr="00413788">
        <w:rPr>
          <w:rFonts w:eastAsia="Arial"/>
          <w:b/>
          <w:bCs/>
          <w:sz w:val="20"/>
          <w:szCs w:val="20"/>
          <w:lang w:val="en-US" w:bidi="en-US"/>
        </w:rPr>
        <w:t>Supplementary Figure 2.</w:t>
      </w:r>
      <w:r w:rsidRPr="002D37B3">
        <w:rPr>
          <w:rFonts w:eastAsia="Arial"/>
          <w:sz w:val="20"/>
          <w:szCs w:val="20"/>
          <w:lang w:val="en-US" w:bidi="en-US"/>
        </w:rPr>
        <w:t xml:space="preserve"> Expression of ZFP36, NR4A1, EGR1, GPR183, FOSB, and ATF3 are significantly lower in human cervical cancer compared to normal tissue. (A-F) Boxplots of the expression values from ZFP36, NR4A1, EGR1, FOSB, GPR183, and ATF3 in cervical cancer and normal tissues. </w:t>
      </w:r>
      <w:r w:rsidRPr="002D37B3">
        <w:rPr>
          <w:rFonts w:eastAsia="Arial"/>
          <w:sz w:val="20"/>
          <w:szCs w:val="20"/>
          <w:lang w:val="en-US" w:bidi="en-US"/>
        </w:rPr>
        <w:lastRenderedPageBreak/>
        <w:t xml:space="preserve">Data was obtained from Gene chip data at TNMplot.com. (G-K) Genes regulated by metformin show a positive correlation with the ZFP36 gene in samples from cervical cancer patients. Correlation analysis among ZFP36 and NR4A1, EGR1, GPR183, FOSB, and ATF3 in cervical cancer tissues. The Mann-Whitney U test was used for expression analyses, and Spearman's test was used for correlation analysis. </w:t>
      </w:r>
    </w:p>
    <w:p w14:paraId="7A3B237C" w14:textId="77777777" w:rsidR="00E37C81" w:rsidRDefault="00E37C81" w:rsidP="004D58F8">
      <w:pPr>
        <w:tabs>
          <w:tab w:val="left" w:pos="3325"/>
        </w:tabs>
        <w:spacing w:line="360" w:lineRule="auto"/>
        <w:jc w:val="both"/>
        <w:rPr>
          <w:rFonts w:eastAsia="Arial"/>
          <w:b/>
          <w:bCs/>
          <w:lang w:val="en-US" w:bidi="en-US"/>
        </w:rPr>
      </w:pPr>
    </w:p>
    <w:p w14:paraId="6B04DFDB" w14:textId="77777777" w:rsidR="009F7473" w:rsidRDefault="009F7473" w:rsidP="004D58F8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4068760E" w14:textId="6A416D24" w:rsidR="004D58F8" w:rsidRDefault="00E04AE8" w:rsidP="004D58F8">
      <w:pPr>
        <w:spacing w:line="360" w:lineRule="auto"/>
        <w:jc w:val="both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  <w:lang w:val="en-US"/>
        </w:rPr>
        <w:drawing>
          <wp:anchor distT="0" distB="0" distL="114300" distR="114300" simplePos="0" relativeHeight="251658240" behindDoc="1" locked="0" layoutInCell="1" allowOverlap="1" wp14:anchorId="4941FFF5" wp14:editId="2B6DFB5F">
            <wp:simplePos x="0" y="0"/>
            <wp:positionH relativeFrom="column">
              <wp:posOffset>-236220</wp:posOffset>
            </wp:positionH>
            <wp:positionV relativeFrom="paragraph">
              <wp:posOffset>220345</wp:posOffset>
            </wp:positionV>
            <wp:extent cx="6306385" cy="2047460"/>
            <wp:effectExtent l="0" t="0" r="5715" b="0"/>
            <wp:wrapTight wrapText="bothSides">
              <wp:wrapPolygon edited="0">
                <wp:start x="0" y="0"/>
                <wp:lineTo x="0" y="21439"/>
                <wp:lineTo x="21576" y="21439"/>
                <wp:lineTo x="21576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6385" cy="204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5DC9E" w14:textId="7F2C2308" w:rsidR="004D58F8" w:rsidRDefault="004D58F8" w:rsidP="004D58F8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134E5001" w14:textId="77777777" w:rsidR="00E04AE8" w:rsidRDefault="00E04AE8" w:rsidP="00E04AE8">
      <w:pPr>
        <w:tabs>
          <w:tab w:val="left" w:pos="3325"/>
        </w:tabs>
        <w:spacing w:line="360" w:lineRule="auto"/>
        <w:jc w:val="both"/>
        <w:rPr>
          <w:rFonts w:eastAsia="Arial"/>
          <w:sz w:val="20"/>
          <w:szCs w:val="20"/>
          <w:lang w:val="en-US" w:bidi="en-US"/>
        </w:rPr>
      </w:pPr>
    </w:p>
    <w:p w14:paraId="3E5FF53B" w14:textId="77777777" w:rsidR="00E04AE8" w:rsidRPr="005319A1" w:rsidRDefault="00E04AE8" w:rsidP="00E04AE8">
      <w:pPr>
        <w:tabs>
          <w:tab w:val="left" w:pos="3325"/>
        </w:tabs>
        <w:spacing w:line="360" w:lineRule="auto"/>
        <w:jc w:val="both"/>
        <w:rPr>
          <w:rFonts w:eastAsia="Arial"/>
          <w:sz w:val="20"/>
          <w:szCs w:val="20"/>
          <w:lang w:val="en-US" w:bidi="en-US"/>
        </w:rPr>
      </w:pPr>
      <w:r w:rsidRPr="00413788">
        <w:rPr>
          <w:rFonts w:eastAsia="Arial"/>
          <w:b/>
          <w:bCs/>
          <w:sz w:val="20"/>
          <w:szCs w:val="20"/>
          <w:lang w:val="en-US" w:bidi="en-US"/>
        </w:rPr>
        <w:t xml:space="preserve">Supplementary Figure </w:t>
      </w:r>
      <w:r>
        <w:rPr>
          <w:rFonts w:eastAsia="Arial"/>
          <w:b/>
          <w:bCs/>
          <w:sz w:val="20"/>
          <w:szCs w:val="20"/>
          <w:lang w:val="en-US" w:bidi="en-US"/>
        </w:rPr>
        <w:t>3</w:t>
      </w:r>
      <w:r w:rsidRPr="00413788">
        <w:rPr>
          <w:rFonts w:eastAsia="Arial"/>
          <w:b/>
          <w:bCs/>
          <w:sz w:val="20"/>
          <w:szCs w:val="20"/>
          <w:lang w:val="en-US" w:bidi="en-US"/>
        </w:rPr>
        <w:t>.</w:t>
      </w:r>
      <w:r>
        <w:rPr>
          <w:rFonts w:eastAsia="Arial"/>
          <w:b/>
          <w:bCs/>
          <w:sz w:val="20"/>
          <w:szCs w:val="20"/>
          <w:lang w:val="en-US" w:bidi="en-US"/>
        </w:rPr>
        <w:t xml:space="preserve"> </w:t>
      </w:r>
      <w:r w:rsidRPr="00555A8A">
        <w:rPr>
          <w:rFonts w:eastAsia="Arial"/>
          <w:sz w:val="20"/>
          <w:szCs w:val="20"/>
          <w:lang w:val="en-US" w:bidi="en-US"/>
        </w:rPr>
        <w:t xml:space="preserve">Metformin decreases </w:t>
      </w:r>
      <w:proofErr w:type="spellStart"/>
      <w:r w:rsidRPr="00555A8A">
        <w:rPr>
          <w:rFonts w:eastAsia="Arial"/>
          <w:sz w:val="20"/>
          <w:szCs w:val="20"/>
          <w:lang w:val="en-US" w:bidi="en-US"/>
        </w:rPr>
        <w:t>Erk</w:t>
      </w:r>
      <w:proofErr w:type="spellEnd"/>
      <w:r w:rsidRPr="00555A8A">
        <w:rPr>
          <w:rFonts w:eastAsia="Arial"/>
          <w:sz w:val="20"/>
          <w:szCs w:val="20"/>
          <w:lang w:val="en-US" w:bidi="en-US"/>
        </w:rPr>
        <w:t xml:space="preserve"> </w:t>
      </w:r>
      <w:r>
        <w:rPr>
          <w:rFonts w:eastAsia="Arial"/>
          <w:sz w:val="20"/>
          <w:szCs w:val="20"/>
          <w:lang w:val="en-US" w:bidi="en-US"/>
        </w:rPr>
        <w:t xml:space="preserve">1/2 </w:t>
      </w:r>
      <w:r w:rsidRPr="00555A8A">
        <w:rPr>
          <w:rFonts w:eastAsia="Arial"/>
          <w:sz w:val="20"/>
          <w:szCs w:val="20"/>
          <w:lang w:val="en-US" w:bidi="en-US"/>
        </w:rPr>
        <w:t>phosphorylation in cervical cancer cell lines.</w:t>
      </w:r>
      <w:r>
        <w:rPr>
          <w:rFonts w:eastAsia="Arial"/>
          <w:b/>
          <w:bCs/>
          <w:sz w:val="20"/>
          <w:szCs w:val="20"/>
          <w:lang w:val="en-US" w:bidi="en-US"/>
        </w:rPr>
        <w:t xml:space="preserve"> </w:t>
      </w:r>
      <w:r w:rsidRPr="00555A8A">
        <w:rPr>
          <w:rFonts w:eastAsia="Arial"/>
          <w:sz w:val="20"/>
          <w:szCs w:val="20"/>
          <w:lang w:val="en-US" w:bidi="en-US"/>
        </w:rPr>
        <w:t>(A)</w:t>
      </w:r>
      <w:r>
        <w:rPr>
          <w:rFonts w:eastAsia="Arial"/>
          <w:b/>
          <w:bCs/>
          <w:sz w:val="20"/>
          <w:szCs w:val="20"/>
          <w:lang w:val="en-US" w:bidi="en-US"/>
        </w:rPr>
        <w:t xml:space="preserve"> </w:t>
      </w:r>
      <w:r w:rsidRPr="00745140">
        <w:rPr>
          <w:bCs/>
          <w:sz w:val="20"/>
          <w:szCs w:val="20"/>
          <w:lang w:val="en-US"/>
        </w:rPr>
        <w:t xml:space="preserve">HeLa and </w:t>
      </w:r>
      <w:r>
        <w:rPr>
          <w:bCs/>
          <w:sz w:val="20"/>
          <w:szCs w:val="20"/>
          <w:lang w:val="en-US"/>
        </w:rPr>
        <w:t xml:space="preserve">(B) </w:t>
      </w:r>
      <w:proofErr w:type="spellStart"/>
      <w:r w:rsidRPr="00745140">
        <w:rPr>
          <w:bCs/>
          <w:sz w:val="20"/>
          <w:szCs w:val="20"/>
          <w:lang w:val="en-US"/>
        </w:rPr>
        <w:t>CaSki</w:t>
      </w:r>
      <w:proofErr w:type="spellEnd"/>
      <w:r w:rsidRPr="00745140">
        <w:rPr>
          <w:bCs/>
          <w:sz w:val="20"/>
          <w:szCs w:val="20"/>
          <w:lang w:val="en-US"/>
        </w:rPr>
        <w:t xml:space="preserve"> cells were treated with different metformin concentrations for 24 hours and, the levels of p-</w:t>
      </w:r>
      <w:proofErr w:type="spellStart"/>
      <w:r w:rsidRPr="00745140">
        <w:rPr>
          <w:bCs/>
          <w:sz w:val="20"/>
          <w:szCs w:val="20"/>
          <w:lang w:val="en-US"/>
        </w:rPr>
        <w:t>E</w:t>
      </w:r>
      <w:r>
        <w:rPr>
          <w:bCs/>
          <w:sz w:val="20"/>
          <w:szCs w:val="20"/>
          <w:lang w:val="en-US"/>
        </w:rPr>
        <w:t>rk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r w:rsidRPr="00745140">
        <w:rPr>
          <w:bCs/>
          <w:sz w:val="20"/>
          <w:szCs w:val="20"/>
          <w:lang w:val="en-US"/>
        </w:rPr>
        <w:t>1</w:t>
      </w:r>
      <w:r>
        <w:rPr>
          <w:bCs/>
          <w:sz w:val="20"/>
          <w:szCs w:val="20"/>
          <w:lang w:val="en-US"/>
        </w:rPr>
        <w:t xml:space="preserve">/2 </w:t>
      </w:r>
      <w:r w:rsidRPr="00745140">
        <w:rPr>
          <w:bCs/>
          <w:sz w:val="20"/>
          <w:szCs w:val="20"/>
          <w:lang w:val="en-US"/>
        </w:rPr>
        <w:t>were measured by Western Blot</w:t>
      </w:r>
      <w:r>
        <w:rPr>
          <w:bCs/>
          <w:sz w:val="20"/>
          <w:szCs w:val="20"/>
          <w:lang w:val="en-US"/>
        </w:rPr>
        <w:t xml:space="preserve">. </w:t>
      </w:r>
      <w:r w:rsidRPr="009275C7">
        <w:rPr>
          <w:rFonts w:eastAsia="Arial"/>
          <w:sz w:val="20"/>
          <w:szCs w:val="20"/>
          <w:lang w:val="en-US" w:bidi="en-US"/>
        </w:rPr>
        <w:t xml:space="preserve">Results are shown as means ± SD of at least three independent experiments. *p&lt;0.05 **, p&lt;0.01. </w:t>
      </w:r>
    </w:p>
    <w:p w14:paraId="6038F10B" w14:textId="77777777" w:rsidR="004D58F8" w:rsidRDefault="004D58F8" w:rsidP="004D58F8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03842E42" w14:textId="77777777" w:rsidR="004D58F8" w:rsidRDefault="004D58F8" w:rsidP="004D58F8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00EF45BD" w14:textId="77777777" w:rsidR="004D58F8" w:rsidRDefault="004D58F8" w:rsidP="004D58F8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76531A21" w14:textId="77777777" w:rsidR="004D58F8" w:rsidRDefault="004D58F8" w:rsidP="004D58F8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6D1E6636" w14:textId="77777777" w:rsidR="004D58F8" w:rsidRDefault="004D58F8" w:rsidP="004D58F8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42442585" w14:textId="77777777" w:rsidR="004D58F8" w:rsidRDefault="004D58F8" w:rsidP="004D58F8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4B603B8E" w14:textId="77777777" w:rsidR="004D58F8" w:rsidRDefault="004D58F8" w:rsidP="004D58F8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17D21CE0" w14:textId="77777777" w:rsidR="004D58F8" w:rsidRPr="004D58F8" w:rsidRDefault="004D58F8">
      <w:pPr>
        <w:rPr>
          <w:lang w:val="es-ES"/>
        </w:rPr>
      </w:pPr>
    </w:p>
    <w:sectPr w:rsidR="004D58F8" w:rsidRPr="004D58F8" w:rsidSect="004D58F8">
      <w:type w:val="continuous"/>
      <w:pgSz w:w="11900" w:h="16840"/>
      <w:pgMar w:top="1418" w:right="1843" w:bottom="1418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8F8"/>
    <w:rsid w:val="00160B5C"/>
    <w:rsid w:val="001E3EFF"/>
    <w:rsid w:val="00420DCE"/>
    <w:rsid w:val="004B1C63"/>
    <w:rsid w:val="004D58F8"/>
    <w:rsid w:val="00571949"/>
    <w:rsid w:val="00661C4E"/>
    <w:rsid w:val="008C2F06"/>
    <w:rsid w:val="00900CF6"/>
    <w:rsid w:val="009F7473"/>
    <w:rsid w:val="00B00EBD"/>
    <w:rsid w:val="00D320F6"/>
    <w:rsid w:val="00E04AE8"/>
    <w:rsid w:val="00E3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82BEF"/>
  <w15:chartTrackingRefBased/>
  <w15:docId w15:val="{B410A5E4-BDB1-724D-8F29-9381148D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8F8"/>
    <w:rPr>
      <w:rFonts w:ascii="Times New Roman" w:eastAsia="Times New Roman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E8F0CE-ED23-E14D-99B4-4D5D05409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GRISELDA DE LA CRUZ LOPEZ</dc:creator>
  <cp:keywords/>
  <dc:description/>
  <cp:lastModifiedBy>carranca@iibiomedicas.unam.mx</cp:lastModifiedBy>
  <cp:revision>2</cp:revision>
  <dcterms:created xsi:type="dcterms:W3CDTF">2024-03-08T23:01:00Z</dcterms:created>
  <dcterms:modified xsi:type="dcterms:W3CDTF">2024-03-08T23:01:00Z</dcterms:modified>
</cp:coreProperties>
</file>