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0BC2C" w14:textId="77777777" w:rsidR="00F6327C" w:rsidRPr="00135836" w:rsidRDefault="00F6327C" w:rsidP="00F6327C">
      <w:pPr>
        <w:pStyle w:val="Heading1"/>
        <w:jc w:val="center"/>
        <w:rPr>
          <w:rFonts w:cs="Times New Roman"/>
          <w:sz w:val="24"/>
          <w:szCs w:val="24"/>
        </w:rPr>
      </w:pPr>
      <w:r w:rsidRPr="00135836">
        <w:rPr>
          <w:rFonts w:eastAsiaTheme="majorEastAsia" w:cs="Times New Roman"/>
          <w:sz w:val="24"/>
          <w:szCs w:val="24"/>
        </w:rPr>
        <w:t>Supplementary Appendix</w:t>
      </w:r>
    </w:p>
    <w:p w14:paraId="42BF94FD" w14:textId="77777777" w:rsidR="00F6327C" w:rsidRPr="00135836" w:rsidRDefault="00F6327C" w:rsidP="00F6327C">
      <w:pPr>
        <w:rPr>
          <w:rFonts w:cs="Times New Roman"/>
          <w:b/>
          <w:bCs/>
          <w:sz w:val="24"/>
          <w:szCs w:val="24"/>
        </w:rPr>
      </w:pPr>
      <w:r w:rsidRPr="00135836">
        <w:rPr>
          <w:rFonts w:cs="Times New Roman"/>
          <w:b/>
          <w:bCs/>
          <w:sz w:val="24"/>
          <w:szCs w:val="24"/>
        </w:rPr>
        <w:t>Supplementary Table S1. Study eligibility criteria</w:t>
      </w:r>
    </w:p>
    <w:tbl>
      <w:tblPr>
        <w:tblStyle w:val="TableGrid"/>
        <w:tblW w:w="9639" w:type="dxa"/>
        <w:tblLook w:val="04A0" w:firstRow="1" w:lastRow="0" w:firstColumn="1" w:lastColumn="0" w:noHBand="0" w:noVBand="1"/>
      </w:tblPr>
      <w:tblGrid>
        <w:gridCol w:w="9639"/>
      </w:tblGrid>
      <w:tr w:rsidR="00F6327C" w:rsidRPr="00135836" w14:paraId="490AFB98" w14:textId="77777777" w:rsidTr="002F2D13">
        <w:trPr>
          <w:trHeight w:val="323"/>
        </w:trPr>
        <w:tc>
          <w:tcPr>
            <w:tcW w:w="9639" w:type="dxa"/>
            <w:tcBorders>
              <w:top w:val="single" w:sz="8" w:space="0" w:color="auto"/>
              <w:left w:val="nil"/>
              <w:bottom w:val="single" w:sz="8" w:space="0" w:color="auto"/>
              <w:right w:val="nil"/>
            </w:tcBorders>
            <w:shd w:val="clear" w:color="auto" w:fill="F2F2F2" w:themeFill="background1" w:themeFillShade="F2"/>
          </w:tcPr>
          <w:p w14:paraId="4AC37FCF" w14:textId="77777777" w:rsidR="00F6327C" w:rsidRPr="00135836" w:rsidRDefault="00F6327C" w:rsidP="002F2D13">
            <w:pPr>
              <w:spacing w:after="0" w:line="360" w:lineRule="auto"/>
              <w:rPr>
                <w:rFonts w:cs="Times New Roman"/>
                <w:b/>
                <w:bCs/>
                <w:sz w:val="24"/>
                <w:szCs w:val="24"/>
                <w:lang w:val="en-US"/>
              </w:rPr>
            </w:pPr>
            <w:r w:rsidRPr="00135836">
              <w:rPr>
                <w:rFonts w:cs="Times New Roman"/>
                <w:b/>
                <w:bCs/>
                <w:sz w:val="24"/>
                <w:szCs w:val="24"/>
                <w:lang w:val="en-US"/>
              </w:rPr>
              <w:t>Inclusion criteria</w:t>
            </w:r>
          </w:p>
        </w:tc>
      </w:tr>
      <w:tr w:rsidR="00F6327C" w:rsidRPr="00135836" w14:paraId="7BC8F620" w14:textId="77777777" w:rsidTr="002F2D13">
        <w:tc>
          <w:tcPr>
            <w:tcW w:w="9639" w:type="dxa"/>
            <w:tcBorders>
              <w:top w:val="single" w:sz="8" w:space="0" w:color="auto"/>
              <w:left w:val="nil"/>
              <w:bottom w:val="nil"/>
              <w:right w:val="nil"/>
            </w:tcBorders>
            <w:shd w:val="clear" w:color="auto" w:fill="auto"/>
          </w:tcPr>
          <w:p w14:paraId="4562D66D" w14:textId="77777777" w:rsidR="00F6327C" w:rsidRPr="00135836" w:rsidRDefault="00F6327C" w:rsidP="00F6327C">
            <w:pPr>
              <w:pStyle w:val="ListParagraph"/>
              <w:numPr>
                <w:ilvl w:val="0"/>
                <w:numId w:val="1"/>
              </w:numPr>
              <w:spacing w:after="60" w:line="240" w:lineRule="auto"/>
              <w:rPr>
                <w:rFonts w:eastAsiaTheme="minorEastAsia" w:cs="Times New Roman"/>
                <w:sz w:val="24"/>
                <w:szCs w:val="24"/>
                <w:lang w:val="en-US"/>
              </w:rPr>
            </w:pPr>
            <w:r w:rsidRPr="00135836">
              <w:rPr>
                <w:rFonts w:eastAsiaTheme="minorEastAsia" w:cs="Times New Roman"/>
                <w:sz w:val="24"/>
                <w:szCs w:val="24"/>
                <w:lang w:val="en-US"/>
              </w:rPr>
              <w:t xml:space="preserve">Subjects must be 18 (or the legal age of consent in the jurisdiction in which the study is taking place) years of age or older; </w:t>
            </w:r>
          </w:p>
        </w:tc>
      </w:tr>
      <w:tr w:rsidR="00F6327C" w:rsidRPr="00135836" w14:paraId="4A54A1B8" w14:textId="77777777" w:rsidTr="002F2D13">
        <w:tc>
          <w:tcPr>
            <w:tcW w:w="9639" w:type="dxa"/>
            <w:tcBorders>
              <w:top w:val="nil"/>
              <w:left w:val="nil"/>
              <w:bottom w:val="nil"/>
              <w:right w:val="nil"/>
            </w:tcBorders>
            <w:shd w:val="clear" w:color="auto" w:fill="F2F2F2"/>
          </w:tcPr>
          <w:p w14:paraId="6797245B" w14:textId="77777777" w:rsidR="00F6327C" w:rsidRPr="00135836" w:rsidRDefault="00F6327C" w:rsidP="00F6327C">
            <w:pPr>
              <w:pStyle w:val="ListParagraph"/>
              <w:numPr>
                <w:ilvl w:val="0"/>
                <w:numId w:val="1"/>
              </w:numPr>
              <w:spacing w:after="60" w:line="240" w:lineRule="auto"/>
              <w:rPr>
                <w:rFonts w:cs="Times New Roman"/>
                <w:sz w:val="24"/>
                <w:szCs w:val="24"/>
                <w:lang w:val="en-US"/>
              </w:rPr>
            </w:pPr>
            <w:r w:rsidRPr="00135836">
              <w:rPr>
                <w:rFonts w:eastAsiaTheme="minorEastAsia" w:cs="Times New Roman"/>
                <w:sz w:val="24"/>
                <w:szCs w:val="24"/>
                <w:lang w:val="en-US"/>
              </w:rPr>
              <w:t>Pathologically or cytologically confirmed, advanced or refractory tumors (there are no restriction on the total number of lines of prior therapies, but patient should have received after at least 1 line of anti-cancer therapy [as per local standard of care]):</w:t>
            </w:r>
          </w:p>
          <w:p w14:paraId="2C5AA548" w14:textId="77777777" w:rsidR="00F6327C" w:rsidRPr="00135836" w:rsidRDefault="00F6327C" w:rsidP="00F6327C">
            <w:pPr>
              <w:pStyle w:val="ListParagraph"/>
              <w:numPr>
                <w:ilvl w:val="1"/>
                <w:numId w:val="1"/>
              </w:numPr>
              <w:spacing w:after="60" w:line="240" w:lineRule="auto"/>
              <w:rPr>
                <w:rFonts w:cs="Times New Roman"/>
                <w:sz w:val="24"/>
                <w:szCs w:val="24"/>
                <w:lang w:val="en-US"/>
              </w:rPr>
            </w:pPr>
            <w:r w:rsidRPr="00135836">
              <w:rPr>
                <w:rFonts w:cs="Times New Roman"/>
                <w:sz w:val="24"/>
                <w:szCs w:val="24"/>
                <w:lang w:val="en-US"/>
              </w:rPr>
              <w:t>Cohort A: Squamous and non-squamous NSCLC</w:t>
            </w:r>
          </w:p>
          <w:p w14:paraId="2C83760D" w14:textId="77777777" w:rsidR="00F6327C" w:rsidRPr="00135836" w:rsidRDefault="00F6327C" w:rsidP="00F6327C">
            <w:pPr>
              <w:pStyle w:val="ListParagraph"/>
              <w:numPr>
                <w:ilvl w:val="1"/>
                <w:numId w:val="1"/>
              </w:numPr>
              <w:spacing w:after="60" w:line="240" w:lineRule="auto"/>
              <w:rPr>
                <w:rFonts w:cs="Times New Roman"/>
                <w:sz w:val="24"/>
                <w:szCs w:val="24"/>
                <w:lang w:val="en-US"/>
              </w:rPr>
            </w:pPr>
            <w:r w:rsidRPr="00135836">
              <w:rPr>
                <w:rFonts w:cs="Times New Roman"/>
                <w:sz w:val="24"/>
                <w:szCs w:val="24"/>
                <w:lang w:val="en-US"/>
              </w:rPr>
              <w:t>Cohort B: Esophageal cancer, urothelial cancer, and cholangiocarcinoma;</w:t>
            </w:r>
          </w:p>
        </w:tc>
      </w:tr>
      <w:tr w:rsidR="00F6327C" w:rsidRPr="00135836" w14:paraId="3678F204" w14:textId="77777777" w:rsidTr="002F2D13">
        <w:tc>
          <w:tcPr>
            <w:tcW w:w="9639" w:type="dxa"/>
            <w:tcBorders>
              <w:top w:val="nil"/>
              <w:left w:val="nil"/>
              <w:bottom w:val="nil"/>
              <w:right w:val="nil"/>
            </w:tcBorders>
            <w:shd w:val="clear" w:color="auto" w:fill="auto"/>
          </w:tcPr>
          <w:p w14:paraId="2BCCF73F" w14:textId="77777777" w:rsidR="00F6327C" w:rsidRPr="00135836" w:rsidRDefault="00F6327C" w:rsidP="00F6327C">
            <w:pPr>
              <w:pStyle w:val="ListParagraph"/>
              <w:numPr>
                <w:ilvl w:val="0"/>
                <w:numId w:val="1"/>
              </w:numPr>
              <w:spacing w:after="20" w:line="240" w:lineRule="auto"/>
              <w:ind w:left="357" w:hanging="357"/>
              <w:contextualSpacing w:val="0"/>
              <w:rPr>
                <w:rFonts w:cs="Times New Roman"/>
                <w:sz w:val="24"/>
                <w:szCs w:val="24"/>
                <w:lang w:val="en-US"/>
              </w:rPr>
            </w:pPr>
            <w:r w:rsidRPr="00135836">
              <w:rPr>
                <w:rFonts w:eastAsiaTheme="minorEastAsia" w:cs="Times New Roman"/>
                <w:sz w:val="24"/>
                <w:szCs w:val="24"/>
                <w:lang w:val="en-US"/>
              </w:rPr>
              <w:t>Subjects must meet the following molecular eligibility criteria (diagnosed at a central or local laboratory using tumor tissue-based assay, which must indicate at least 1 of the following):</w:t>
            </w:r>
          </w:p>
          <w:p w14:paraId="7135F8D6"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eastAsiaTheme="minorEastAsia" w:cs="Times New Roman"/>
                <w:i/>
                <w:iCs/>
                <w:sz w:val="24"/>
                <w:szCs w:val="24"/>
                <w:lang w:val="en-US"/>
              </w:rPr>
              <w:t>FGFR</w:t>
            </w:r>
            <w:r w:rsidRPr="00135836">
              <w:rPr>
                <w:rFonts w:eastAsiaTheme="minorEastAsia" w:cs="Times New Roman"/>
                <w:sz w:val="24"/>
                <w:szCs w:val="24"/>
                <w:lang w:val="en-US"/>
              </w:rPr>
              <w:t xml:space="preserve"> gene translocations such as, but not limited to: </w:t>
            </w:r>
            <w:r w:rsidRPr="00135836">
              <w:rPr>
                <w:rFonts w:eastAsiaTheme="minorEastAsia" w:cs="Times New Roman"/>
                <w:i/>
                <w:iCs/>
                <w:sz w:val="24"/>
                <w:szCs w:val="24"/>
                <w:lang w:val="en-US"/>
              </w:rPr>
              <w:t>FGFR2-BICC1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 CASP7</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FGFR3-TACC3</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FGFR3-BAIAP2L1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FGFR2-AFF3</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FGFR2-OFD1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FGFR1-TACC1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FGFR2-TACC2</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FGFR2-PPAPDC1A</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FGFR2-SLC45A3</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FGFR2-VCL</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FGFR2-CCDC147</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FGFR2-CCAR1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FGFR2-UBQLN1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FGFR2-MCU</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FGFR3-WHSC1</w:t>
            </w:r>
            <w:r w:rsidRPr="00135836">
              <w:rPr>
                <w:rFonts w:eastAsiaTheme="minorEastAsia" w:cs="Times New Roman"/>
                <w:sz w:val="24"/>
                <w:szCs w:val="24"/>
                <w:lang w:val="en-US"/>
              </w:rPr>
              <w:t xml:space="preserve">, </w:t>
            </w:r>
            <w:r w:rsidRPr="00135836">
              <w:rPr>
                <w:rFonts w:eastAsiaTheme="minorEastAsia" w:cs="Times New Roman"/>
                <w:i/>
                <w:iCs/>
                <w:sz w:val="24"/>
                <w:szCs w:val="24"/>
                <w:lang w:val="en-US"/>
              </w:rPr>
              <w:t>FGFR2-CCDC6</w:t>
            </w:r>
          </w:p>
          <w:p w14:paraId="3E98187D"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i/>
                <w:iCs/>
                <w:sz w:val="24"/>
                <w:szCs w:val="24"/>
                <w:lang w:val="en-US"/>
              </w:rPr>
              <w:t>FGFR</w:t>
            </w:r>
            <w:r w:rsidRPr="00135836">
              <w:rPr>
                <w:rFonts w:cs="Times New Roman"/>
                <w:sz w:val="24"/>
                <w:szCs w:val="24"/>
                <w:lang w:val="en-US"/>
              </w:rPr>
              <w:t xml:space="preserve"> gene mutations such as, but not limited to: </w:t>
            </w:r>
            <w:r w:rsidRPr="00135836">
              <w:rPr>
                <w:rFonts w:cs="Times New Roman"/>
                <w:i/>
                <w:iCs/>
                <w:sz w:val="24"/>
                <w:szCs w:val="24"/>
                <w:lang w:val="en-US"/>
              </w:rPr>
              <w:t>FGFR1</w:t>
            </w:r>
            <w:r w:rsidRPr="00135836">
              <w:rPr>
                <w:rFonts w:cs="Times New Roman"/>
                <w:sz w:val="24"/>
                <w:szCs w:val="24"/>
                <w:lang w:val="en-US"/>
              </w:rPr>
              <w:t xml:space="preserve">: </w:t>
            </w:r>
            <w:r w:rsidRPr="00135836">
              <w:rPr>
                <w:rFonts w:cs="Times New Roman"/>
                <w:i/>
                <w:iCs/>
                <w:sz w:val="24"/>
                <w:szCs w:val="24"/>
                <w:lang w:val="en-US"/>
              </w:rPr>
              <w:t>T141A</w:t>
            </w:r>
            <w:r w:rsidRPr="00135836">
              <w:rPr>
                <w:rFonts w:cs="Times New Roman"/>
                <w:sz w:val="24"/>
                <w:szCs w:val="24"/>
                <w:lang w:val="en-US"/>
              </w:rPr>
              <w:t xml:space="preserve">, </w:t>
            </w:r>
            <w:r w:rsidRPr="00135836">
              <w:rPr>
                <w:rFonts w:cs="Times New Roman"/>
                <w:i/>
                <w:iCs/>
                <w:sz w:val="24"/>
                <w:szCs w:val="24"/>
                <w:lang w:val="en-US"/>
              </w:rPr>
              <w:t>N546K</w:t>
            </w:r>
            <w:r w:rsidRPr="00135836">
              <w:rPr>
                <w:rFonts w:cs="Times New Roman"/>
                <w:sz w:val="24"/>
                <w:szCs w:val="24"/>
                <w:lang w:val="en-US"/>
              </w:rPr>
              <w:t xml:space="preserve">, </w:t>
            </w:r>
            <w:r w:rsidRPr="00135836">
              <w:rPr>
                <w:rFonts w:cs="Times New Roman"/>
                <w:i/>
                <w:iCs/>
                <w:sz w:val="24"/>
                <w:szCs w:val="24"/>
                <w:lang w:val="en-US"/>
              </w:rPr>
              <w:t>K656E</w:t>
            </w:r>
            <w:r w:rsidRPr="00135836">
              <w:rPr>
                <w:rFonts w:cs="Times New Roman"/>
                <w:sz w:val="24"/>
                <w:szCs w:val="24"/>
                <w:lang w:val="en-US"/>
              </w:rPr>
              <w:t xml:space="preserve">; </w:t>
            </w:r>
            <w:r w:rsidRPr="00135836">
              <w:rPr>
                <w:rFonts w:cs="Times New Roman"/>
                <w:i/>
                <w:iCs/>
                <w:sz w:val="24"/>
                <w:szCs w:val="24"/>
                <w:lang w:val="en-US"/>
              </w:rPr>
              <w:t>FGFR2</w:t>
            </w:r>
            <w:r w:rsidRPr="00135836">
              <w:rPr>
                <w:rFonts w:cs="Times New Roman"/>
                <w:sz w:val="24"/>
                <w:szCs w:val="24"/>
                <w:lang w:val="en-US"/>
              </w:rPr>
              <w:t xml:space="preserve">: </w:t>
            </w:r>
            <w:r w:rsidRPr="00135836">
              <w:rPr>
                <w:rFonts w:cs="Times New Roman"/>
                <w:i/>
                <w:iCs/>
                <w:sz w:val="24"/>
                <w:szCs w:val="24"/>
                <w:lang w:val="en-US"/>
              </w:rPr>
              <w:t>S252W</w:t>
            </w:r>
            <w:r w:rsidRPr="00135836">
              <w:rPr>
                <w:rFonts w:cs="Times New Roman"/>
                <w:sz w:val="24"/>
                <w:szCs w:val="24"/>
                <w:lang w:val="en-US"/>
              </w:rPr>
              <w:t xml:space="preserve">, </w:t>
            </w:r>
            <w:r w:rsidRPr="00135836">
              <w:rPr>
                <w:rFonts w:cs="Times New Roman"/>
                <w:i/>
                <w:iCs/>
                <w:sz w:val="24"/>
                <w:szCs w:val="24"/>
                <w:lang w:val="en-US"/>
              </w:rPr>
              <w:t>P253R</w:t>
            </w:r>
            <w:r w:rsidRPr="00135836">
              <w:rPr>
                <w:rFonts w:cs="Times New Roman"/>
                <w:sz w:val="24"/>
                <w:szCs w:val="24"/>
                <w:lang w:val="en-US"/>
              </w:rPr>
              <w:t xml:space="preserve">, </w:t>
            </w:r>
            <w:r w:rsidRPr="00135836">
              <w:rPr>
                <w:rFonts w:cs="Times New Roman"/>
                <w:i/>
                <w:iCs/>
                <w:sz w:val="24"/>
                <w:szCs w:val="24"/>
                <w:lang w:val="en-US"/>
              </w:rPr>
              <w:t>Y375C</w:t>
            </w:r>
            <w:r w:rsidRPr="00135836">
              <w:rPr>
                <w:rFonts w:cs="Times New Roman"/>
                <w:sz w:val="24"/>
                <w:szCs w:val="24"/>
                <w:lang w:val="en-US"/>
              </w:rPr>
              <w:t xml:space="preserve">, </w:t>
            </w:r>
            <w:r w:rsidRPr="00135836">
              <w:rPr>
                <w:rFonts w:cs="Times New Roman"/>
                <w:i/>
                <w:iCs/>
                <w:sz w:val="24"/>
                <w:szCs w:val="24"/>
                <w:lang w:val="en-US"/>
              </w:rPr>
              <w:t>G380R</w:t>
            </w:r>
            <w:r w:rsidRPr="00135836">
              <w:rPr>
                <w:rFonts w:cs="Times New Roman"/>
                <w:sz w:val="24"/>
                <w:szCs w:val="24"/>
                <w:lang w:val="en-US"/>
              </w:rPr>
              <w:t xml:space="preserve">, </w:t>
            </w:r>
            <w:r w:rsidRPr="00135836">
              <w:rPr>
                <w:rFonts w:cs="Times New Roman"/>
                <w:i/>
                <w:iCs/>
                <w:sz w:val="24"/>
                <w:szCs w:val="24"/>
                <w:lang w:val="en-US"/>
              </w:rPr>
              <w:t>C382R</w:t>
            </w:r>
            <w:r w:rsidRPr="00135836">
              <w:rPr>
                <w:rFonts w:cs="Times New Roman"/>
                <w:sz w:val="24"/>
                <w:szCs w:val="24"/>
                <w:lang w:val="en-US"/>
              </w:rPr>
              <w:t xml:space="preserve">, </w:t>
            </w:r>
            <w:r w:rsidRPr="00135836">
              <w:rPr>
                <w:rFonts w:cs="Times New Roman"/>
                <w:i/>
                <w:iCs/>
                <w:sz w:val="24"/>
                <w:szCs w:val="24"/>
                <w:lang w:val="en-US"/>
              </w:rPr>
              <w:t>N549K</w:t>
            </w:r>
            <w:r w:rsidRPr="00135836">
              <w:rPr>
                <w:rFonts w:cs="Times New Roman"/>
                <w:sz w:val="24"/>
                <w:szCs w:val="24"/>
                <w:lang w:val="en-US"/>
              </w:rPr>
              <w:t xml:space="preserve">, </w:t>
            </w:r>
            <w:r w:rsidRPr="00135836">
              <w:rPr>
                <w:rFonts w:cs="Times New Roman"/>
                <w:i/>
                <w:iCs/>
                <w:sz w:val="24"/>
                <w:szCs w:val="24"/>
                <w:lang w:val="en-US"/>
              </w:rPr>
              <w:t>K659E</w:t>
            </w:r>
            <w:r w:rsidRPr="00135836">
              <w:rPr>
                <w:rFonts w:cs="Times New Roman"/>
                <w:sz w:val="24"/>
                <w:szCs w:val="24"/>
                <w:lang w:val="en-US"/>
              </w:rPr>
              <w:t xml:space="preserve">; </w:t>
            </w:r>
            <w:r w:rsidRPr="00135836">
              <w:rPr>
                <w:rFonts w:cs="Times New Roman"/>
                <w:i/>
                <w:iCs/>
                <w:sz w:val="24"/>
                <w:szCs w:val="24"/>
                <w:lang w:val="en-US"/>
              </w:rPr>
              <w:t>FGFR3</w:t>
            </w:r>
            <w:r w:rsidRPr="00135836">
              <w:rPr>
                <w:rFonts w:cs="Times New Roman"/>
                <w:sz w:val="24"/>
                <w:szCs w:val="24"/>
                <w:lang w:val="en-US"/>
              </w:rPr>
              <w:t xml:space="preserve">: </w:t>
            </w:r>
            <w:r w:rsidRPr="00135836">
              <w:rPr>
                <w:rFonts w:cs="Times New Roman"/>
                <w:i/>
                <w:iCs/>
                <w:sz w:val="24"/>
                <w:szCs w:val="24"/>
                <w:lang w:val="en-US"/>
              </w:rPr>
              <w:t>R248C</w:t>
            </w:r>
            <w:r w:rsidRPr="00135836">
              <w:rPr>
                <w:rFonts w:cs="Times New Roman"/>
                <w:sz w:val="24"/>
                <w:szCs w:val="24"/>
                <w:lang w:val="en-US"/>
              </w:rPr>
              <w:t xml:space="preserve">, </w:t>
            </w:r>
            <w:r w:rsidRPr="00135836">
              <w:rPr>
                <w:rFonts w:cs="Times New Roman"/>
                <w:i/>
                <w:iCs/>
                <w:sz w:val="24"/>
                <w:szCs w:val="24"/>
                <w:lang w:val="en-US"/>
              </w:rPr>
              <w:t>S249C</w:t>
            </w:r>
            <w:r w:rsidRPr="00135836">
              <w:rPr>
                <w:rFonts w:cs="Times New Roman"/>
                <w:sz w:val="24"/>
                <w:szCs w:val="24"/>
                <w:lang w:val="en-US"/>
              </w:rPr>
              <w:t xml:space="preserve">, </w:t>
            </w:r>
            <w:r w:rsidRPr="00135836">
              <w:rPr>
                <w:rFonts w:cs="Times New Roman"/>
                <w:i/>
                <w:iCs/>
                <w:sz w:val="24"/>
                <w:szCs w:val="24"/>
                <w:lang w:val="en-US"/>
              </w:rPr>
              <w:t>G370C</w:t>
            </w:r>
            <w:r w:rsidRPr="00135836">
              <w:rPr>
                <w:rFonts w:cs="Times New Roman"/>
                <w:sz w:val="24"/>
                <w:szCs w:val="24"/>
                <w:lang w:val="en-US"/>
              </w:rPr>
              <w:t xml:space="preserve">, </w:t>
            </w:r>
            <w:r w:rsidRPr="00135836">
              <w:rPr>
                <w:rFonts w:cs="Times New Roman"/>
                <w:i/>
                <w:iCs/>
                <w:sz w:val="24"/>
                <w:szCs w:val="24"/>
                <w:lang w:val="en-US"/>
              </w:rPr>
              <w:t>S371C</w:t>
            </w:r>
            <w:r w:rsidRPr="00135836">
              <w:rPr>
                <w:rFonts w:cs="Times New Roman"/>
                <w:sz w:val="24"/>
                <w:szCs w:val="24"/>
                <w:lang w:val="en-US"/>
              </w:rPr>
              <w:t xml:space="preserve">, </w:t>
            </w:r>
            <w:r w:rsidRPr="00135836">
              <w:rPr>
                <w:rFonts w:cs="Times New Roman"/>
                <w:i/>
                <w:iCs/>
                <w:sz w:val="24"/>
                <w:szCs w:val="24"/>
                <w:lang w:val="en-US"/>
              </w:rPr>
              <w:t>Y373C</w:t>
            </w:r>
            <w:r w:rsidRPr="00135836">
              <w:rPr>
                <w:rFonts w:cs="Times New Roman"/>
                <w:sz w:val="24"/>
                <w:szCs w:val="24"/>
                <w:lang w:val="en-US"/>
              </w:rPr>
              <w:t xml:space="preserve">, </w:t>
            </w:r>
            <w:r w:rsidRPr="00135836">
              <w:rPr>
                <w:rFonts w:cs="Times New Roman"/>
                <w:i/>
                <w:iCs/>
                <w:sz w:val="24"/>
                <w:szCs w:val="24"/>
                <w:lang w:val="en-US"/>
              </w:rPr>
              <w:t>F384L</w:t>
            </w:r>
            <w:r w:rsidRPr="00135836">
              <w:rPr>
                <w:rFonts w:cs="Times New Roman"/>
                <w:sz w:val="24"/>
                <w:szCs w:val="24"/>
                <w:lang w:val="en-US"/>
              </w:rPr>
              <w:t xml:space="preserve">, </w:t>
            </w:r>
            <w:r w:rsidRPr="00135836">
              <w:rPr>
                <w:rFonts w:cs="Times New Roman"/>
                <w:i/>
                <w:iCs/>
                <w:sz w:val="24"/>
                <w:szCs w:val="24"/>
                <w:lang w:val="en-US"/>
              </w:rPr>
              <w:t>A391E</w:t>
            </w:r>
            <w:r w:rsidRPr="00135836">
              <w:rPr>
                <w:rFonts w:cs="Times New Roman"/>
                <w:sz w:val="24"/>
                <w:szCs w:val="24"/>
                <w:lang w:val="en-US"/>
              </w:rPr>
              <w:t xml:space="preserve">, </w:t>
            </w:r>
            <w:r w:rsidRPr="00135836">
              <w:rPr>
                <w:rFonts w:cs="Times New Roman"/>
                <w:i/>
                <w:iCs/>
                <w:sz w:val="24"/>
                <w:szCs w:val="24"/>
                <w:lang w:val="en-US"/>
              </w:rPr>
              <w:t>K650E</w:t>
            </w:r>
            <w:r w:rsidRPr="00135836">
              <w:rPr>
                <w:rFonts w:cs="Times New Roman"/>
                <w:sz w:val="24"/>
                <w:szCs w:val="24"/>
                <w:lang w:val="en-US"/>
              </w:rPr>
              <w:t xml:space="preserve">, </w:t>
            </w:r>
            <w:r w:rsidRPr="00135836">
              <w:rPr>
                <w:rFonts w:cs="Times New Roman"/>
                <w:i/>
                <w:iCs/>
                <w:sz w:val="24"/>
                <w:szCs w:val="24"/>
                <w:lang w:val="en-US"/>
              </w:rPr>
              <w:t>K650M</w:t>
            </w:r>
            <w:r w:rsidRPr="00135836">
              <w:rPr>
                <w:rFonts w:cs="Times New Roman"/>
                <w:sz w:val="24"/>
                <w:szCs w:val="24"/>
                <w:lang w:val="en-US"/>
              </w:rPr>
              <w:t xml:space="preserve">, </w:t>
            </w:r>
            <w:r w:rsidRPr="00135836">
              <w:rPr>
                <w:rFonts w:cs="Times New Roman"/>
                <w:i/>
                <w:iCs/>
                <w:sz w:val="24"/>
                <w:szCs w:val="24"/>
                <w:lang w:val="en-US"/>
              </w:rPr>
              <w:t>K650Q</w:t>
            </w:r>
            <w:r w:rsidRPr="00135836">
              <w:rPr>
                <w:rFonts w:cs="Times New Roman"/>
                <w:sz w:val="24"/>
                <w:szCs w:val="24"/>
                <w:lang w:val="en-US"/>
              </w:rPr>
              <w:t xml:space="preserve">, </w:t>
            </w:r>
            <w:r w:rsidRPr="00135836">
              <w:rPr>
                <w:rFonts w:cs="Times New Roman"/>
                <w:i/>
                <w:iCs/>
                <w:sz w:val="24"/>
                <w:szCs w:val="24"/>
                <w:lang w:val="en-US"/>
              </w:rPr>
              <w:t>K650T</w:t>
            </w:r>
            <w:r w:rsidRPr="00135836">
              <w:rPr>
                <w:rFonts w:cs="Times New Roman"/>
                <w:sz w:val="24"/>
                <w:szCs w:val="24"/>
                <w:lang w:val="en-US"/>
              </w:rPr>
              <w:t xml:space="preserve">, </w:t>
            </w:r>
            <w:r w:rsidRPr="00135836">
              <w:rPr>
                <w:rFonts w:cs="Times New Roman"/>
                <w:i/>
                <w:iCs/>
                <w:sz w:val="24"/>
                <w:szCs w:val="24"/>
                <w:lang w:val="en-US"/>
              </w:rPr>
              <w:t>G697C</w:t>
            </w:r>
          </w:p>
          <w:p w14:paraId="6BF038DE"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i/>
                <w:iCs/>
                <w:sz w:val="24"/>
                <w:szCs w:val="24"/>
                <w:lang w:val="en-US"/>
              </w:rPr>
              <w:t>RET</w:t>
            </w:r>
            <w:r w:rsidRPr="00135836">
              <w:rPr>
                <w:rFonts w:cs="Times New Roman"/>
                <w:sz w:val="24"/>
                <w:szCs w:val="24"/>
                <w:lang w:val="en-US"/>
              </w:rPr>
              <w:t xml:space="preserve"> activating mutations or </w:t>
            </w:r>
            <w:r w:rsidRPr="00135836">
              <w:rPr>
                <w:rFonts w:cs="Times New Roman"/>
                <w:i/>
                <w:iCs/>
                <w:sz w:val="24"/>
                <w:szCs w:val="24"/>
                <w:lang w:val="en-US"/>
              </w:rPr>
              <w:t>RET</w:t>
            </w:r>
            <w:r w:rsidRPr="00135836">
              <w:rPr>
                <w:rFonts w:cs="Times New Roman"/>
                <w:sz w:val="24"/>
                <w:szCs w:val="24"/>
                <w:lang w:val="en-US"/>
              </w:rPr>
              <w:t xml:space="preserve"> translocations</w:t>
            </w:r>
          </w:p>
          <w:p w14:paraId="79C28518"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Subjects with evidence of FGFR pathway activation or other potential target/pathway inhibited by erdafitinib may also be considered and allowed for enrollment if supported by emerging biomarker data;</w:t>
            </w:r>
          </w:p>
        </w:tc>
      </w:tr>
      <w:tr w:rsidR="00F6327C" w:rsidRPr="00135836" w14:paraId="0842FF3D" w14:textId="77777777" w:rsidTr="002F2D13">
        <w:tc>
          <w:tcPr>
            <w:tcW w:w="9639" w:type="dxa"/>
            <w:tcBorders>
              <w:top w:val="nil"/>
              <w:left w:val="nil"/>
              <w:bottom w:val="nil"/>
              <w:right w:val="nil"/>
            </w:tcBorders>
            <w:shd w:val="clear" w:color="auto" w:fill="F2F2F2"/>
          </w:tcPr>
          <w:p w14:paraId="58E94683" w14:textId="77777777" w:rsidR="00F6327C" w:rsidRPr="00135836" w:rsidRDefault="00F6327C" w:rsidP="00F6327C">
            <w:pPr>
              <w:pStyle w:val="ListParagraph"/>
              <w:numPr>
                <w:ilvl w:val="0"/>
                <w:numId w:val="1"/>
              </w:numPr>
              <w:spacing w:after="20" w:line="240" w:lineRule="auto"/>
              <w:ind w:left="357" w:hanging="357"/>
              <w:contextualSpacing w:val="0"/>
              <w:rPr>
                <w:rFonts w:cs="Times New Roman"/>
                <w:sz w:val="24"/>
                <w:szCs w:val="24"/>
                <w:lang w:val="en-US"/>
              </w:rPr>
            </w:pPr>
            <w:r w:rsidRPr="00135836">
              <w:rPr>
                <w:rFonts w:cs="Times New Roman"/>
                <w:bCs/>
                <w:sz w:val="24"/>
                <w:szCs w:val="24"/>
                <w:lang w:val="en-US"/>
              </w:rPr>
              <w:t>The presence of measurable disease according to the RECIST, Version 1.1 Criteria, and documented disease progression as defined by RECIST (Version 1.1) at baseline;</w:t>
            </w:r>
          </w:p>
        </w:tc>
      </w:tr>
      <w:tr w:rsidR="00F6327C" w:rsidRPr="00135836" w14:paraId="61D0686C" w14:textId="77777777" w:rsidTr="002F2D13">
        <w:tc>
          <w:tcPr>
            <w:tcW w:w="9639" w:type="dxa"/>
            <w:tcBorders>
              <w:top w:val="nil"/>
              <w:left w:val="nil"/>
              <w:bottom w:val="nil"/>
              <w:right w:val="nil"/>
            </w:tcBorders>
            <w:shd w:val="clear" w:color="auto" w:fill="auto"/>
          </w:tcPr>
          <w:p w14:paraId="0D466D01" w14:textId="77777777" w:rsidR="00F6327C" w:rsidRPr="00135836" w:rsidRDefault="00F6327C" w:rsidP="00F6327C">
            <w:pPr>
              <w:pStyle w:val="ListParagraph"/>
              <w:numPr>
                <w:ilvl w:val="0"/>
                <w:numId w:val="1"/>
              </w:numPr>
              <w:spacing w:after="60" w:line="240" w:lineRule="auto"/>
              <w:ind w:left="357" w:hanging="357"/>
              <w:rPr>
                <w:rFonts w:cs="Times New Roman"/>
                <w:sz w:val="24"/>
                <w:szCs w:val="24"/>
                <w:lang w:val="en-US"/>
              </w:rPr>
            </w:pPr>
            <w:r w:rsidRPr="00135836">
              <w:rPr>
                <w:rFonts w:cs="Times New Roman"/>
                <w:lang w:val="en-US"/>
              </w:rPr>
              <w:t>Eastern Cooperative Oncology Group (ECOG) performance status score 0 or 1;</w:t>
            </w:r>
          </w:p>
        </w:tc>
      </w:tr>
      <w:tr w:rsidR="00F6327C" w:rsidRPr="00135836" w14:paraId="20ACEFBD" w14:textId="77777777" w:rsidTr="002F2D13">
        <w:tc>
          <w:tcPr>
            <w:tcW w:w="9639" w:type="dxa"/>
            <w:tcBorders>
              <w:top w:val="nil"/>
              <w:left w:val="nil"/>
              <w:bottom w:val="nil"/>
              <w:right w:val="nil"/>
            </w:tcBorders>
            <w:shd w:val="clear" w:color="auto" w:fill="F2F2F2" w:themeFill="background1" w:themeFillShade="F2"/>
          </w:tcPr>
          <w:p w14:paraId="1342E5C2" w14:textId="77777777" w:rsidR="00F6327C" w:rsidRPr="00135836" w:rsidRDefault="00F6327C" w:rsidP="00F6327C">
            <w:pPr>
              <w:pStyle w:val="ListParagraph"/>
              <w:numPr>
                <w:ilvl w:val="0"/>
                <w:numId w:val="1"/>
              </w:numPr>
              <w:spacing w:after="20" w:line="240" w:lineRule="auto"/>
              <w:ind w:left="357" w:hanging="357"/>
              <w:rPr>
                <w:rFonts w:eastAsiaTheme="majorEastAsia" w:cs="Times New Roman"/>
                <w:sz w:val="24"/>
                <w:szCs w:val="24"/>
                <w:lang w:val="en-US"/>
              </w:rPr>
            </w:pPr>
            <w:r w:rsidRPr="00135836">
              <w:rPr>
                <w:rFonts w:cs="Times New Roman"/>
                <w:sz w:val="24"/>
                <w:szCs w:val="24"/>
                <w:lang w:val="en-US"/>
              </w:rPr>
              <w:t>Adequate bone marrow, liver, and renal function within the 14 days prior to Day 1 of Cycle 1 up until pre-dose of Cycle 1, as described below:</w:t>
            </w:r>
          </w:p>
          <w:p w14:paraId="0874F3E2" w14:textId="77777777" w:rsidR="00F6327C" w:rsidRPr="00135836" w:rsidRDefault="00F6327C" w:rsidP="00F6327C">
            <w:pPr>
              <w:pStyle w:val="ListParagraph"/>
              <w:numPr>
                <w:ilvl w:val="1"/>
                <w:numId w:val="1"/>
              </w:numPr>
              <w:spacing w:after="20" w:line="240" w:lineRule="auto"/>
              <w:rPr>
                <w:rFonts w:eastAsiaTheme="majorEastAsia" w:cs="Times New Roman"/>
                <w:sz w:val="24"/>
                <w:szCs w:val="24"/>
                <w:lang w:val="en-US"/>
              </w:rPr>
            </w:pPr>
            <w:r w:rsidRPr="00135836">
              <w:rPr>
                <w:rFonts w:cs="Times New Roman"/>
                <w:sz w:val="24"/>
                <w:szCs w:val="24"/>
                <w:lang w:val="en-US"/>
              </w:rPr>
              <w:t xml:space="preserve"> Bone marrow function (without the support of cytokines and/or erythropoietin in preceding 2 weeks):</w:t>
            </w:r>
          </w:p>
          <w:p w14:paraId="09BCE59E"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Absolute neutrophil count (ANC) &gt;1500/mm</w:t>
            </w:r>
            <w:r w:rsidRPr="00135836">
              <w:rPr>
                <w:rFonts w:eastAsiaTheme="majorEastAsia" w:cs="Times New Roman"/>
                <w:sz w:val="24"/>
                <w:szCs w:val="24"/>
                <w:vertAlign w:val="superscript"/>
                <w:lang w:val="en-US"/>
              </w:rPr>
              <w:t>3</w:t>
            </w:r>
          </w:p>
          <w:p w14:paraId="2EC1A0F0"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Platelet count &gt;75,000/mm</w:t>
            </w:r>
            <w:r w:rsidRPr="00135836">
              <w:rPr>
                <w:rFonts w:eastAsiaTheme="majorEastAsia" w:cs="Times New Roman"/>
                <w:sz w:val="24"/>
                <w:szCs w:val="24"/>
                <w:vertAlign w:val="superscript"/>
                <w:lang w:val="en-US"/>
              </w:rPr>
              <w:t>3</w:t>
            </w:r>
          </w:p>
          <w:p w14:paraId="5547D60D"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Hemoglobin &gt;8.5 g/dL (without transfusion or demonstrate stability (</w:t>
            </w:r>
            <w:proofErr w:type="spellStart"/>
            <w:r w:rsidRPr="00135836">
              <w:rPr>
                <w:rFonts w:eastAsiaTheme="majorEastAsia" w:cs="Times New Roman"/>
                <w:sz w:val="24"/>
                <w:szCs w:val="24"/>
                <w:lang w:val="en-US"/>
              </w:rPr>
              <w:t>ie</w:t>
            </w:r>
            <w:proofErr w:type="spellEnd"/>
            <w:r w:rsidRPr="00135836">
              <w:rPr>
                <w:rFonts w:eastAsiaTheme="majorEastAsia" w:cs="Times New Roman"/>
                <w:sz w:val="24"/>
                <w:szCs w:val="24"/>
                <w:lang w:val="en-US"/>
              </w:rPr>
              <w:t>, No significant decline in hemoglobin for 2 weeks after transfusion)</w:t>
            </w:r>
          </w:p>
          <w:p w14:paraId="3FEB99C6" w14:textId="77777777" w:rsidR="00F6327C" w:rsidRPr="00135836" w:rsidRDefault="00F6327C" w:rsidP="00F6327C">
            <w:pPr>
              <w:pStyle w:val="ListParagraph"/>
              <w:numPr>
                <w:ilvl w:val="1"/>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Liver function:</w:t>
            </w:r>
          </w:p>
          <w:p w14:paraId="4C770DBB"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Total bilirubin ≤1.5 x institutional ULN, unless known to have Gilbert's disease</w:t>
            </w:r>
          </w:p>
          <w:p w14:paraId="0E569FBF"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Alanine aminotransferase and AST ≤2.5 x the institutional ULN (For cholangiocarcinoma, ≤5 x the institutional ULN in case of liver metastasis)</w:t>
            </w:r>
          </w:p>
          <w:p w14:paraId="2C3B0993" w14:textId="77777777" w:rsidR="00F6327C" w:rsidRPr="00135836" w:rsidRDefault="00F6327C" w:rsidP="00F6327C">
            <w:pPr>
              <w:pStyle w:val="ListParagraph"/>
              <w:numPr>
                <w:ilvl w:val="1"/>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Renal function:</w:t>
            </w:r>
          </w:p>
          <w:p w14:paraId="6FEB262A" w14:textId="77777777" w:rsidR="00F6327C" w:rsidRPr="00135836" w:rsidRDefault="00F6327C" w:rsidP="00F6327C">
            <w:pPr>
              <w:pStyle w:val="ListParagraph"/>
              <w:numPr>
                <w:ilvl w:val="2"/>
                <w:numId w:val="1"/>
              </w:numPr>
              <w:spacing w:after="20" w:line="240" w:lineRule="auto"/>
              <w:rPr>
                <w:rFonts w:eastAsiaTheme="majorEastAsia" w:cs="Times New Roman"/>
                <w:sz w:val="24"/>
                <w:szCs w:val="24"/>
                <w:lang w:val="en-US"/>
              </w:rPr>
            </w:pPr>
            <w:r w:rsidRPr="00135836">
              <w:rPr>
                <w:rFonts w:eastAsiaTheme="majorEastAsia" w:cs="Times New Roman"/>
                <w:sz w:val="24"/>
                <w:szCs w:val="24"/>
                <w:lang w:val="en-US"/>
              </w:rPr>
              <w:t>Serum creatinine ≤1.5 mg/dl or calculated creatinine clearance (Attachment 2)</w:t>
            </w:r>
          </w:p>
          <w:p w14:paraId="2B240A54" w14:textId="77777777" w:rsidR="00F6327C" w:rsidRPr="00135836" w:rsidRDefault="00F6327C" w:rsidP="002F2D13">
            <w:pPr>
              <w:pStyle w:val="ListParagraph"/>
              <w:spacing w:after="20" w:line="240" w:lineRule="auto"/>
              <w:ind w:left="1800"/>
              <w:rPr>
                <w:rFonts w:eastAsiaTheme="majorEastAsia" w:cs="Times New Roman"/>
                <w:sz w:val="24"/>
                <w:szCs w:val="24"/>
                <w:lang w:val="en-US"/>
              </w:rPr>
            </w:pPr>
            <w:r w:rsidRPr="00135836">
              <w:rPr>
                <w:rFonts w:eastAsiaTheme="majorEastAsia" w:cs="Times New Roman"/>
                <w:sz w:val="24"/>
                <w:szCs w:val="24"/>
                <w:lang w:val="en-US"/>
              </w:rPr>
              <w:t>≥50 mL/min/1.73 m</w:t>
            </w:r>
            <w:r w:rsidRPr="00135836">
              <w:rPr>
                <w:rFonts w:eastAsiaTheme="majorEastAsia" w:cs="Times New Roman"/>
                <w:sz w:val="24"/>
                <w:szCs w:val="24"/>
                <w:vertAlign w:val="superscript"/>
                <w:lang w:val="en-US"/>
              </w:rPr>
              <w:t>2</w:t>
            </w:r>
            <w:r w:rsidRPr="00135836">
              <w:rPr>
                <w:rFonts w:eastAsiaTheme="majorEastAsia" w:cs="Times New Roman"/>
                <w:sz w:val="24"/>
                <w:szCs w:val="24"/>
                <w:lang w:val="en-US"/>
              </w:rPr>
              <w:t>;</w:t>
            </w:r>
          </w:p>
        </w:tc>
      </w:tr>
      <w:tr w:rsidR="00F6327C" w:rsidRPr="00135836" w14:paraId="3A170BD6" w14:textId="77777777" w:rsidTr="002F2D13">
        <w:tc>
          <w:tcPr>
            <w:tcW w:w="9639" w:type="dxa"/>
            <w:tcBorders>
              <w:top w:val="nil"/>
              <w:left w:val="nil"/>
              <w:bottom w:val="nil"/>
              <w:right w:val="nil"/>
            </w:tcBorders>
            <w:shd w:val="clear" w:color="auto" w:fill="FFFFFF" w:themeFill="background1"/>
          </w:tcPr>
          <w:p w14:paraId="2575FA7B" w14:textId="77777777" w:rsidR="00F6327C" w:rsidRPr="00135836" w:rsidRDefault="00F6327C" w:rsidP="00F6327C">
            <w:pPr>
              <w:pStyle w:val="ListParagraph"/>
              <w:numPr>
                <w:ilvl w:val="0"/>
                <w:numId w:val="1"/>
              </w:numPr>
              <w:spacing w:after="20" w:line="240" w:lineRule="auto"/>
              <w:ind w:left="357" w:hanging="357"/>
              <w:rPr>
                <w:rFonts w:eastAsiaTheme="majorEastAsia" w:cs="Times New Roman"/>
                <w:sz w:val="24"/>
                <w:szCs w:val="24"/>
                <w:lang w:val="en-US"/>
              </w:rPr>
            </w:pPr>
            <w:r w:rsidRPr="00135836">
              <w:rPr>
                <w:rFonts w:cs="Times New Roman"/>
                <w:sz w:val="24"/>
                <w:szCs w:val="24"/>
                <w:lang w:val="en-US"/>
              </w:rPr>
              <w:lastRenderedPageBreak/>
              <w:t xml:space="preserve">Female subjects (of childbearing potential and sexually active) and male subjects (with a partner of </w:t>
            </w:r>
            <w:proofErr w:type="gramStart"/>
            <w:r w:rsidRPr="00135836">
              <w:rPr>
                <w:rFonts w:cs="Times New Roman"/>
                <w:sz w:val="24"/>
                <w:szCs w:val="24"/>
                <w:lang w:val="en-US"/>
              </w:rPr>
              <w:t>child bearing</w:t>
            </w:r>
            <w:proofErr w:type="gramEnd"/>
            <w:r w:rsidRPr="00135836">
              <w:rPr>
                <w:rFonts w:cs="Times New Roman"/>
                <w:sz w:val="24"/>
                <w:szCs w:val="24"/>
                <w:lang w:val="en-US"/>
              </w:rPr>
              <w:t xml:space="preserve"> potential) must use medically acceptable methods of birth control before study entry, for the duration of the study, and for at least 3 months after the last dose of study drug. Male subjects must use highly effective birth control measurements when sexually active and must not donate sperm from the first dose of study drug until 5 months after the last dose of study drug. Medically acceptable methods of contraception that may be used by the subject and/or his/her partner include hormonal prescription oral contraceptives, contraceptive injections, contraceptive patch,</w:t>
            </w:r>
            <w:r w:rsidRPr="00135836">
              <w:rPr>
                <w:rFonts w:cs="Times New Roman"/>
                <w:lang w:val="en-US"/>
              </w:rPr>
              <w:t xml:space="preserve"> </w:t>
            </w:r>
            <w:r w:rsidRPr="00135836">
              <w:rPr>
                <w:rFonts w:cs="Times New Roman"/>
                <w:sz w:val="24"/>
                <w:szCs w:val="24"/>
                <w:lang w:val="en-US"/>
              </w:rPr>
              <w:t>intrauterine device, true sexual abstinence, and surgical sterilization (</w:t>
            </w:r>
            <w:proofErr w:type="spellStart"/>
            <w:r w:rsidRPr="00135836">
              <w:rPr>
                <w:rFonts w:cs="Times New Roman"/>
                <w:sz w:val="24"/>
                <w:szCs w:val="24"/>
                <w:lang w:val="en-US"/>
              </w:rPr>
              <w:t>eg</w:t>
            </w:r>
            <w:proofErr w:type="spellEnd"/>
            <w:r w:rsidRPr="00135836">
              <w:rPr>
                <w:rFonts w:cs="Times New Roman"/>
                <w:sz w:val="24"/>
                <w:szCs w:val="24"/>
                <w:lang w:val="en-US"/>
              </w:rPr>
              <w:t xml:space="preserve">, confirmed successful vasectomy or tubal ligation). True sexual abstinence is an acceptable method of contraception and is defined as refraining from heterosexual intercourse during the entire period of the study, including up to 3 months for females and 5 months for males after the last dose of study drug is given. Periodic abstinence (calendar, </w:t>
            </w:r>
            <w:proofErr w:type="spellStart"/>
            <w:r w:rsidRPr="00135836">
              <w:rPr>
                <w:rFonts w:cs="Times New Roman"/>
                <w:sz w:val="24"/>
                <w:szCs w:val="24"/>
                <w:lang w:val="en-US"/>
              </w:rPr>
              <w:t>symptothermal</w:t>
            </w:r>
            <w:proofErr w:type="spellEnd"/>
            <w:r w:rsidRPr="00135836">
              <w:rPr>
                <w:rFonts w:cs="Times New Roman"/>
                <w:sz w:val="24"/>
                <w:szCs w:val="24"/>
                <w:lang w:val="en-US"/>
              </w:rPr>
              <w:t xml:space="preserve">, </w:t>
            </w:r>
            <w:proofErr w:type="spellStart"/>
            <w:r w:rsidRPr="00135836">
              <w:rPr>
                <w:rFonts w:cs="Times New Roman"/>
                <w:sz w:val="24"/>
                <w:szCs w:val="24"/>
                <w:lang w:val="en-US"/>
              </w:rPr>
              <w:t>postovulation</w:t>
            </w:r>
            <w:proofErr w:type="spellEnd"/>
            <w:r w:rsidRPr="00135836">
              <w:rPr>
                <w:rFonts w:cs="Times New Roman"/>
                <w:sz w:val="24"/>
                <w:szCs w:val="24"/>
                <w:lang w:val="en-US"/>
              </w:rPr>
              <w:t xml:space="preserve"> methods) is not considered an acceptable contraceptive method; </w:t>
            </w:r>
          </w:p>
        </w:tc>
      </w:tr>
      <w:tr w:rsidR="00F6327C" w:rsidRPr="00135836" w14:paraId="7A9E3B83" w14:textId="77777777" w:rsidTr="002F2D13">
        <w:tc>
          <w:tcPr>
            <w:tcW w:w="9639" w:type="dxa"/>
            <w:tcBorders>
              <w:top w:val="nil"/>
              <w:left w:val="nil"/>
              <w:bottom w:val="nil"/>
              <w:right w:val="nil"/>
            </w:tcBorders>
            <w:shd w:val="clear" w:color="auto" w:fill="F2F2F2" w:themeFill="background1" w:themeFillShade="F2"/>
          </w:tcPr>
          <w:p w14:paraId="212DF1B4" w14:textId="77777777" w:rsidR="00F6327C" w:rsidRPr="00135836" w:rsidRDefault="00F6327C" w:rsidP="00F6327C">
            <w:pPr>
              <w:pStyle w:val="ListParagraph"/>
              <w:numPr>
                <w:ilvl w:val="0"/>
                <w:numId w:val="1"/>
              </w:numPr>
              <w:spacing w:after="20" w:line="240" w:lineRule="auto"/>
              <w:ind w:left="357" w:hanging="357"/>
              <w:rPr>
                <w:rFonts w:eastAsiaTheme="majorEastAsia" w:cs="Times New Roman"/>
                <w:sz w:val="24"/>
                <w:szCs w:val="24"/>
                <w:lang w:val="en-US"/>
              </w:rPr>
            </w:pPr>
            <w:r w:rsidRPr="00135836">
              <w:rPr>
                <w:rFonts w:eastAsiaTheme="majorEastAsia" w:cs="Times New Roman"/>
                <w:sz w:val="24"/>
                <w:szCs w:val="24"/>
                <w:lang w:val="en-US"/>
              </w:rPr>
              <w:t xml:space="preserve">Negative pregnancy test (urine or serum beta human chorionic gonadotropin [β- </w:t>
            </w:r>
            <w:proofErr w:type="spellStart"/>
            <w:r w:rsidRPr="00135836">
              <w:rPr>
                <w:rFonts w:eastAsiaTheme="majorEastAsia" w:cs="Times New Roman"/>
                <w:sz w:val="24"/>
                <w:szCs w:val="24"/>
                <w:lang w:val="en-US"/>
              </w:rPr>
              <w:t>hCG</w:t>
            </w:r>
            <w:proofErr w:type="spellEnd"/>
            <w:r w:rsidRPr="00135836">
              <w:rPr>
                <w:rFonts w:eastAsiaTheme="majorEastAsia" w:cs="Times New Roman"/>
                <w:sz w:val="24"/>
                <w:szCs w:val="24"/>
                <w:lang w:val="en-US"/>
              </w:rPr>
              <w:t>]) at Screening for women of childbearing potential who are sexually active;</w:t>
            </w:r>
          </w:p>
        </w:tc>
      </w:tr>
      <w:tr w:rsidR="00F6327C" w:rsidRPr="00135836" w14:paraId="6977FBC5" w14:textId="77777777" w:rsidTr="002F2D13">
        <w:trPr>
          <w:trHeight w:val="70"/>
        </w:trPr>
        <w:tc>
          <w:tcPr>
            <w:tcW w:w="9639" w:type="dxa"/>
            <w:tcBorders>
              <w:top w:val="nil"/>
              <w:left w:val="nil"/>
              <w:bottom w:val="nil"/>
              <w:right w:val="nil"/>
            </w:tcBorders>
            <w:shd w:val="clear" w:color="auto" w:fill="FFFFFF" w:themeFill="background1"/>
          </w:tcPr>
          <w:p w14:paraId="235E087A" w14:textId="77777777" w:rsidR="00F6327C" w:rsidRPr="00135836" w:rsidRDefault="00F6327C" w:rsidP="00F6327C">
            <w:pPr>
              <w:pStyle w:val="ListParagraph"/>
              <w:numPr>
                <w:ilvl w:val="0"/>
                <w:numId w:val="1"/>
              </w:numPr>
              <w:spacing w:after="20" w:line="240" w:lineRule="auto"/>
              <w:ind w:left="357" w:hanging="357"/>
              <w:rPr>
                <w:rFonts w:eastAsiaTheme="majorEastAsia" w:cs="Times New Roman"/>
                <w:sz w:val="24"/>
                <w:szCs w:val="24"/>
                <w:lang w:val="en-US"/>
              </w:rPr>
            </w:pPr>
            <w:r w:rsidRPr="00135836">
              <w:rPr>
                <w:rFonts w:eastAsiaTheme="majorEastAsia" w:cs="Times New Roman"/>
                <w:sz w:val="24"/>
                <w:szCs w:val="24"/>
                <w:lang w:val="en-US"/>
              </w:rPr>
              <w:t xml:space="preserve">Each subject or their legally acceptable representative must sign an informed consent form (ICF) indicating that he or she understands the purpose </w:t>
            </w:r>
            <w:proofErr w:type="gramStart"/>
            <w:r w:rsidRPr="00135836">
              <w:rPr>
                <w:rFonts w:eastAsiaTheme="majorEastAsia" w:cs="Times New Roman"/>
                <w:sz w:val="24"/>
                <w:szCs w:val="24"/>
                <w:lang w:val="en-US"/>
              </w:rPr>
              <w:t>of</w:t>
            </w:r>
            <w:proofErr w:type="gramEnd"/>
            <w:r w:rsidRPr="00135836">
              <w:rPr>
                <w:rFonts w:eastAsiaTheme="majorEastAsia" w:cs="Times New Roman"/>
                <w:sz w:val="24"/>
                <w:szCs w:val="24"/>
                <w:lang w:val="en-US"/>
              </w:rPr>
              <w:t xml:space="preserve"> and procedures required for the study and are willing to participate in the study.</w:t>
            </w:r>
          </w:p>
        </w:tc>
      </w:tr>
      <w:tr w:rsidR="00F6327C" w:rsidRPr="00135836" w14:paraId="715C610E" w14:textId="77777777" w:rsidTr="002F2D13">
        <w:trPr>
          <w:trHeight w:val="50"/>
        </w:trPr>
        <w:tc>
          <w:tcPr>
            <w:tcW w:w="9639" w:type="dxa"/>
            <w:tcBorders>
              <w:top w:val="single" w:sz="8" w:space="0" w:color="auto"/>
              <w:left w:val="nil"/>
              <w:bottom w:val="single" w:sz="8" w:space="0" w:color="auto"/>
              <w:right w:val="nil"/>
            </w:tcBorders>
            <w:shd w:val="clear" w:color="auto" w:fill="F2F2F2" w:themeFill="background1" w:themeFillShade="F2"/>
          </w:tcPr>
          <w:p w14:paraId="3B02B166" w14:textId="77777777" w:rsidR="00F6327C" w:rsidRPr="00135836" w:rsidRDefault="00F6327C" w:rsidP="002F2D13">
            <w:pPr>
              <w:spacing w:after="0" w:line="360" w:lineRule="auto"/>
              <w:rPr>
                <w:rFonts w:cs="Times New Roman"/>
                <w:b/>
                <w:bCs/>
                <w:sz w:val="24"/>
                <w:szCs w:val="24"/>
                <w:lang w:val="en-US"/>
              </w:rPr>
            </w:pPr>
            <w:r w:rsidRPr="00135836">
              <w:rPr>
                <w:rFonts w:cs="Times New Roman"/>
                <w:b/>
                <w:bCs/>
                <w:sz w:val="24"/>
                <w:szCs w:val="24"/>
                <w:lang w:val="en-US"/>
              </w:rPr>
              <w:t>Exclusion criteria</w:t>
            </w:r>
          </w:p>
        </w:tc>
      </w:tr>
      <w:tr w:rsidR="00F6327C" w:rsidRPr="00135836" w14:paraId="40699253" w14:textId="77777777" w:rsidTr="002F2D13">
        <w:tc>
          <w:tcPr>
            <w:tcW w:w="9639" w:type="dxa"/>
            <w:tcBorders>
              <w:top w:val="single" w:sz="8" w:space="0" w:color="auto"/>
              <w:left w:val="nil"/>
              <w:bottom w:val="nil"/>
              <w:right w:val="nil"/>
            </w:tcBorders>
            <w:shd w:val="clear" w:color="auto" w:fill="auto"/>
          </w:tcPr>
          <w:p w14:paraId="00044F79" w14:textId="77777777" w:rsidR="00F6327C" w:rsidRPr="00135836" w:rsidRDefault="00F6327C" w:rsidP="00F6327C">
            <w:pPr>
              <w:pStyle w:val="ListParagraph"/>
              <w:numPr>
                <w:ilvl w:val="0"/>
                <w:numId w:val="2"/>
              </w:numPr>
              <w:spacing w:after="20" w:line="240" w:lineRule="auto"/>
              <w:ind w:left="357" w:hanging="357"/>
              <w:rPr>
                <w:rFonts w:cs="Times New Roman"/>
                <w:sz w:val="24"/>
                <w:szCs w:val="24"/>
                <w:lang w:val="en-US"/>
              </w:rPr>
            </w:pPr>
            <w:r w:rsidRPr="00135836">
              <w:rPr>
                <w:rFonts w:cs="Times New Roman"/>
                <w:sz w:val="24"/>
                <w:szCs w:val="24"/>
                <w:lang w:val="en-US"/>
              </w:rPr>
              <w:t>Chemotherapy, targeted therapies, immunotherapy, or treatment with an investigational anticancer agent within 2 weeks or at least 5 half-lives of the drug, whichever is longer but up to a maximum of 4 weeks, before the first administration of study drug. Localized palliative radiation therapy (but should not include radiation to target lesions) and ongoing luteinizing hormone-releasing hormone (LHRH) agonists, bisphosphonates and denosumab, are permitted;</w:t>
            </w:r>
          </w:p>
        </w:tc>
      </w:tr>
      <w:tr w:rsidR="00F6327C" w:rsidRPr="00135836" w14:paraId="248A4675" w14:textId="77777777" w:rsidTr="002F2D13">
        <w:tc>
          <w:tcPr>
            <w:tcW w:w="9639" w:type="dxa"/>
            <w:tcBorders>
              <w:top w:val="nil"/>
              <w:left w:val="nil"/>
              <w:bottom w:val="nil"/>
              <w:right w:val="nil"/>
            </w:tcBorders>
            <w:shd w:val="clear" w:color="auto" w:fill="F2F2F2"/>
          </w:tcPr>
          <w:p w14:paraId="2D1F4AEE" w14:textId="77777777" w:rsidR="00F6327C" w:rsidRPr="00135836" w:rsidRDefault="00F6327C" w:rsidP="00F6327C">
            <w:pPr>
              <w:pStyle w:val="ListParagraph"/>
              <w:numPr>
                <w:ilvl w:val="0"/>
                <w:numId w:val="2"/>
              </w:numPr>
              <w:spacing w:after="60" w:line="240" w:lineRule="auto"/>
              <w:ind w:left="357" w:hanging="357"/>
              <w:rPr>
                <w:rFonts w:cs="Times New Roman"/>
                <w:sz w:val="24"/>
                <w:szCs w:val="24"/>
                <w:lang w:val="en-US"/>
              </w:rPr>
            </w:pPr>
            <w:r w:rsidRPr="00135836">
              <w:rPr>
                <w:rFonts w:cs="Times New Roman"/>
                <w:sz w:val="24"/>
                <w:szCs w:val="24"/>
                <w:lang w:val="en-US"/>
              </w:rPr>
              <w:t>Subjects with persistent phosphate &gt;ULN during screening (within 14 days prior to Day 1 of Cycle 1 up until pre-dose of Cycle 1) and despite medical management of phosphate levels;</w:t>
            </w:r>
          </w:p>
        </w:tc>
      </w:tr>
      <w:tr w:rsidR="00F6327C" w:rsidRPr="00135836" w14:paraId="27926A25" w14:textId="77777777" w:rsidTr="002F2D13">
        <w:tc>
          <w:tcPr>
            <w:tcW w:w="9639" w:type="dxa"/>
            <w:tcBorders>
              <w:top w:val="nil"/>
              <w:left w:val="nil"/>
              <w:bottom w:val="nil"/>
              <w:right w:val="nil"/>
            </w:tcBorders>
            <w:shd w:val="clear" w:color="auto" w:fill="auto"/>
          </w:tcPr>
          <w:p w14:paraId="67BDC09B" w14:textId="77777777" w:rsidR="00F6327C" w:rsidRPr="00135836" w:rsidRDefault="00F6327C" w:rsidP="00F6327C">
            <w:pPr>
              <w:pStyle w:val="ListParagraph"/>
              <w:numPr>
                <w:ilvl w:val="0"/>
                <w:numId w:val="2"/>
              </w:numPr>
              <w:spacing w:after="60" w:line="240" w:lineRule="auto"/>
              <w:ind w:left="357" w:hanging="357"/>
              <w:rPr>
                <w:rFonts w:cs="Times New Roman"/>
                <w:sz w:val="24"/>
                <w:szCs w:val="24"/>
                <w:lang w:val="en-US"/>
              </w:rPr>
            </w:pPr>
            <w:r w:rsidRPr="00135836">
              <w:rPr>
                <w:rFonts w:cs="Times New Roman"/>
                <w:sz w:val="24"/>
                <w:szCs w:val="24"/>
                <w:lang w:val="en-US"/>
              </w:rPr>
              <w:t>History or current condition of uncontrolled cardiovascular disease including:</w:t>
            </w:r>
          </w:p>
          <w:p w14:paraId="7592ECCC"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eastAsiaTheme="majorEastAsia" w:cs="Times New Roman"/>
                <w:sz w:val="24"/>
                <w:szCs w:val="24"/>
                <w:lang w:val="en-US"/>
              </w:rPr>
              <w:t>Unstable angina, myocardial infarction, or congestive heart failure Class II-IV within the preceding 12 months, cerebrovascular accident (CVA), transient ischemic attack (TIA) within the preceding 3 months, pulmonary embolism (PE) within the preceding 2 months</w:t>
            </w:r>
          </w:p>
          <w:p w14:paraId="20933CEE"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 xml:space="preserve">History of any of the following: sustained ventricular tachycardia, ventricular fibrillation, </w:t>
            </w:r>
            <w:proofErr w:type="spellStart"/>
            <w:r w:rsidRPr="00135836">
              <w:rPr>
                <w:rFonts w:cs="Times New Roman"/>
                <w:sz w:val="24"/>
                <w:szCs w:val="24"/>
                <w:lang w:val="en-US"/>
              </w:rPr>
              <w:t>Torsades</w:t>
            </w:r>
            <w:proofErr w:type="spellEnd"/>
            <w:r w:rsidRPr="00135836">
              <w:rPr>
                <w:rFonts w:cs="Times New Roman"/>
                <w:sz w:val="24"/>
                <w:szCs w:val="24"/>
                <w:lang w:val="en-US"/>
              </w:rPr>
              <w:t xml:space="preserve"> de Pointes, cardiac arrest, Mobitz II second degree heart block or third-degree heart block; known presence of dilated, hypertrophic, or restrictive cardiomyopathy</w:t>
            </w:r>
          </w:p>
          <w:p w14:paraId="4B9542D0"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Obligate use of a cardiac pacemaker or any other cardiac abnormality that, in the opinion of the investigator, medical monitor, or study consultant cardiologist, may place the subject at an unacceptable increased risk with the study drug</w:t>
            </w:r>
          </w:p>
          <w:p w14:paraId="383102ED"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Diagnosed or suspected congenital long QT syndrome</w:t>
            </w:r>
          </w:p>
          <w:p w14:paraId="4B49FE03"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QTc prolongation as confirmed by triplicate assessment at screening (Fridericia; QTc &gt;450 milliseconds in males or &gt;470 milliseconds in females)</w:t>
            </w:r>
          </w:p>
          <w:p w14:paraId="70A2909A"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Family history of short QT syndrome, long QT syndrome;</w:t>
            </w:r>
          </w:p>
        </w:tc>
      </w:tr>
      <w:tr w:rsidR="00F6327C" w:rsidRPr="00135836" w14:paraId="681333D5" w14:textId="77777777" w:rsidTr="002F2D13">
        <w:tc>
          <w:tcPr>
            <w:tcW w:w="9639" w:type="dxa"/>
            <w:tcBorders>
              <w:top w:val="nil"/>
              <w:left w:val="nil"/>
              <w:bottom w:val="nil"/>
              <w:right w:val="nil"/>
            </w:tcBorders>
            <w:shd w:val="clear" w:color="auto" w:fill="F2F2F2"/>
          </w:tcPr>
          <w:p w14:paraId="36FECD35" w14:textId="77777777" w:rsidR="00F6327C" w:rsidRPr="00135836" w:rsidRDefault="00F6327C" w:rsidP="00F6327C">
            <w:pPr>
              <w:pStyle w:val="ListParagraph"/>
              <w:numPr>
                <w:ilvl w:val="0"/>
                <w:numId w:val="2"/>
              </w:numPr>
              <w:spacing w:after="60" w:line="240" w:lineRule="auto"/>
              <w:ind w:left="357" w:hanging="357"/>
              <w:rPr>
                <w:rFonts w:cs="Times New Roman"/>
                <w:sz w:val="24"/>
                <w:szCs w:val="24"/>
                <w:lang w:val="en-US"/>
              </w:rPr>
            </w:pPr>
            <w:r w:rsidRPr="00135836">
              <w:rPr>
                <w:rFonts w:cs="Times New Roman"/>
                <w:sz w:val="24"/>
                <w:szCs w:val="24"/>
                <w:lang w:val="en-US"/>
              </w:rPr>
              <w:t xml:space="preserve">Subjects taking medications known to have a significant risk of causing QTc prolongation and </w:t>
            </w:r>
            <w:proofErr w:type="spellStart"/>
            <w:r w:rsidRPr="00135836">
              <w:rPr>
                <w:rFonts w:cs="Times New Roman"/>
                <w:sz w:val="24"/>
                <w:szCs w:val="24"/>
                <w:lang w:val="en-US"/>
              </w:rPr>
              <w:t>Torsades</w:t>
            </w:r>
            <w:proofErr w:type="spellEnd"/>
            <w:r w:rsidRPr="00135836">
              <w:rPr>
                <w:rFonts w:cs="Times New Roman"/>
                <w:sz w:val="24"/>
                <w:szCs w:val="24"/>
                <w:lang w:val="en-US"/>
              </w:rPr>
              <w:t xml:space="preserve"> de Pointes. Subjects who have discontinued any of these medications must have a wash-out period of at least 5 days or at least 5 half-lives of the drug (whichever is longer) prior to the first dose of study drug;</w:t>
            </w:r>
          </w:p>
        </w:tc>
      </w:tr>
      <w:tr w:rsidR="00F6327C" w:rsidRPr="00135836" w14:paraId="1272F972" w14:textId="77777777" w:rsidTr="002F2D13">
        <w:tc>
          <w:tcPr>
            <w:tcW w:w="9639" w:type="dxa"/>
            <w:tcBorders>
              <w:top w:val="nil"/>
              <w:left w:val="nil"/>
              <w:bottom w:val="nil"/>
              <w:right w:val="nil"/>
            </w:tcBorders>
            <w:shd w:val="clear" w:color="auto" w:fill="auto"/>
          </w:tcPr>
          <w:p w14:paraId="43B85A74" w14:textId="77777777" w:rsidR="00F6327C" w:rsidRPr="00135836" w:rsidRDefault="00F6327C" w:rsidP="00F6327C">
            <w:pPr>
              <w:pStyle w:val="ListParagraph"/>
              <w:numPr>
                <w:ilvl w:val="0"/>
                <w:numId w:val="2"/>
              </w:numPr>
              <w:spacing w:after="60" w:line="240" w:lineRule="auto"/>
              <w:ind w:left="357" w:hanging="357"/>
              <w:rPr>
                <w:rFonts w:cs="Times New Roman"/>
                <w:sz w:val="24"/>
                <w:szCs w:val="24"/>
                <w:lang w:val="en-US"/>
              </w:rPr>
            </w:pPr>
            <w:r w:rsidRPr="00135836">
              <w:rPr>
                <w:rFonts w:cs="Times New Roman"/>
                <w:sz w:val="24"/>
                <w:szCs w:val="24"/>
                <w:lang w:val="en-US"/>
              </w:rPr>
              <w:lastRenderedPageBreak/>
              <w:t>Left ventricular ejection fraction (LVEF) &lt;50% as assessed by echocardiography (or multi-gated acquisition [MUGA]) performed at screening;</w:t>
            </w:r>
          </w:p>
        </w:tc>
      </w:tr>
      <w:tr w:rsidR="00F6327C" w:rsidRPr="00135836" w14:paraId="091DFF39" w14:textId="77777777" w:rsidTr="002F2D13">
        <w:tc>
          <w:tcPr>
            <w:tcW w:w="9639" w:type="dxa"/>
            <w:tcBorders>
              <w:top w:val="nil"/>
              <w:left w:val="nil"/>
              <w:bottom w:val="nil"/>
              <w:right w:val="nil"/>
            </w:tcBorders>
            <w:shd w:val="clear" w:color="auto" w:fill="F2F2F2"/>
          </w:tcPr>
          <w:p w14:paraId="5FD85411"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 xml:space="preserve">Uncontrolled inter-current illness including, but not limited to, poorly controlled hypertension or diabetes, ongoing active infection requiring antibiotics, psychiatric illness, or at risk of gastrointestinal perforation as per investigators’ assessment; </w:t>
            </w:r>
          </w:p>
        </w:tc>
      </w:tr>
      <w:tr w:rsidR="00F6327C" w:rsidRPr="00135836" w14:paraId="28E94D13" w14:textId="77777777" w:rsidTr="002F2D13">
        <w:tc>
          <w:tcPr>
            <w:tcW w:w="9639" w:type="dxa"/>
            <w:tcBorders>
              <w:top w:val="nil"/>
              <w:left w:val="nil"/>
              <w:bottom w:val="nil"/>
              <w:right w:val="nil"/>
            </w:tcBorders>
            <w:shd w:val="clear" w:color="auto" w:fill="auto"/>
          </w:tcPr>
          <w:p w14:paraId="5ED4E886"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Females who are pregnant, or breast-feeding, or planning to become pregnant and males who plan to father a child while enrolled in this study or within 5 months after the last dose of study drug;</w:t>
            </w:r>
          </w:p>
        </w:tc>
      </w:tr>
      <w:tr w:rsidR="00F6327C" w:rsidRPr="00135836" w14:paraId="11360D64" w14:textId="77777777" w:rsidTr="002F2D13">
        <w:tc>
          <w:tcPr>
            <w:tcW w:w="9639" w:type="dxa"/>
            <w:tcBorders>
              <w:top w:val="nil"/>
              <w:left w:val="nil"/>
              <w:bottom w:val="nil"/>
              <w:right w:val="nil"/>
            </w:tcBorders>
            <w:shd w:val="clear" w:color="auto" w:fill="F2F2F2"/>
          </w:tcPr>
          <w:p w14:paraId="193E9710"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 xml:space="preserve">Not recovered from reversible toxicity of prior anticancer therapy (except toxicities which are not clinically significant such as alopecia, skin discoloration, or Grade 1 neuropathy).; </w:t>
            </w:r>
          </w:p>
        </w:tc>
      </w:tr>
      <w:tr w:rsidR="00F6327C" w:rsidRPr="00135836" w14:paraId="31E68E59" w14:textId="77777777" w:rsidTr="002F2D13">
        <w:tc>
          <w:tcPr>
            <w:tcW w:w="9639" w:type="dxa"/>
            <w:tcBorders>
              <w:top w:val="nil"/>
              <w:left w:val="nil"/>
              <w:bottom w:val="nil"/>
              <w:right w:val="nil"/>
            </w:tcBorders>
            <w:shd w:val="clear" w:color="auto" w:fill="auto"/>
          </w:tcPr>
          <w:p w14:paraId="61AC813B"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Any medical condition that requires intact wound healing capacity and is expected to endanger subject safety if wound healing capacity would be severely reduced during administration of the investigational agent (</w:t>
            </w:r>
            <w:proofErr w:type="spellStart"/>
            <w:r w:rsidRPr="00135836">
              <w:rPr>
                <w:rFonts w:cs="Times New Roman"/>
                <w:sz w:val="24"/>
                <w:szCs w:val="24"/>
                <w:lang w:val="en-US"/>
              </w:rPr>
              <w:t>eg</w:t>
            </w:r>
            <w:proofErr w:type="spellEnd"/>
            <w:r w:rsidRPr="00135836">
              <w:rPr>
                <w:rFonts w:cs="Times New Roman"/>
                <w:sz w:val="24"/>
                <w:szCs w:val="24"/>
                <w:lang w:val="en-US"/>
              </w:rPr>
              <w:t xml:space="preserve">, chronic leg ulcers, gastric ulcer disease, skin/decubitus ulcers, or unhealed incisions, or expected major surgery while the investigational agent is being administered); </w:t>
            </w:r>
          </w:p>
        </w:tc>
      </w:tr>
      <w:tr w:rsidR="00F6327C" w:rsidRPr="00135836" w14:paraId="2D6459BA" w14:textId="77777777" w:rsidTr="002F2D13">
        <w:tc>
          <w:tcPr>
            <w:tcW w:w="9639" w:type="dxa"/>
            <w:tcBorders>
              <w:top w:val="nil"/>
              <w:left w:val="nil"/>
              <w:bottom w:val="nil"/>
              <w:right w:val="nil"/>
            </w:tcBorders>
            <w:shd w:val="clear" w:color="auto" w:fill="F2F2F2"/>
          </w:tcPr>
          <w:p w14:paraId="74EFC4F8"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 xml:space="preserve">Major surgery within 4 weeks before enrollment; </w:t>
            </w:r>
          </w:p>
        </w:tc>
      </w:tr>
      <w:tr w:rsidR="00F6327C" w:rsidRPr="00135836" w14:paraId="233336F5" w14:textId="77777777" w:rsidTr="002F2D13">
        <w:tc>
          <w:tcPr>
            <w:tcW w:w="9639" w:type="dxa"/>
            <w:tcBorders>
              <w:top w:val="nil"/>
              <w:left w:val="nil"/>
              <w:bottom w:val="nil"/>
              <w:right w:val="nil"/>
            </w:tcBorders>
            <w:shd w:val="clear" w:color="auto" w:fill="auto"/>
          </w:tcPr>
          <w:p w14:paraId="7DD30351"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eastAsia="en-GB"/>
              </w:rPr>
            </w:pPr>
            <w:r w:rsidRPr="00135836">
              <w:rPr>
                <w:rFonts w:cs="Times New Roman"/>
                <w:sz w:val="24"/>
                <w:szCs w:val="24"/>
                <w:lang w:val="en-US"/>
              </w:rPr>
              <w:t xml:space="preserve">Known human immunodeficiency virus (HIV) infection, or evidence of active hepatitis B or C infection (for example, subjects with history of hepatitis C infection but normal hepatitis C virus polymerase chain reaction test and subjects with hepatitis B with positive hepatitis B surface antigen [HBsAg] antibody are allowed); </w:t>
            </w:r>
          </w:p>
        </w:tc>
      </w:tr>
      <w:tr w:rsidR="00F6327C" w:rsidRPr="00135836" w14:paraId="1300ED63" w14:textId="77777777" w:rsidTr="002F2D13">
        <w:tc>
          <w:tcPr>
            <w:tcW w:w="9639" w:type="dxa"/>
            <w:tcBorders>
              <w:top w:val="nil"/>
              <w:left w:val="nil"/>
              <w:bottom w:val="nil"/>
              <w:right w:val="nil"/>
            </w:tcBorders>
            <w:shd w:val="clear" w:color="auto" w:fill="F2F2F2"/>
          </w:tcPr>
          <w:p w14:paraId="7ED02AA5"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 xml:space="preserve">Active, symptomatic, or untreated brain metastases (subject with prior brain metastases treated at least 3 weeks prior to signing the full-study ICF or that are clinically and radiographically stable for at least 1 month prior to Cycle 1 Day 1 and do not require chronic corticosteroid treatment are allowed to be enrolled); </w:t>
            </w:r>
          </w:p>
        </w:tc>
      </w:tr>
      <w:tr w:rsidR="00F6327C" w:rsidRPr="00135836" w14:paraId="78331A34" w14:textId="77777777" w:rsidTr="002F2D13">
        <w:tc>
          <w:tcPr>
            <w:tcW w:w="9639" w:type="dxa"/>
            <w:tcBorders>
              <w:top w:val="nil"/>
              <w:left w:val="nil"/>
              <w:bottom w:val="nil"/>
              <w:right w:val="nil"/>
            </w:tcBorders>
            <w:shd w:val="clear" w:color="auto" w:fill="auto"/>
          </w:tcPr>
          <w:p w14:paraId="259FA2BE" w14:textId="77777777" w:rsidR="00F6327C" w:rsidRPr="00135836" w:rsidRDefault="00F6327C" w:rsidP="00F6327C">
            <w:pPr>
              <w:pStyle w:val="ListParagraph"/>
              <w:numPr>
                <w:ilvl w:val="0"/>
                <w:numId w:val="3"/>
              </w:numPr>
              <w:spacing w:after="60" w:line="240" w:lineRule="auto"/>
              <w:ind w:left="357" w:hanging="357"/>
              <w:rPr>
                <w:rFonts w:eastAsiaTheme="majorEastAsia" w:cs="Times New Roman"/>
                <w:sz w:val="24"/>
                <w:szCs w:val="24"/>
                <w:lang w:val="en-US"/>
              </w:rPr>
            </w:pPr>
            <w:r w:rsidRPr="00135836">
              <w:rPr>
                <w:rFonts w:cs="Times New Roman"/>
                <w:sz w:val="24"/>
                <w:szCs w:val="24"/>
                <w:lang w:val="en-US"/>
              </w:rPr>
              <w:t>Received prior selective FGFR inhibitor treatment or RET inhibitor treatment,</w:t>
            </w:r>
            <w:r w:rsidRPr="00135836">
              <w:rPr>
                <w:rFonts w:cs="Times New Roman"/>
                <w:lang w:val="en-US"/>
              </w:rPr>
              <w:t xml:space="preserve"> </w:t>
            </w:r>
            <w:r w:rsidRPr="00135836">
              <w:rPr>
                <w:rFonts w:cs="Times New Roman"/>
                <w:sz w:val="24"/>
                <w:szCs w:val="24"/>
                <w:lang w:val="en-US"/>
              </w:rPr>
              <w:t xml:space="preserve">respectively according to the biomarker prescreening result, or the subject has known allergies, hypersensitivity, or intolerance to erdafitinib or its excipients; </w:t>
            </w:r>
          </w:p>
        </w:tc>
      </w:tr>
      <w:tr w:rsidR="00F6327C" w:rsidRPr="00135836" w14:paraId="58A58FC7" w14:textId="77777777" w:rsidTr="002F2D13">
        <w:tc>
          <w:tcPr>
            <w:tcW w:w="9639" w:type="dxa"/>
            <w:tcBorders>
              <w:top w:val="nil"/>
              <w:left w:val="nil"/>
              <w:bottom w:val="nil"/>
              <w:right w:val="nil"/>
            </w:tcBorders>
            <w:shd w:val="clear" w:color="auto" w:fill="F2F2F2" w:themeFill="background1" w:themeFillShade="F2"/>
          </w:tcPr>
          <w:p w14:paraId="5B812C28" w14:textId="77777777" w:rsidR="00F6327C" w:rsidRPr="00135836" w:rsidRDefault="00F6327C" w:rsidP="00F6327C">
            <w:pPr>
              <w:pStyle w:val="ListParagraph"/>
              <w:numPr>
                <w:ilvl w:val="0"/>
                <w:numId w:val="3"/>
              </w:numPr>
              <w:spacing w:after="60" w:line="240" w:lineRule="auto"/>
              <w:ind w:left="357" w:hanging="357"/>
              <w:rPr>
                <w:rFonts w:cs="Times New Roman"/>
                <w:sz w:val="24"/>
                <w:szCs w:val="24"/>
                <w:lang w:val="en-US"/>
              </w:rPr>
            </w:pPr>
            <w:r w:rsidRPr="00135836">
              <w:rPr>
                <w:rFonts w:cs="Times New Roman"/>
                <w:sz w:val="24"/>
                <w:szCs w:val="24"/>
                <w:lang w:val="en-US"/>
              </w:rPr>
              <w:t>Exclusion criteria based on ophthalmologic exams:</w:t>
            </w:r>
          </w:p>
          <w:p w14:paraId="0587F0B2"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 xml:space="preserve"> History of or current evidence of CSR or retinal vein occlusion (RVO)</w:t>
            </w:r>
          </w:p>
          <w:p w14:paraId="4B29A14C"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Active wet, age-related macular degeneration (AMD)</w:t>
            </w:r>
          </w:p>
          <w:p w14:paraId="171DC923"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Diabetic retinopathy with macular edema</w:t>
            </w:r>
          </w:p>
          <w:p w14:paraId="6CBA0619"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Uncontrolled glaucoma (as per local standard of care)</w:t>
            </w:r>
          </w:p>
          <w:p w14:paraId="3788EABD"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Corneal pathology such as keratitis, keratoconjunctivitis, keratopathy, corneal</w:t>
            </w:r>
          </w:p>
          <w:p w14:paraId="1AA21FAA" w14:textId="77777777" w:rsidR="00F6327C" w:rsidRPr="00135836" w:rsidRDefault="00F6327C" w:rsidP="00F6327C">
            <w:pPr>
              <w:pStyle w:val="ListParagraph"/>
              <w:numPr>
                <w:ilvl w:val="1"/>
                <w:numId w:val="1"/>
              </w:numPr>
              <w:spacing w:after="20" w:line="240" w:lineRule="auto"/>
              <w:rPr>
                <w:rFonts w:cs="Times New Roman"/>
                <w:sz w:val="24"/>
                <w:szCs w:val="24"/>
                <w:lang w:val="en-US"/>
              </w:rPr>
            </w:pPr>
            <w:r w:rsidRPr="00135836">
              <w:rPr>
                <w:rFonts w:cs="Times New Roman"/>
                <w:sz w:val="24"/>
                <w:szCs w:val="24"/>
                <w:lang w:val="en-US"/>
              </w:rPr>
              <w:t>abrasion, inflammation or ulceration.</w:t>
            </w:r>
          </w:p>
        </w:tc>
      </w:tr>
    </w:tbl>
    <w:p w14:paraId="6289A905" w14:textId="77777777" w:rsidR="00F6327C" w:rsidRPr="00135836" w:rsidRDefault="00F6327C" w:rsidP="00F6327C">
      <w:pPr>
        <w:spacing w:after="160" w:line="259" w:lineRule="auto"/>
        <w:jc w:val="left"/>
        <w:rPr>
          <w:rFonts w:cs="Times New Roman"/>
          <w:sz w:val="24"/>
          <w:szCs w:val="24"/>
        </w:rPr>
      </w:pPr>
      <w:r w:rsidRPr="00135836">
        <w:rPr>
          <w:rFonts w:cs="Times New Roman"/>
          <w:sz w:val="24"/>
          <w:szCs w:val="24"/>
        </w:rPr>
        <w:br w:type="page"/>
      </w:r>
    </w:p>
    <w:p w14:paraId="56261BF4" w14:textId="77777777" w:rsidR="00F6327C" w:rsidRPr="00135836" w:rsidRDefault="00F6327C" w:rsidP="00F6327C">
      <w:pPr>
        <w:rPr>
          <w:rFonts w:cs="Times New Roman"/>
          <w:b/>
          <w:bCs/>
          <w:sz w:val="24"/>
          <w:szCs w:val="24"/>
        </w:rPr>
      </w:pPr>
      <w:r w:rsidRPr="00135836">
        <w:rPr>
          <w:rFonts w:cs="Times New Roman"/>
          <w:b/>
          <w:bCs/>
          <w:sz w:val="24"/>
          <w:szCs w:val="24"/>
        </w:rPr>
        <w:lastRenderedPageBreak/>
        <w:t xml:space="preserve">Supplementary Table S2. </w:t>
      </w:r>
      <w:r w:rsidRPr="00135836">
        <w:rPr>
          <w:rFonts w:cs="Times New Roman"/>
          <w:sz w:val="24"/>
          <w:szCs w:val="24"/>
        </w:rPr>
        <w:t>Grading of hyperphosphatemia and skin/nails adverse events.</w:t>
      </w:r>
    </w:p>
    <w:tbl>
      <w:tblPr>
        <w:tblStyle w:val="TableGrid"/>
        <w:tblW w:w="9639" w:type="dxa"/>
        <w:tblLook w:val="04A0" w:firstRow="1" w:lastRow="0" w:firstColumn="1" w:lastColumn="0" w:noHBand="0" w:noVBand="1"/>
      </w:tblPr>
      <w:tblGrid>
        <w:gridCol w:w="9639"/>
      </w:tblGrid>
      <w:tr w:rsidR="00F6327C" w:rsidRPr="00135836" w14:paraId="3B8F4208" w14:textId="77777777" w:rsidTr="002F2D13">
        <w:trPr>
          <w:trHeight w:val="323"/>
        </w:trPr>
        <w:tc>
          <w:tcPr>
            <w:tcW w:w="9639" w:type="dxa"/>
            <w:tcBorders>
              <w:top w:val="single" w:sz="8" w:space="0" w:color="auto"/>
              <w:left w:val="nil"/>
              <w:bottom w:val="single" w:sz="8" w:space="0" w:color="auto"/>
              <w:right w:val="nil"/>
            </w:tcBorders>
            <w:shd w:val="clear" w:color="auto" w:fill="auto"/>
          </w:tcPr>
          <w:p w14:paraId="0F0B3224" w14:textId="77777777" w:rsidR="00F6327C" w:rsidRPr="00135836" w:rsidRDefault="00F6327C" w:rsidP="002F2D13">
            <w:pPr>
              <w:spacing w:after="0" w:line="360" w:lineRule="auto"/>
              <w:rPr>
                <w:rFonts w:cs="Times New Roman"/>
                <w:b/>
                <w:bCs/>
                <w:sz w:val="24"/>
                <w:szCs w:val="24"/>
                <w:lang w:val="en-US"/>
              </w:rPr>
            </w:pPr>
            <w:r w:rsidRPr="00135836">
              <w:rPr>
                <w:rFonts w:cs="Times New Roman"/>
                <w:b/>
                <w:bCs/>
                <w:sz w:val="24"/>
                <w:szCs w:val="24"/>
                <w:lang w:val="en-US"/>
              </w:rPr>
              <w:t xml:space="preserve">Hyperphosphatemia </w:t>
            </w:r>
          </w:p>
        </w:tc>
      </w:tr>
      <w:tr w:rsidR="00F6327C" w:rsidRPr="00135836" w14:paraId="4777BF22" w14:textId="77777777" w:rsidTr="002F2D13">
        <w:tc>
          <w:tcPr>
            <w:tcW w:w="9639" w:type="dxa"/>
            <w:tcBorders>
              <w:top w:val="single" w:sz="8" w:space="0" w:color="auto"/>
              <w:left w:val="nil"/>
              <w:bottom w:val="nil"/>
              <w:right w:val="nil"/>
            </w:tcBorders>
            <w:shd w:val="clear" w:color="auto" w:fill="auto"/>
          </w:tcPr>
          <w:p w14:paraId="01E4F42B" w14:textId="77777777" w:rsidR="00F6327C" w:rsidRPr="00135836" w:rsidRDefault="00F6327C" w:rsidP="00F6327C">
            <w:pPr>
              <w:pStyle w:val="ListParagraph"/>
              <w:numPr>
                <w:ilvl w:val="0"/>
                <w:numId w:val="4"/>
              </w:numPr>
              <w:spacing w:after="60" w:line="360" w:lineRule="auto"/>
              <w:ind w:left="340" w:hanging="340"/>
              <w:rPr>
                <w:rFonts w:cs="Times New Roman"/>
                <w:sz w:val="24"/>
                <w:szCs w:val="24"/>
                <w:lang w:val="en-US"/>
              </w:rPr>
            </w:pPr>
            <w:r w:rsidRPr="00135836">
              <w:rPr>
                <w:rFonts w:cs="Times New Roman"/>
                <w:kern w:val="2"/>
                <w:sz w:val="24"/>
                <w:szCs w:val="24"/>
                <w:lang w:val="en-US"/>
              </w:rPr>
              <w:t>Grade 1: 5.5–6.9 mg/dL</w:t>
            </w:r>
          </w:p>
        </w:tc>
      </w:tr>
      <w:tr w:rsidR="00F6327C" w:rsidRPr="00135836" w14:paraId="1E6AFA0D" w14:textId="77777777" w:rsidTr="002F2D13">
        <w:tc>
          <w:tcPr>
            <w:tcW w:w="9639" w:type="dxa"/>
            <w:tcBorders>
              <w:top w:val="nil"/>
              <w:left w:val="nil"/>
              <w:bottom w:val="nil"/>
              <w:right w:val="nil"/>
            </w:tcBorders>
            <w:shd w:val="clear" w:color="auto" w:fill="auto"/>
          </w:tcPr>
          <w:p w14:paraId="57EC46F5" w14:textId="77777777" w:rsidR="00F6327C" w:rsidRPr="00135836" w:rsidRDefault="00F6327C" w:rsidP="00F6327C">
            <w:pPr>
              <w:pStyle w:val="ListParagraph"/>
              <w:numPr>
                <w:ilvl w:val="0"/>
                <w:numId w:val="4"/>
              </w:numPr>
              <w:spacing w:after="60" w:line="360" w:lineRule="auto"/>
              <w:ind w:left="340" w:hanging="340"/>
              <w:rPr>
                <w:rFonts w:cs="Times New Roman"/>
                <w:sz w:val="24"/>
                <w:szCs w:val="24"/>
                <w:lang w:val="en-US"/>
              </w:rPr>
            </w:pPr>
            <w:r w:rsidRPr="00135836">
              <w:rPr>
                <w:rFonts w:cs="Times New Roman"/>
                <w:kern w:val="2"/>
                <w:sz w:val="24"/>
                <w:szCs w:val="24"/>
                <w:lang w:val="en-US"/>
              </w:rPr>
              <w:t>Grade 2: 7.0–9.0 mg/dL</w:t>
            </w:r>
          </w:p>
        </w:tc>
      </w:tr>
      <w:tr w:rsidR="00F6327C" w:rsidRPr="00135836" w14:paraId="7F89A376" w14:textId="77777777" w:rsidTr="002F2D13">
        <w:tc>
          <w:tcPr>
            <w:tcW w:w="9639" w:type="dxa"/>
            <w:tcBorders>
              <w:top w:val="nil"/>
              <w:left w:val="nil"/>
              <w:bottom w:val="nil"/>
              <w:right w:val="nil"/>
            </w:tcBorders>
            <w:shd w:val="clear" w:color="auto" w:fill="auto"/>
          </w:tcPr>
          <w:p w14:paraId="09077E6C"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3: 9.0–10 mg/dL, or asymptomatic soft tissue calcification with any phosphate level</w:t>
            </w:r>
          </w:p>
        </w:tc>
      </w:tr>
      <w:tr w:rsidR="00F6327C" w:rsidRPr="00135836" w14:paraId="61016D6D" w14:textId="77777777" w:rsidTr="002F2D13">
        <w:tc>
          <w:tcPr>
            <w:tcW w:w="9639" w:type="dxa"/>
            <w:tcBorders>
              <w:top w:val="nil"/>
              <w:left w:val="nil"/>
              <w:bottom w:val="nil"/>
              <w:right w:val="nil"/>
            </w:tcBorders>
            <w:shd w:val="clear" w:color="auto" w:fill="auto"/>
          </w:tcPr>
          <w:p w14:paraId="5E50E8D7"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4: &gt;10 mg/dL, or symptomatic soft tissue calcification with any phosphate level</w:t>
            </w:r>
          </w:p>
        </w:tc>
      </w:tr>
      <w:tr w:rsidR="00F6327C" w:rsidRPr="00135836" w14:paraId="545D6174" w14:textId="77777777" w:rsidTr="002F2D13">
        <w:tc>
          <w:tcPr>
            <w:tcW w:w="9639" w:type="dxa"/>
            <w:tcBorders>
              <w:top w:val="single" w:sz="8" w:space="0" w:color="auto"/>
              <w:left w:val="nil"/>
              <w:bottom w:val="single" w:sz="8" w:space="0" w:color="auto"/>
              <w:right w:val="nil"/>
            </w:tcBorders>
            <w:shd w:val="clear" w:color="auto" w:fill="auto"/>
          </w:tcPr>
          <w:p w14:paraId="0ECFC8F7" w14:textId="77777777" w:rsidR="00F6327C" w:rsidRPr="00135836" w:rsidRDefault="00F6327C" w:rsidP="002F2D13">
            <w:pPr>
              <w:spacing w:after="20" w:line="360" w:lineRule="auto"/>
              <w:rPr>
                <w:rFonts w:cs="Times New Roman"/>
                <w:b/>
                <w:bCs/>
                <w:sz w:val="24"/>
                <w:szCs w:val="24"/>
                <w:lang w:val="en-US"/>
              </w:rPr>
            </w:pPr>
            <w:r w:rsidRPr="00135836">
              <w:rPr>
                <w:rFonts w:cs="Times New Roman"/>
                <w:b/>
                <w:bCs/>
                <w:sz w:val="24"/>
                <w:szCs w:val="24"/>
                <w:lang w:val="en-US"/>
              </w:rPr>
              <w:t>Nail changes (onychodystrophy)</w:t>
            </w:r>
          </w:p>
        </w:tc>
      </w:tr>
      <w:tr w:rsidR="00F6327C" w:rsidRPr="00135836" w14:paraId="0039D736" w14:textId="77777777" w:rsidTr="002F2D13">
        <w:tc>
          <w:tcPr>
            <w:tcW w:w="9639" w:type="dxa"/>
            <w:tcBorders>
              <w:top w:val="single" w:sz="8" w:space="0" w:color="auto"/>
              <w:left w:val="nil"/>
              <w:bottom w:val="nil"/>
              <w:right w:val="nil"/>
            </w:tcBorders>
            <w:shd w:val="clear" w:color="auto" w:fill="auto"/>
          </w:tcPr>
          <w:p w14:paraId="1D70820C"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1: Nail discoloration, asymptomatic separation of the nail bed from the nail plate or nail loss</w:t>
            </w:r>
          </w:p>
        </w:tc>
      </w:tr>
      <w:tr w:rsidR="00F6327C" w:rsidRPr="00135836" w14:paraId="51D6990A" w14:textId="77777777" w:rsidTr="002F2D13">
        <w:tc>
          <w:tcPr>
            <w:tcW w:w="9639" w:type="dxa"/>
            <w:tcBorders>
              <w:top w:val="nil"/>
              <w:left w:val="nil"/>
              <w:bottom w:val="nil"/>
              <w:right w:val="nil"/>
            </w:tcBorders>
            <w:shd w:val="clear" w:color="auto" w:fill="auto"/>
          </w:tcPr>
          <w:p w14:paraId="4601E5B8"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2: Nail/fingertips pain, symptomatic separation of the nail bed from the nail plate or nail loss; limiting instrumental ADL</w:t>
            </w:r>
          </w:p>
        </w:tc>
      </w:tr>
      <w:tr w:rsidR="00F6327C" w:rsidRPr="00135836" w14:paraId="676BD039" w14:textId="77777777" w:rsidTr="002F2D13">
        <w:tc>
          <w:tcPr>
            <w:tcW w:w="9639" w:type="dxa"/>
            <w:tcBorders>
              <w:top w:val="nil"/>
              <w:left w:val="nil"/>
              <w:bottom w:val="nil"/>
              <w:right w:val="nil"/>
            </w:tcBorders>
            <w:shd w:val="clear" w:color="auto" w:fill="auto"/>
          </w:tcPr>
          <w:p w14:paraId="30B9EAA7"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3: Severe nail fingertips pain, symptomatic separation of the nail bed from the nail plate or nail loss; significantly limiting instrumental ADL</w:t>
            </w:r>
          </w:p>
        </w:tc>
      </w:tr>
      <w:tr w:rsidR="00F6327C" w:rsidRPr="00135836" w14:paraId="1DA471A0" w14:textId="77777777" w:rsidTr="002F2D13">
        <w:tc>
          <w:tcPr>
            <w:tcW w:w="9639" w:type="dxa"/>
            <w:tcBorders>
              <w:top w:val="nil"/>
              <w:left w:val="nil"/>
              <w:bottom w:val="single" w:sz="4" w:space="0" w:color="auto"/>
              <w:right w:val="nil"/>
            </w:tcBorders>
            <w:shd w:val="clear" w:color="auto" w:fill="auto"/>
          </w:tcPr>
          <w:p w14:paraId="2E200675" w14:textId="77777777" w:rsidR="00F6327C" w:rsidRPr="00135836" w:rsidRDefault="00F6327C" w:rsidP="00F6327C">
            <w:pPr>
              <w:pStyle w:val="ListParagraph"/>
              <w:numPr>
                <w:ilvl w:val="0"/>
                <w:numId w:val="4"/>
              </w:numPr>
              <w:spacing w:after="20" w:line="360" w:lineRule="auto"/>
              <w:ind w:left="340" w:hanging="340"/>
              <w:rPr>
                <w:rFonts w:cs="Times New Roman"/>
                <w:sz w:val="24"/>
                <w:szCs w:val="24"/>
                <w:lang w:val="en-US"/>
              </w:rPr>
            </w:pPr>
            <w:r w:rsidRPr="00135836">
              <w:rPr>
                <w:rFonts w:cs="Times New Roman"/>
                <w:kern w:val="2"/>
                <w:sz w:val="24"/>
                <w:szCs w:val="24"/>
                <w:lang w:val="en-US"/>
              </w:rPr>
              <w:t>Grade 4: Not applicable</w:t>
            </w:r>
          </w:p>
        </w:tc>
      </w:tr>
    </w:tbl>
    <w:p w14:paraId="48A7C6AA" w14:textId="77777777" w:rsidR="00F6327C" w:rsidRPr="00135836" w:rsidRDefault="00F6327C" w:rsidP="00F6327C">
      <w:pPr>
        <w:spacing w:after="160" w:line="360" w:lineRule="auto"/>
        <w:jc w:val="left"/>
        <w:rPr>
          <w:rFonts w:cs="Times New Roman"/>
          <w:sz w:val="24"/>
          <w:szCs w:val="24"/>
        </w:rPr>
      </w:pPr>
    </w:p>
    <w:p w14:paraId="677D42CB" w14:textId="77777777" w:rsidR="00F6327C" w:rsidRPr="00135836" w:rsidRDefault="00F6327C" w:rsidP="00F6327C">
      <w:pPr>
        <w:spacing w:after="160" w:line="259" w:lineRule="auto"/>
        <w:jc w:val="left"/>
        <w:rPr>
          <w:rFonts w:cs="Times New Roman"/>
          <w:sz w:val="24"/>
          <w:szCs w:val="24"/>
        </w:rPr>
        <w:sectPr w:rsidR="00F6327C" w:rsidRPr="00135836" w:rsidSect="00301786">
          <w:pgSz w:w="12240" w:h="15840"/>
          <w:pgMar w:top="1304" w:right="1531" w:bottom="1304" w:left="1531" w:header="432" w:footer="432" w:gutter="0"/>
          <w:cols w:space="708"/>
          <w:docGrid w:linePitch="360"/>
        </w:sectPr>
      </w:pPr>
      <w:r w:rsidRPr="00135836">
        <w:rPr>
          <w:rFonts w:cs="Times New Roman"/>
          <w:sz w:val="24"/>
          <w:szCs w:val="24"/>
        </w:rPr>
        <w:br w:type="page"/>
      </w:r>
    </w:p>
    <w:p w14:paraId="4B785A2F" w14:textId="77777777" w:rsidR="00F6327C" w:rsidRPr="00135836" w:rsidRDefault="00F6327C" w:rsidP="00F6327C">
      <w:pPr>
        <w:rPr>
          <w:rFonts w:cs="Times New Roman"/>
          <w:b/>
          <w:bCs/>
          <w:sz w:val="24"/>
          <w:szCs w:val="24"/>
        </w:rPr>
      </w:pPr>
      <w:r w:rsidRPr="00135836">
        <w:rPr>
          <w:rFonts w:cs="Times New Roman"/>
          <w:b/>
          <w:bCs/>
          <w:sz w:val="24"/>
          <w:szCs w:val="24"/>
        </w:rPr>
        <w:lastRenderedPageBreak/>
        <w:t xml:space="preserve">Supplementary Table S3. </w:t>
      </w:r>
      <w:r w:rsidRPr="00135836">
        <w:rPr>
          <w:rFonts w:cs="Times New Roman"/>
          <w:sz w:val="24"/>
          <w:szCs w:val="24"/>
        </w:rPr>
        <w:t>Summary of drug-related treatment-related adverse events occurring</w:t>
      </w:r>
      <w:r w:rsidRPr="00135836">
        <w:rPr>
          <w:rFonts w:cs="Times New Roman"/>
        </w:rPr>
        <w:t xml:space="preserve"> </w:t>
      </w:r>
      <w:r w:rsidRPr="00135836">
        <w:rPr>
          <w:rFonts w:cs="Times New Roman"/>
          <w:sz w:val="24"/>
          <w:szCs w:val="24"/>
        </w:rPr>
        <w:t>in ≥20% of patients</w:t>
      </w:r>
      <w:r w:rsidRPr="00135836">
        <w:rPr>
          <w:rFonts w:cs="Times New Roman"/>
          <w:b/>
          <w:bCs/>
          <w:sz w:val="24"/>
          <w:szCs w:val="24"/>
        </w:rPr>
        <w:t>.</w:t>
      </w:r>
    </w:p>
    <w:tbl>
      <w:tblPr>
        <w:tblW w:w="9566" w:type="dxa"/>
        <w:tblLayout w:type="fixed"/>
        <w:tblLook w:val="0000" w:firstRow="0" w:lastRow="0" w:firstColumn="0" w:lastColumn="0" w:noHBand="0" w:noVBand="0"/>
      </w:tblPr>
      <w:tblGrid>
        <w:gridCol w:w="2621"/>
        <w:gridCol w:w="2315"/>
        <w:gridCol w:w="2315"/>
        <w:gridCol w:w="2315"/>
      </w:tblGrid>
      <w:tr w:rsidR="00F6327C" w:rsidRPr="00135836" w14:paraId="6849FC10" w14:textId="77777777" w:rsidTr="002F2D13">
        <w:trPr>
          <w:trHeight w:val="741"/>
        </w:trPr>
        <w:tc>
          <w:tcPr>
            <w:tcW w:w="2621" w:type="dxa"/>
            <w:tcBorders>
              <w:top w:val="single" w:sz="4" w:space="0" w:color="auto"/>
              <w:left w:val="nil"/>
              <w:bottom w:val="single" w:sz="4" w:space="0" w:color="auto"/>
              <w:right w:val="nil"/>
            </w:tcBorders>
            <w:shd w:val="clear" w:color="auto" w:fill="FFFFFF" w:themeFill="background1"/>
          </w:tcPr>
          <w:p w14:paraId="6328A140" w14:textId="77777777" w:rsidR="00F6327C" w:rsidRPr="00135836" w:rsidRDefault="00F6327C" w:rsidP="002F2D13">
            <w:pPr>
              <w:spacing w:after="0" w:line="360" w:lineRule="auto"/>
              <w:jc w:val="left"/>
              <w:rPr>
                <w:rFonts w:cs="Times New Roman"/>
                <w:sz w:val="24"/>
                <w:szCs w:val="24"/>
              </w:rPr>
            </w:pPr>
            <w:r w:rsidRPr="00135836">
              <w:rPr>
                <w:rFonts w:cs="Times New Roman"/>
                <w:sz w:val="24"/>
                <w:szCs w:val="24"/>
              </w:rPr>
              <w:t xml:space="preserve">Drug-related TEAEs (all grades) by preferred term, </w:t>
            </w:r>
            <w:r w:rsidRPr="00135836">
              <w:rPr>
                <w:rFonts w:cs="Times New Roman"/>
                <w:i/>
                <w:iCs/>
                <w:sz w:val="24"/>
                <w:szCs w:val="24"/>
              </w:rPr>
              <w:t>n</w:t>
            </w:r>
            <w:r w:rsidRPr="00135836">
              <w:rPr>
                <w:rFonts w:cs="Times New Roman"/>
                <w:sz w:val="24"/>
                <w:szCs w:val="24"/>
              </w:rPr>
              <w:t xml:space="preserve"> (%)</w:t>
            </w:r>
          </w:p>
        </w:tc>
        <w:tc>
          <w:tcPr>
            <w:tcW w:w="2315" w:type="dxa"/>
            <w:tcBorders>
              <w:top w:val="single" w:sz="4" w:space="0" w:color="auto"/>
              <w:left w:val="nil"/>
              <w:bottom w:val="single" w:sz="4" w:space="0" w:color="auto"/>
              <w:right w:val="nil"/>
            </w:tcBorders>
            <w:shd w:val="clear" w:color="auto" w:fill="FFFFFF" w:themeFill="background1"/>
            <w:vAlign w:val="bottom"/>
          </w:tcPr>
          <w:p w14:paraId="28BF0ED6"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8 mg (QD)</w:t>
            </w:r>
          </w:p>
          <w:p w14:paraId="44A8E183" w14:textId="77777777" w:rsidR="00F6327C" w:rsidRPr="00135836" w:rsidRDefault="00F6327C" w:rsidP="002F2D13">
            <w:pPr>
              <w:spacing w:after="0" w:line="360" w:lineRule="auto"/>
              <w:jc w:val="center"/>
              <w:rPr>
                <w:rFonts w:cs="Times New Roman"/>
                <w:sz w:val="24"/>
                <w:szCs w:val="24"/>
              </w:rPr>
            </w:pPr>
            <w:r w:rsidRPr="00135836">
              <w:rPr>
                <w:rFonts w:cs="Times New Roman"/>
                <w:i/>
                <w:iCs/>
                <w:sz w:val="24"/>
                <w:szCs w:val="24"/>
              </w:rPr>
              <w:t xml:space="preserve">N </w:t>
            </w:r>
            <w:r w:rsidRPr="00135836">
              <w:rPr>
                <w:rFonts w:cs="Times New Roman"/>
                <w:sz w:val="24"/>
                <w:szCs w:val="24"/>
              </w:rPr>
              <w:t>=</w:t>
            </w:r>
            <w:r w:rsidRPr="00135836">
              <w:rPr>
                <w:rFonts w:cs="Times New Roman"/>
                <w:i/>
                <w:iCs/>
                <w:sz w:val="24"/>
                <w:szCs w:val="24"/>
              </w:rPr>
              <w:t xml:space="preserve"> </w:t>
            </w:r>
            <w:r w:rsidRPr="00135836">
              <w:rPr>
                <w:rFonts w:cs="Times New Roman"/>
                <w:sz w:val="24"/>
                <w:szCs w:val="24"/>
              </w:rPr>
              <w:t>31</w:t>
            </w:r>
          </w:p>
        </w:tc>
        <w:tc>
          <w:tcPr>
            <w:tcW w:w="2315" w:type="dxa"/>
            <w:tcBorders>
              <w:top w:val="single" w:sz="4" w:space="0" w:color="auto"/>
              <w:left w:val="nil"/>
              <w:bottom w:val="single" w:sz="4" w:space="0" w:color="auto"/>
              <w:right w:val="nil"/>
            </w:tcBorders>
            <w:shd w:val="clear" w:color="auto" w:fill="FFFFFF" w:themeFill="background1"/>
            <w:vAlign w:val="bottom"/>
          </w:tcPr>
          <w:p w14:paraId="1DE03A28"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10 mg (7 days on/7 days off)</w:t>
            </w:r>
          </w:p>
          <w:p w14:paraId="3E23C2A9" w14:textId="77777777" w:rsidR="00F6327C" w:rsidRPr="00135836" w:rsidRDefault="00F6327C" w:rsidP="002F2D13">
            <w:pPr>
              <w:spacing w:after="0" w:line="360" w:lineRule="auto"/>
              <w:jc w:val="center"/>
              <w:rPr>
                <w:rFonts w:cs="Times New Roman"/>
                <w:sz w:val="24"/>
                <w:szCs w:val="24"/>
              </w:rPr>
            </w:pPr>
            <w:r w:rsidRPr="00135836">
              <w:rPr>
                <w:rFonts w:cs="Times New Roman"/>
                <w:i/>
                <w:iCs/>
                <w:sz w:val="24"/>
                <w:szCs w:val="24"/>
              </w:rPr>
              <w:t xml:space="preserve">N </w:t>
            </w:r>
            <w:r w:rsidRPr="00135836">
              <w:rPr>
                <w:rFonts w:cs="Times New Roman"/>
                <w:sz w:val="24"/>
                <w:szCs w:val="24"/>
              </w:rPr>
              <w:t>=</w:t>
            </w:r>
            <w:r w:rsidRPr="00135836">
              <w:rPr>
                <w:rFonts w:cs="Times New Roman"/>
                <w:i/>
                <w:iCs/>
                <w:sz w:val="24"/>
                <w:szCs w:val="24"/>
              </w:rPr>
              <w:t xml:space="preserve"> </w:t>
            </w:r>
            <w:r w:rsidRPr="00135836">
              <w:rPr>
                <w:rFonts w:cs="Times New Roman"/>
                <w:sz w:val="24"/>
                <w:szCs w:val="24"/>
              </w:rPr>
              <w:t>4</w:t>
            </w:r>
          </w:p>
        </w:tc>
        <w:tc>
          <w:tcPr>
            <w:tcW w:w="2315" w:type="dxa"/>
            <w:tcBorders>
              <w:top w:val="single" w:sz="4" w:space="0" w:color="auto"/>
              <w:left w:val="nil"/>
              <w:bottom w:val="single" w:sz="4" w:space="0" w:color="auto"/>
              <w:right w:val="nil"/>
            </w:tcBorders>
            <w:shd w:val="clear" w:color="auto" w:fill="FFFFFF" w:themeFill="background1"/>
            <w:vAlign w:val="bottom"/>
          </w:tcPr>
          <w:p w14:paraId="7CEF94B9"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Total</w:t>
            </w:r>
          </w:p>
          <w:p w14:paraId="0E297A6A" w14:textId="77777777" w:rsidR="00F6327C" w:rsidRPr="00135836" w:rsidRDefault="00F6327C" w:rsidP="002F2D13">
            <w:pPr>
              <w:spacing w:after="0" w:line="360" w:lineRule="auto"/>
              <w:jc w:val="center"/>
              <w:rPr>
                <w:rFonts w:cs="Times New Roman"/>
                <w:sz w:val="24"/>
                <w:szCs w:val="24"/>
              </w:rPr>
            </w:pPr>
            <w:r w:rsidRPr="00135836">
              <w:rPr>
                <w:rFonts w:cs="Times New Roman"/>
                <w:i/>
                <w:iCs/>
                <w:sz w:val="24"/>
                <w:szCs w:val="24"/>
              </w:rPr>
              <w:t xml:space="preserve">N </w:t>
            </w:r>
            <w:r w:rsidRPr="00135836">
              <w:rPr>
                <w:rFonts w:cs="Times New Roman"/>
                <w:sz w:val="24"/>
                <w:szCs w:val="24"/>
              </w:rPr>
              <w:t>=</w:t>
            </w:r>
            <w:r w:rsidRPr="00135836">
              <w:rPr>
                <w:rFonts w:cs="Times New Roman"/>
                <w:i/>
                <w:iCs/>
                <w:sz w:val="24"/>
                <w:szCs w:val="24"/>
              </w:rPr>
              <w:t xml:space="preserve"> </w:t>
            </w:r>
            <w:r w:rsidRPr="00135836">
              <w:rPr>
                <w:rFonts w:cs="Times New Roman"/>
                <w:sz w:val="24"/>
                <w:szCs w:val="24"/>
              </w:rPr>
              <w:t>35</w:t>
            </w:r>
          </w:p>
        </w:tc>
      </w:tr>
      <w:tr w:rsidR="00F6327C" w:rsidRPr="00135836" w14:paraId="12C13E1F" w14:textId="77777777" w:rsidTr="002F2D13">
        <w:tc>
          <w:tcPr>
            <w:tcW w:w="2621" w:type="dxa"/>
            <w:tcBorders>
              <w:top w:val="single" w:sz="4" w:space="0" w:color="auto"/>
              <w:left w:val="nil"/>
              <w:bottom w:val="nil"/>
              <w:right w:val="nil"/>
            </w:tcBorders>
            <w:shd w:val="clear" w:color="auto" w:fill="FFFFFF" w:themeFill="background1"/>
          </w:tcPr>
          <w:p w14:paraId="7957DD8E" w14:textId="77777777" w:rsidR="00F6327C" w:rsidRPr="00135836" w:rsidRDefault="00F6327C" w:rsidP="002F2D13">
            <w:pPr>
              <w:spacing w:after="0" w:line="360" w:lineRule="auto"/>
              <w:jc w:val="left"/>
              <w:rPr>
                <w:rFonts w:cs="Times New Roman"/>
                <w:sz w:val="24"/>
                <w:szCs w:val="24"/>
              </w:rPr>
            </w:pPr>
            <w:r w:rsidRPr="00135836">
              <w:rPr>
                <w:rFonts w:cs="Times New Roman"/>
                <w:sz w:val="24"/>
                <w:szCs w:val="24"/>
              </w:rPr>
              <w:t>Hyperphosphatemia</w:t>
            </w:r>
          </w:p>
        </w:tc>
        <w:tc>
          <w:tcPr>
            <w:tcW w:w="2315" w:type="dxa"/>
            <w:tcBorders>
              <w:top w:val="single" w:sz="4" w:space="0" w:color="auto"/>
              <w:left w:val="nil"/>
              <w:bottom w:val="nil"/>
              <w:right w:val="nil"/>
            </w:tcBorders>
            <w:shd w:val="clear" w:color="auto" w:fill="FFFFFF" w:themeFill="background1"/>
          </w:tcPr>
          <w:p w14:paraId="3ADB986E"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29 (93.5%)</w:t>
            </w:r>
          </w:p>
        </w:tc>
        <w:tc>
          <w:tcPr>
            <w:tcW w:w="2315" w:type="dxa"/>
            <w:tcBorders>
              <w:top w:val="single" w:sz="4" w:space="0" w:color="auto"/>
              <w:left w:val="nil"/>
              <w:bottom w:val="nil"/>
              <w:right w:val="nil"/>
            </w:tcBorders>
            <w:shd w:val="clear" w:color="auto" w:fill="FFFFFF" w:themeFill="background1"/>
          </w:tcPr>
          <w:p w14:paraId="157399F1"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1 (25.0%) </w:t>
            </w:r>
          </w:p>
        </w:tc>
        <w:tc>
          <w:tcPr>
            <w:tcW w:w="2315" w:type="dxa"/>
            <w:tcBorders>
              <w:top w:val="single" w:sz="4" w:space="0" w:color="auto"/>
              <w:left w:val="nil"/>
              <w:bottom w:val="nil"/>
              <w:right w:val="nil"/>
            </w:tcBorders>
            <w:shd w:val="clear" w:color="auto" w:fill="FFFFFF" w:themeFill="background1"/>
          </w:tcPr>
          <w:p w14:paraId="0EE56E32"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30 (85.7%)</w:t>
            </w:r>
          </w:p>
        </w:tc>
      </w:tr>
      <w:tr w:rsidR="00F6327C" w:rsidRPr="00135836" w14:paraId="00987FC5" w14:textId="77777777" w:rsidTr="002F2D13">
        <w:tc>
          <w:tcPr>
            <w:tcW w:w="2621" w:type="dxa"/>
            <w:tcBorders>
              <w:top w:val="nil"/>
              <w:left w:val="nil"/>
              <w:bottom w:val="nil"/>
              <w:right w:val="nil"/>
            </w:tcBorders>
            <w:shd w:val="clear" w:color="auto" w:fill="FFFFFF" w:themeFill="background1"/>
          </w:tcPr>
          <w:p w14:paraId="1A78E974" w14:textId="77777777" w:rsidR="00F6327C" w:rsidRPr="00135836" w:rsidRDefault="00F6327C" w:rsidP="002F2D13">
            <w:pPr>
              <w:spacing w:after="0" w:line="360" w:lineRule="auto"/>
              <w:jc w:val="left"/>
              <w:rPr>
                <w:rFonts w:cs="Times New Roman"/>
                <w:sz w:val="24"/>
                <w:szCs w:val="24"/>
              </w:rPr>
            </w:pPr>
            <w:r w:rsidRPr="00135836">
              <w:rPr>
                <w:rFonts w:cs="Times New Roman"/>
              </w:rPr>
              <w:t>Dry skin</w:t>
            </w:r>
          </w:p>
        </w:tc>
        <w:tc>
          <w:tcPr>
            <w:tcW w:w="2315" w:type="dxa"/>
            <w:tcBorders>
              <w:top w:val="nil"/>
              <w:left w:val="nil"/>
              <w:bottom w:val="nil"/>
              <w:right w:val="nil"/>
            </w:tcBorders>
            <w:shd w:val="clear" w:color="auto" w:fill="FFFFFF" w:themeFill="background1"/>
          </w:tcPr>
          <w:p w14:paraId="2BA0D7D7" w14:textId="77777777" w:rsidR="00F6327C" w:rsidRPr="00135836" w:rsidRDefault="00F6327C" w:rsidP="002F2D13">
            <w:pPr>
              <w:spacing w:after="0" w:line="360" w:lineRule="auto"/>
              <w:jc w:val="center"/>
              <w:rPr>
                <w:rFonts w:cs="Times New Roman"/>
                <w:sz w:val="24"/>
                <w:szCs w:val="24"/>
              </w:rPr>
            </w:pPr>
            <w:r w:rsidRPr="00135836">
              <w:rPr>
                <w:rFonts w:cs="Times New Roman"/>
              </w:rPr>
              <w:t xml:space="preserve">11 (35.5%) </w:t>
            </w:r>
          </w:p>
        </w:tc>
        <w:tc>
          <w:tcPr>
            <w:tcW w:w="2315" w:type="dxa"/>
            <w:tcBorders>
              <w:top w:val="nil"/>
              <w:left w:val="nil"/>
              <w:bottom w:val="nil"/>
              <w:right w:val="nil"/>
            </w:tcBorders>
            <w:shd w:val="clear" w:color="auto" w:fill="FFFFFF" w:themeFill="background1"/>
          </w:tcPr>
          <w:p w14:paraId="54851EA2" w14:textId="77777777" w:rsidR="00F6327C" w:rsidRPr="00135836" w:rsidRDefault="00F6327C" w:rsidP="002F2D13">
            <w:pPr>
              <w:spacing w:after="0" w:line="360" w:lineRule="auto"/>
              <w:jc w:val="center"/>
              <w:rPr>
                <w:rFonts w:cs="Times New Roman"/>
                <w:sz w:val="24"/>
                <w:szCs w:val="24"/>
              </w:rPr>
            </w:pPr>
            <w:r w:rsidRPr="00135836">
              <w:rPr>
                <w:rFonts w:cs="Times New Roman"/>
              </w:rPr>
              <w:t xml:space="preserve">0 </w:t>
            </w:r>
          </w:p>
        </w:tc>
        <w:tc>
          <w:tcPr>
            <w:tcW w:w="2315" w:type="dxa"/>
            <w:tcBorders>
              <w:top w:val="nil"/>
              <w:left w:val="nil"/>
              <w:bottom w:val="nil"/>
              <w:right w:val="nil"/>
            </w:tcBorders>
            <w:shd w:val="clear" w:color="auto" w:fill="FFFFFF" w:themeFill="background1"/>
          </w:tcPr>
          <w:p w14:paraId="11F50A4A" w14:textId="77777777" w:rsidR="00F6327C" w:rsidRPr="00135836" w:rsidRDefault="00F6327C" w:rsidP="002F2D13">
            <w:pPr>
              <w:spacing w:after="0" w:line="360" w:lineRule="auto"/>
              <w:jc w:val="center"/>
              <w:rPr>
                <w:rFonts w:cs="Times New Roman"/>
                <w:sz w:val="24"/>
                <w:szCs w:val="24"/>
              </w:rPr>
            </w:pPr>
            <w:r w:rsidRPr="00135836">
              <w:rPr>
                <w:rFonts w:cs="Times New Roman"/>
              </w:rPr>
              <w:t>11 (31.4%)</w:t>
            </w:r>
          </w:p>
        </w:tc>
      </w:tr>
      <w:tr w:rsidR="00F6327C" w:rsidRPr="00135836" w14:paraId="72653A1B" w14:textId="77777777" w:rsidTr="002F2D13">
        <w:tc>
          <w:tcPr>
            <w:tcW w:w="2621" w:type="dxa"/>
            <w:tcBorders>
              <w:top w:val="nil"/>
              <w:left w:val="nil"/>
              <w:bottom w:val="nil"/>
              <w:right w:val="nil"/>
            </w:tcBorders>
            <w:shd w:val="clear" w:color="auto" w:fill="FFFFFF" w:themeFill="background1"/>
          </w:tcPr>
          <w:p w14:paraId="756A5598" w14:textId="77777777" w:rsidR="00F6327C" w:rsidRPr="00135836" w:rsidRDefault="00F6327C" w:rsidP="002F2D13">
            <w:pPr>
              <w:spacing w:after="0" w:line="360" w:lineRule="auto"/>
              <w:jc w:val="left"/>
              <w:rPr>
                <w:rFonts w:cs="Times New Roman"/>
                <w:sz w:val="24"/>
                <w:szCs w:val="24"/>
              </w:rPr>
            </w:pPr>
            <w:r w:rsidRPr="00135836">
              <w:rPr>
                <w:rFonts w:cs="Times New Roman"/>
              </w:rPr>
              <w:t>Nail discoloration</w:t>
            </w:r>
          </w:p>
        </w:tc>
        <w:tc>
          <w:tcPr>
            <w:tcW w:w="2315" w:type="dxa"/>
            <w:tcBorders>
              <w:top w:val="nil"/>
              <w:left w:val="nil"/>
              <w:bottom w:val="nil"/>
              <w:right w:val="nil"/>
            </w:tcBorders>
            <w:shd w:val="clear" w:color="auto" w:fill="FFFFFF" w:themeFill="background1"/>
          </w:tcPr>
          <w:p w14:paraId="0B62AECB" w14:textId="77777777" w:rsidR="00F6327C" w:rsidRPr="00135836" w:rsidRDefault="00F6327C" w:rsidP="002F2D13">
            <w:pPr>
              <w:spacing w:after="0" w:line="360" w:lineRule="auto"/>
              <w:jc w:val="center"/>
              <w:rPr>
                <w:rFonts w:cs="Times New Roman"/>
                <w:sz w:val="24"/>
                <w:szCs w:val="24"/>
              </w:rPr>
            </w:pPr>
            <w:r w:rsidRPr="00135836">
              <w:rPr>
                <w:rFonts w:cs="Times New Roman"/>
              </w:rPr>
              <w:t xml:space="preserve">9 (29.0%) </w:t>
            </w:r>
          </w:p>
        </w:tc>
        <w:tc>
          <w:tcPr>
            <w:tcW w:w="2315" w:type="dxa"/>
            <w:tcBorders>
              <w:top w:val="nil"/>
              <w:left w:val="nil"/>
              <w:bottom w:val="nil"/>
              <w:right w:val="nil"/>
            </w:tcBorders>
            <w:shd w:val="clear" w:color="auto" w:fill="FFFFFF" w:themeFill="background1"/>
          </w:tcPr>
          <w:p w14:paraId="63D86973" w14:textId="77777777" w:rsidR="00F6327C" w:rsidRPr="00135836" w:rsidRDefault="00F6327C" w:rsidP="002F2D13">
            <w:pPr>
              <w:spacing w:after="0" w:line="360" w:lineRule="auto"/>
              <w:jc w:val="center"/>
              <w:rPr>
                <w:rFonts w:cs="Times New Roman"/>
                <w:sz w:val="24"/>
                <w:szCs w:val="24"/>
              </w:rPr>
            </w:pPr>
            <w:r w:rsidRPr="00135836">
              <w:rPr>
                <w:rFonts w:cs="Times New Roman"/>
              </w:rPr>
              <w:t xml:space="preserve">1 (25.0%) </w:t>
            </w:r>
          </w:p>
        </w:tc>
        <w:tc>
          <w:tcPr>
            <w:tcW w:w="2315" w:type="dxa"/>
            <w:tcBorders>
              <w:top w:val="nil"/>
              <w:left w:val="nil"/>
              <w:bottom w:val="nil"/>
              <w:right w:val="nil"/>
            </w:tcBorders>
            <w:shd w:val="clear" w:color="auto" w:fill="FFFFFF" w:themeFill="background1"/>
          </w:tcPr>
          <w:p w14:paraId="00525A77" w14:textId="77777777" w:rsidR="00F6327C" w:rsidRPr="00135836" w:rsidRDefault="00F6327C" w:rsidP="002F2D13">
            <w:pPr>
              <w:spacing w:after="0" w:line="360" w:lineRule="auto"/>
              <w:jc w:val="center"/>
              <w:rPr>
                <w:rFonts w:cs="Times New Roman"/>
                <w:sz w:val="24"/>
                <w:szCs w:val="24"/>
              </w:rPr>
            </w:pPr>
            <w:r w:rsidRPr="00135836">
              <w:rPr>
                <w:rFonts w:cs="Times New Roman"/>
              </w:rPr>
              <w:t>10 (28.6%)</w:t>
            </w:r>
          </w:p>
        </w:tc>
      </w:tr>
      <w:tr w:rsidR="00F6327C" w:rsidRPr="00135836" w14:paraId="2E404A54" w14:textId="77777777" w:rsidTr="002F2D13">
        <w:tc>
          <w:tcPr>
            <w:tcW w:w="2621" w:type="dxa"/>
            <w:tcBorders>
              <w:top w:val="nil"/>
              <w:left w:val="nil"/>
              <w:bottom w:val="nil"/>
              <w:right w:val="nil"/>
            </w:tcBorders>
            <w:shd w:val="clear" w:color="auto" w:fill="FFFFFF" w:themeFill="background1"/>
          </w:tcPr>
          <w:p w14:paraId="30730477" w14:textId="77777777" w:rsidR="00F6327C" w:rsidRPr="00135836" w:rsidRDefault="00F6327C" w:rsidP="002F2D13">
            <w:pPr>
              <w:spacing w:after="0" w:line="360" w:lineRule="auto"/>
              <w:jc w:val="left"/>
              <w:rPr>
                <w:rFonts w:cs="Times New Roman"/>
                <w:sz w:val="24"/>
                <w:szCs w:val="24"/>
              </w:rPr>
            </w:pPr>
            <w:r w:rsidRPr="00135836">
              <w:rPr>
                <w:rFonts w:cs="Times New Roman"/>
              </w:rPr>
              <w:t>Nail disorder</w:t>
            </w:r>
          </w:p>
        </w:tc>
        <w:tc>
          <w:tcPr>
            <w:tcW w:w="2315" w:type="dxa"/>
            <w:tcBorders>
              <w:top w:val="nil"/>
              <w:left w:val="nil"/>
              <w:bottom w:val="nil"/>
              <w:right w:val="nil"/>
            </w:tcBorders>
            <w:shd w:val="clear" w:color="auto" w:fill="FFFFFF" w:themeFill="background1"/>
          </w:tcPr>
          <w:p w14:paraId="477F053F"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7 (22.6%) </w:t>
            </w:r>
          </w:p>
        </w:tc>
        <w:tc>
          <w:tcPr>
            <w:tcW w:w="2315" w:type="dxa"/>
            <w:tcBorders>
              <w:top w:val="nil"/>
              <w:left w:val="nil"/>
              <w:bottom w:val="nil"/>
              <w:right w:val="nil"/>
            </w:tcBorders>
            <w:shd w:val="clear" w:color="auto" w:fill="FFFFFF" w:themeFill="background1"/>
          </w:tcPr>
          <w:p w14:paraId="6EF92EAE"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1 (25.0%)</w:t>
            </w:r>
          </w:p>
        </w:tc>
        <w:tc>
          <w:tcPr>
            <w:tcW w:w="2315" w:type="dxa"/>
            <w:tcBorders>
              <w:top w:val="nil"/>
              <w:left w:val="nil"/>
              <w:bottom w:val="nil"/>
              <w:right w:val="nil"/>
            </w:tcBorders>
            <w:shd w:val="clear" w:color="auto" w:fill="FFFFFF" w:themeFill="background1"/>
          </w:tcPr>
          <w:p w14:paraId="6880BF85"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8 (22.9%)</w:t>
            </w:r>
          </w:p>
        </w:tc>
      </w:tr>
      <w:tr w:rsidR="00F6327C" w:rsidRPr="00135836" w14:paraId="60186C01" w14:textId="77777777" w:rsidTr="002F2D13">
        <w:tc>
          <w:tcPr>
            <w:tcW w:w="2621" w:type="dxa"/>
            <w:tcBorders>
              <w:top w:val="nil"/>
              <w:left w:val="nil"/>
              <w:bottom w:val="nil"/>
              <w:right w:val="nil"/>
            </w:tcBorders>
            <w:shd w:val="clear" w:color="auto" w:fill="FFFFFF" w:themeFill="background1"/>
          </w:tcPr>
          <w:p w14:paraId="73703967" w14:textId="77777777" w:rsidR="00F6327C" w:rsidRPr="00135836" w:rsidRDefault="00F6327C" w:rsidP="002F2D13">
            <w:pPr>
              <w:spacing w:after="0" w:line="360" w:lineRule="auto"/>
              <w:jc w:val="left"/>
              <w:rPr>
                <w:rFonts w:cs="Times New Roman"/>
                <w:sz w:val="24"/>
                <w:szCs w:val="24"/>
              </w:rPr>
            </w:pPr>
            <w:r w:rsidRPr="00135836">
              <w:rPr>
                <w:rFonts w:cs="Times New Roman"/>
              </w:rPr>
              <w:t>Palmar-plantar erythrodysesthesia syndrome</w:t>
            </w:r>
          </w:p>
        </w:tc>
        <w:tc>
          <w:tcPr>
            <w:tcW w:w="2315" w:type="dxa"/>
            <w:tcBorders>
              <w:top w:val="nil"/>
              <w:left w:val="nil"/>
              <w:bottom w:val="nil"/>
              <w:right w:val="nil"/>
            </w:tcBorders>
            <w:shd w:val="clear" w:color="auto" w:fill="FFFFFF" w:themeFill="background1"/>
          </w:tcPr>
          <w:p w14:paraId="335709CC"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7 (22.6%)</w:t>
            </w:r>
          </w:p>
        </w:tc>
        <w:tc>
          <w:tcPr>
            <w:tcW w:w="2315" w:type="dxa"/>
            <w:tcBorders>
              <w:top w:val="nil"/>
              <w:left w:val="nil"/>
              <w:bottom w:val="nil"/>
              <w:right w:val="nil"/>
            </w:tcBorders>
            <w:shd w:val="clear" w:color="auto" w:fill="FFFFFF" w:themeFill="background1"/>
          </w:tcPr>
          <w:p w14:paraId="2D1FA7CF"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0</w:t>
            </w:r>
          </w:p>
        </w:tc>
        <w:tc>
          <w:tcPr>
            <w:tcW w:w="2315" w:type="dxa"/>
            <w:tcBorders>
              <w:top w:val="nil"/>
              <w:left w:val="nil"/>
              <w:bottom w:val="nil"/>
              <w:right w:val="nil"/>
            </w:tcBorders>
            <w:shd w:val="clear" w:color="auto" w:fill="FFFFFF" w:themeFill="background1"/>
          </w:tcPr>
          <w:p w14:paraId="32757BBA"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7 (20.0%)</w:t>
            </w:r>
          </w:p>
        </w:tc>
      </w:tr>
      <w:tr w:rsidR="00F6327C" w:rsidRPr="00135836" w14:paraId="742C45B8" w14:textId="77777777" w:rsidTr="002F2D13">
        <w:tc>
          <w:tcPr>
            <w:tcW w:w="2621" w:type="dxa"/>
            <w:tcBorders>
              <w:top w:val="nil"/>
              <w:left w:val="nil"/>
              <w:bottom w:val="nil"/>
              <w:right w:val="nil"/>
            </w:tcBorders>
            <w:shd w:val="clear" w:color="auto" w:fill="FFFFFF" w:themeFill="background1"/>
          </w:tcPr>
          <w:p w14:paraId="23F44F9C" w14:textId="77777777" w:rsidR="00F6327C" w:rsidRPr="00135836" w:rsidRDefault="00F6327C" w:rsidP="002F2D13">
            <w:pPr>
              <w:spacing w:after="0" w:line="360" w:lineRule="auto"/>
              <w:jc w:val="left"/>
              <w:rPr>
                <w:rFonts w:cs="Times New Roman"/>
              </w:rPr>
            </w:pPr>
            <w:r w:rsidRPr="00135836">
              <w:rPr>
                <w:rFonts w:cs="Times New Roman"/>
              </w:rPr>
              <w:t xml:space="preserve">Dry mouth </w:t>
            </w:r>
          </w:p>
        </w:tc>
        <w:tc>
          <w:tcPr>
            <w:tcW w:w="2315" w:type="dxa"/>
            <w:tcBorders>
              <w:top w:val="nil"/>
              <w:left w:val="nil"/>
              <w:bottom w:val="nil"/>
              <w:right w:val="nil"/>
            </w:tcBorders>
            <w:shd w:val="clear" w:color="auto" w:fill="FFFFFF" w:themeFill="background1"/>
          </w:tcPr>
          <w:p w14:paraId="6E9EE711" w14:textId="77777777" w:rsidR="00F6327C" w:rsidRPr="00135836" w:rsidRDefault="00F6327C" w:rsidP="002F2D13">
            <w:pPr>
              <w:spacing w:after="0" w:line="360" w:lineRule="auto"/>
              <w:jc w:val="center"/>
              <w:rPr>
                <w:rFonts w:cs="Times New Roman"/>
                <w:sz w:val="24"/>
                <w:szCs w:val="24"/>
              </w:rPr>
            </w:pPr>
            <w:r w:rsidRPr="00135836">
              <w:rPr>
                <w:rFonts w:cs="Times New Roman"/>
              </w:rPr>
              <w:t>18 (58.1%)</w:t>
            </w:r>
          </w:p>
        </w:tc>
        <w:tc>
          <w:tcPr>
            <w:tcW w:w="2315" w:type="dxa"/>
            <w:tcBorders>
              <w:top w:val="nil"/>
              <w:left w:val="nil"/>
              <w:bottom w:val="nil"/>
              <w:right w:val="nil"/>
            </w:tcBorders>
            <w:shd w:val="clear" w:color="auto" w:fill="FFFFFF" w:themeFill="background1"/>
          </w:tcPr>
          <w:p w14:paraId="61135762" w14:textId="77777777" w:rsidR="00F6327C" w:rsidRPr="00135836" w:rsidRDefault="00F6327C" w:rsidP="002F2D13">
            <w:pPr>
              <w:spacing w:after="0" w:line="360" w:lineRule="auto"/>
              <w:jc w:val="center"/>
              <w:rPr>
                <w:rFonts w:cs="Times New Roman"/>
                <w:sz w:val="24"/>
                <w:szCs w:val="24"/>
              </w:rPr>
            </w:pPr>
            <w:r w:rsidRPr="00135836">
              <w:rPr>
                <w:rFonts w:cs="Times New Roman"/>
              </w:rPr>
              <w:t>0</w:t>
            </w:r>
          </w:p>
        </w:tc>
        <w:tc>
          <w:tcPr>
            <w:tcW w:w="2315" w:type="dxa"/>
            <w:tcBorders>
              <w:top w:val="nil"/>
              <w:left w:val="nil"/>
              <w:bottom w:val="nil"/>
              <w:right w:val="nil"/>
            </w:tcBorders>
            <w:shd w:val="clear" w:color="auto" w:fill="FFFFFF" w:themeFill="background1"/>
          </w:tcPr>
          <w:p w14:paraId="3E0C2D22" w14:textId="77777777" w:rsidR="00F6327C" w:rsidRPr="00135836" w:rsidRDefault="00F6327C" w:rsidP="002F2D13">
            <w:pPr>
              <w:spacing w:after="0" w:line="360" w:lineRule="auto"/>
              <w:jc w:val="center"/>
              <w:rPr>
                <w:rFonts w:cs="Times New Roman"/>
              </w:rPr>
            </w:pPr>
            <w:r w:rsidRPr="00135836">
              <w:rPr>
                <w:rFonts w:cs="Times New Roman"/>
              </w:rPr>
              <w:t>18 (51.4%)</w:t>
            </w:r>
          </w:p>
        </w:tc>
      </w:tr>
      <w:tr w:rsidR="00F6327C" w:rsidRPr="00135836" w14:paraId="5C06C966" w14:textId="77777777" w:rsidTr="002F2D13">
        <w:tc>
          <w:tcPr>
            <w:tcW w:w="2621" w:type="dxa"/>
            <w:tcBorders>
              <w:top w:val="nil"/>
              <w:left w:val="nil"/>
              <w:bottom w:val="nil"/>
              <w:right w:val="nil"/>
            </w:tcBorders>
            <w:shd w:val="clear" w:color="auto" w:fill="FFFFFF" w:themeFill="background1"/>
          </w:tcPr>
          <w:p w14:paraId="617B91E9" w14:textId="77777777" w:rsidR="00F6327C" w:rsidRPr="00135836" w:rsidRDefault="00F6327C" w:rsidP="002F2D13">
            <w:pPr>
              <w:spacing w:after="0" w:line="360" w:lineRule="auto"/>
              <w:jc w:val="left"/>
              <w:rPr>
                <w:rFonts w:cs="Times New Roman"/>
              </w:rPr>
            </w:pPr>
            <w:r w:rsidRPr="00135836">
              <w:rPr>
                <w:rFonts w:cs="Times New Roman"/>
              </w:rPr>
              <w:t xml:space="preserve">Stomatitis </w:t>
            </w:r>
          </w:p>
        </w:tc>
        <w:tc>
          <w:tcPr>
            <w:tcW w:w="2315" w:type="dxa"/>
            <w:tcBorders>
              <w:top w:val="nil"/>
              <w:left w:val="nil"/>
              <w:bottom w:val="nil"/>
              <w:right w:val="nil"/>
            </w:tcBorders>
            <w:shd w:val="clear" w:color="auto" w:fill="FFFFFF" w:themeFill="background1"/>
          </w:tcPr>
          <w:p w14:paraId="5C999167" w14:textId="77777777" w:rsidR="00F6327C" w:rsidRPr="00135836" w:rsidRDefault="00F6327C" w:rsidP="002F2D13">
            <w:pPr>
              <w:spacing w:after="0" w:line="360" w:lineRule="auto"/>
              <w:jc w:val="center"/>
              <w:rPr>
                <w:rFonts w:cs="Times New Roman"/>
                <w:sz w:val="24"/>
                <w:szCs w:val="24"/>
              </w:rPr>
            </w:pPr>
            <w:r w:rsidRPr="00135836">
              <w:rPr>
                <w:rFonts w:cs="Times New Roman"/>
              </w:rPr>
              <w:t>15 (48.4%)</w:t>
            </w:r>
          </w:p>
        </w:tc>
        <w:tc>
          <w:tcPr>
            <w:tcW w:w="2315" w:type="dxa"/>
            <w:tcBorders>
              <w:top w:val="nil"/>
              <w:left w:val="nil"/>
              <w:bottom w:val="nil"/>
              <w:right w:val="nil"/>
            </w:tcBorders>
            <w:shd w:val="clear" w:color="auto" w:fill="FFFFFF" w:themeFill="background1"/>
          </w:tcPr>
          <w:p w14:paraId="0A6BFCA1" w14:textId="77777777" w:rsidR="00F6327C" w:rsidRPr="00135836" w:rsidRDefault="00F6327C" w:rsidP="002F2D13">
            <w:pPr>
              <w:spacing w:after="0" w:line="360" w:lineRule="auto"/>
              <w:jc w:val="center"/>
              <w:rPr>
                <w:rFonts w:cs="Times New Roman"/>
                <w:sz w:val="24"/>
                <w:szCs w:val="24"/>
              </w:rPr>
            </w:pPr>
            <w:r w:rsidRPr="00135836">
              <w:rPr>
                <w:rFonts w:cs="Times New Roman"/>
              </w:rPr>
              <w:t>0</w:t>
            </w:r>
          </w:p>
        </w:tc>
        <w:tc>
          <w:tcPr>
            <w:tcW w:w="2315" w:type="dxa"/>
            <w:tcBorders>
              <w:top w:val="nil"/>
              <w:left w:val="nil"/>
              <w:bottom w:val="nil"/>
              <w:right w:val="nil"/>
            </w:tcBorders>
            <w:shd w:val="clear" w:color="auto" w:fill="FFFFFF" w:themeFill="background1"/>
          </w:tcPr>
          <w:p w14:paraId="6BC768A7" w14:textId="77777777" w:rsidR="00F6327C" w:rsidRPr="00135836" w:rsidRDefault="00F6327C" w:rsidP="002F2D13">
            <w:pPr>
              <w:spacing w:after="0" w:line="360" w:lineRule="auto"/>
              <w:jc w:val="center"/>
              <w:rPr>
                <w:rFonts w:cs="Times New Roman"/>
                <w:sz w:val="24"/>
                <w:szCs w:val="24"/>
              </w:rPr>
            </w:pPr>
            <w:r w:rsidRPr="00135836">
              <w:rPr>
                <w:rFonts w:cs="Times New Roman"/>
              </w:rPr>
              <w:t>15 (42.9%)</w:t>
            </w:r>
          </w:p>
        </w:tc>
      </w:tr>
      <w:tr w:rsidR="00F6327C" w:rsidRPr="00135836" w14:paraId="323FD806" w14:textId="77777777" w:rsidTr="002F2D13">
        <w:tc>
          <w:tcPr>
            <w:tcW w:w="2621" w:type="dxa"/>
            <w:tcBorders>
              <w:top w:val="nil"/>
              <w:left w:val="nil"/>
              <w:bottom w:val="nil"/>
              <w:right w:val="nil"/>
            </w:tcBorders>
            <w:shd w:val="clear" w:color="auto" w:fill="FFFFFF" w:themeFill="background1"/>
          </w:tcPr>
          <w:p w14:paraId="0B693C47" w14:textId="77777777" w:rsidR="00F6327C" w:rsidRPr="00135836" w:rsidRDefault="00F6327C" w:rsidP="002F2D13">
            <w:pPr>
              <w:spacing w:after="0" w:line="360" w:lineRule="auto"/>
              <w:jc w:val="left"/>
              <w:rPr>
                <w:rFonts w:cs="Times New Roman"/>
              </w:rPr>
            </w:pPr>
            <w:r w:rsidRPr="00135836">
              <w:rPr>
                <w:rFonts w:cs="Times New Roman"/>
              </w:rPr>
              <w:t xml:space="preserve">Diarrhea </w:t>
            </w:r>
          </w:p>
        </w:tc>
        <w:tc>
          <w:tcPr>
            <w:tcW w:w="2315" w:type="dxa"/>
            <w:tcBorders>
              <w:top w:val="nil"/>
              <w:left w:val="nil"/>
              <w:bottom w:val="nil"/>
              <w:right w:val="nil"/>
            </w:tcBorders>
            <w:shd w:val="clear" w:color="auto" w:fill="FFFFFF" w:themeFill="background1"/>
          </w:tcPr>
          <w:p w14:paraId="5F3A2AAF" w14:textId="77777777" w:rsidR="00F6327C" w:rsidRPr="00135836" w:rsidRDefault="00F6327C" w:rsidP="002F2D13">
            <w:pPr>
              <w:spacing w:after="0" w:line="360" w:lineRule="auto"/>
              <w:jc w:val="center"/>
              <w:rPr>
                <w:rFonts w:cs="Times New Roman"/>
              </w:rPr>
            </w:pPr>
            <w:r w:rsidRPr="00135836">
              <w:rPr>
                <w:rFonts w:cs="Times New Roman"/>
              </w:rPr>
              <w:t>8 (25.8%)</w:t>
            </w:r>
          </w:p>
        </w:tc>
        <w:tc>
          <w:tcPr>
            <w:tcW w:w="2315" w:type="dxa"/>
            <w:tcBorders>
              <w:top w:val="nil"/>
              <w:left w:val="nil"/>
              <w:bottom w:val="nil"/>
              <w:right w:val="nil"/>
            </w:tcBorders>
            <w:shd w:val="clear" w:color="auto" w:fill="FFFFFF" w:themeFill="background1"/>
          </w:tcPr>
          <w:p w14:paraId="558472EF" w14:textId="77777777" w:rsidR="00F6327C" w:rsidRPr="00135836" w:rsidRDefault="00F6327C" w:rsidP="002F2D13">
            <w:pPr>
              <w:spacing w:after="0" w:line="360" w:lineRule="auto"/>
              <w:jc w:val="center"/>
              <w:rPr>
                <w:rFonts w:cs="Times New Roman"/>
              </w:rPr>
            </w:pPr>
            <w:r w:rsidRPr="00135836">
              <w:rPr>
                <w:rFonts w:cs="Times New Roman"/>
              </w:rPr>
              <w:t>1 (25.0%)</w:t>
            </w:r>
          </w:p>
        </w:tc>
        <w:tc>
          <w:tcPr>
            <w:tcW w:w="2315" w:type="dxa"/>
            <w:tcBorders>
              <w:top w:val="nil"/>
              <w:left w:val="nil"/>
              <w:bottom w:val="nil"/>
              <w:right w:val="nil"/>
            </w:tcBorders>
            <w:shd w:val="clear" w:color="auto" w:fill="FFFFFF" w:themeFill="background1"/>
          </w:tcPr>
          <w:p w14:paraId="553A2239" w14:textId="77777777" w:rsidR="00F6327C" w:rsidRPr="00135836" w:rsidRDefault="00F6327C" w:rsidP="002F2D13">
            <w:pPr>
              <w:spacing w:after="0" w:line="360" w:lineRule="auto"/>
              <w:jc w:val="center"/>
              <w:rPr>
                <w:rFonts w:cs="Times New Roman"/>
              </w:rPr>
            </w:pPr>
            <w:r w:rsidRPr="00135836">
              <w:rPr>
                <w:rFonts w:cs="Times New Roman"/>
              </w:rPr>
              <w:t>9 (25.7%)</w:t>
            </w:r>
          </w:p>
        </w:tc>
      </w:tr>
      <w:tr w:rsidR="00F6327C" w:rsidRPr="00135836" w14:paraId="694708CD" w14:textId="77777777" w:rsidTr="002F2D13">
        <w:tc>
          <w:tcPr>
            <w:tcW w:w="2621" w:type="dxa"/>
            <w:tcBorders>
              <w:top w:val="nil"/>
              <w:left w:val="nil"/>
              <w:bottom w:val="nil"/>
              <w:right w:val="nil"/>
            </w:tcBorders>
            <w:shd w:val="clear" w:color="auto" w:fill="FFFFFF" w:themeFill="background1"/>
          </w:tcPr>
          <w:p w14:paraId="564F268F" w14:textId="77777777" w:rsidR="00F6327C" w:rsidRPr="00135836" w:rsidRDefault="00F6327C" w:rsidP="002F2D13">
            <w:pPr>
              <w:spacing w:after="0" w:line="360" w:lineRule="auto"/>
              <w:jc w:val="left"/>
              <w:rPr>
                <w:rFonts w:cs="Times New Roman"/>
                <w:sz w:val="24"/>
                <w:szCs w:val="24"/>
              </w:rPr>
            </w:pPr>
            <w:r w:rsidRPr="00135836">
              <w:rPr>
                <w:rFonts w:cs="Times New Roman"/>
              </w:rPr>
              <w:t>Paronychia</w:t>
            </w:r>
          </w:p>
        </w:tc>
        <w:tc>
          <w:tcPr>
            <w:tcW w:w="2315" w:type="dxa"/>
            <w:tcBorders>
              <w:top w:val="nil"/>
              <w:left w:val="nil"/>
              <w:bottom w:val="nil"/>
              <w:right w:val="nil"/>
            </w:tcBorders>
            <w:shd w:val="clear" w:color="auto" w:fill="FFFFFF" w:themeFill="background1"/>
          </w:tcPr>
          <w:p w14:paraId="3587279F"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6 (19.4%) </w:t>
            </w:r>
          </w:p>
        </w:tc>
        <w:tc>
          <w:tcPr>
            <w:tcW w:w="2315" w:type="dxa"/>
            <w:tcBorders>
              <w:top w:val="nil"/>
              <w:left w:val="nil"/>
              <w:bottom w:val="nil"/>
              <w:right w:val="nil"/>
            </w:tcBorders>
            <w:shd w:val="clear" w:color="auto" w:fill="FFFFFF" w:themeFill="background1"/>
          </w:tcPr>
          <w:p w14:paraId="1D07D947"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1 (25.0%)</w:t>
            </w:r>
          </w:p>
        </w:tc>
        <w:tc>
          <w:tcPr>
            <w:tcW w:w="2315" w:type="dxa"/>
            <w:tcBorders>
              <w:top w:val="nil"/>
              <w:left w:val="nil"/>
              <w:bottom w:val="nil"/>
              <w:right w:val="nil"/>
            </w:tcBorders>
            <w:shd w:val="clear" w:color="auto" w:fill="FFFFFF" w:themeFill="background1"/>
          </w:tcPr>
          <w:p w14:paraId="51273C74"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7 (20.0%)</w:t>
            </w:r>
          </w:p>
        </w:tc>
      </w:tr>
      <w:tr w:rsidR="00F6327C" w:rsidRPr="00135836" w14:paraId="41F98C59" w14:textId="77777777" w:rsidTr="002F2D13">
        <w:tc>
          <w:tcPr>
            <w:tcW w:w="2621" w:type="dxa"/>
            <w:tcBorders>
              <w:top w:val="nil"/>
              <w:left w:val="nil"/>
              <w:bottom w:val="nil"/>
              <w:right w:val="nil"/>
            </w:tcBorders>
            <w:shd w:val="clear" w:color="auto" w:fill="FFFFFF" w:themeFill="background1"/>
          </w:tcPr>
          <w:p w14:paraId="6529986E" w14:textId="77777777" w:rsidR="00F6327C" w:rsidRPr="00135836" w:rsidRDefault="00F6327C" w:rsidP="002F2D13">
            <w:pPr>
              <w:spacing w:after="0" w:line="360" w:lineRule="auto"/>
              <w:jc w:val="left"/>
              <w:rPr>
                <w:rFonts w:cs="Times New Roman"/>
                <w:sz w:val="24"/>
                <w:szCs w:val="24"/>
              </w:rPr>
            </w:pPr>
            <w:r w:rsidRPr="00135836">
              <w:rPr>
                <w:rFonts w:cs="Times New Roman"/>
              </w:rPr>
              <w:t>Alanine aminotransferase increased</w:t>
            </w:r>
          </w:p>
        </w:tc>
        <w:tc>
          <w:tcPr>
            <w:tcW w:w="2315" w:type="dxa"/>
            <w:tcBorders>
              <w:top w:val="nil"/>
              <w:left w:val="nil"/>
              <w:bottom w:val="nil"/>
              <w:right w:val="nil"/>
            </w:tcBorders>
            <w:shd w:val="clear" w:color="auto" w:fill="FFFFFF" w:themeFill="background1"/>
          </w:tcPr>
          <w:p w14:paraId="07C9ACC0"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12 (38.7%) </w:t>
            </w:r>
          </w:p>
        </w:tc>
        <w:tc>
          <w:tcPr>
            <w:tcW w:w="2315" w:type="dxa"/>
            <w:tcBorders>
              <w:top w:val="nil"/>
              <w:left w:val="nil"/>
              <w:bottom w:val="nil"/>
              <w:right w:val="nil"/>
            </w:tcBorders>
            <w:shd w:val="clear" w:color="auto" w:fill="FFFFFF" w:themeFill="background1"/>
          </w:tcPr>
          <w:p w14:paraId="5EF4EDBB"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0</w:t>
            </w:r>
          </w:p>
        </w:tc>
        <w:tc>
          <w:tcPr>
            <w:tcW w:w="2315" w:type="dxa"/>
            <w:tcBorders>
              <w:top w:val="nil"/>
              <w:left w:val="nil"/>
              <w:bottom w:val="nil"/>
              <w:right w:val="nil"/>
            </w:tcBorders>
            <w:shd w:val="clear" w:color="auto" w:fill="FFFFFF" w:themeFill="background1"/>
          </w:tcPr>
          <w:p w14:paraId="755110AC"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12 (34.3%)</w:t>
            </w:r>
          </w:p>
        </w:tc>
      </w:tr>
      <w:tr w:rsidR="00F6327C" w:rsidRPr="00135836" w14:paraId="57367C39" w14:textId="77777777" w:rsidTr="002F2D13">
        <w:tc>
          <w:tcPr>
            <w:tcW w:w="2621" w:type="dxa"/>
            <w:tcBorders>
              <w:top w:val="nil"/>
              <w:left w:val="nil"/>
              <w:bottom w:val="nil"/>
              <w:right w:val="nil"/>
            </w:tcBorders>
            <w:shd w:val="clear" w:color="auto" w:fill="FFFFFF" w:themeFill="background1"/>
          </w:tcPr>
          <w:p w14:paraId="1D8A0189" w14:textId="77777777" w:rsidR="00F6327C" w:rsidRPr="00135836" w:rsidRDefault="00F6327C" w:rsidP="002F2D13">
            <w:pPr>
              <w:spacing w:after="0" w:line="360" w:lineRule="auto"/>
              <w:jc w:val="left"/>
              <w:rPr>
                <w:rFonts w:cs="Times New Roman"/>
                <w:sz w:val="24"/>
                <w:szCs w:val="24"/>
              </w:rPr>
            </w:pPr>
            <w:r w:rsidRPr="00135836">
              <w:rPr>
                <w:rFonts w:cs="Times New Roman"/>
              </w:rPr>
              <w:t>Aspartate aminotransferase increased</w:t>
            </w:r>
          </w:p>
        </w:tc>
        <w:tc>
          <w:tcPr>
            <w:tcW w:w="2315" w:type="dxa"/>
            <w:tcBorders>
              <w:top w:val="nil"/>
              <w:left w:val="nil"/>
              <w:bottom w:val="nil"/>
              <w:right w:val="nil"/>
            </w:tcBorders>
            <w:shd w:val="clear" w:color="auto" w:fill="FFFFFF" w:themeFill="background1"/>
          </w:tcPr>
          <w:p w14:paraId="52699805"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11 (35.5%) </w:t>
            </w:r>
          </w:p>
        </w:tc>
        <w:tc>
          <w:tcPr>
            <w:tcW w:w="2315" w:type="dxa"/>
            <w:tcBorders>
              <w:top w:val="nil"/>
              <w:left w:val="nil"/>
              <w:bottom w:val="nil"/>
              <w:right w:val="nil"/>
            </w:tcBorders>
            <w:shd w:val="clear" w:color="auto" w:fill="FFFFFF" w:themeFill="background1"/>
          </w:tcPr>
          <w:p w14:paraId="37F9DAF3"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0</w:t>
            </w:r>
          </w:p>
        </w:tc>
        <w:tc>
          <w:tcPr>
            <w:tcW w:w="2315" w:type="dxa"/>
            <w:tcBorders>
              <w:top w:val="nil"/>
              <w:left w:val="nil"/>
              <w:bottom w:val="nil"/>
              <w:right w:val="nil"/>
            </w:tcBorders>
            <w:shd w:val="clear" w:color="auto" w:fill="FFFFFF" w:themeFill="background1"/>
          </w:tcPr>
          <w:p w14:paraId="07515BAC"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11 (31.4%)</w:t>
            </w:r>
          </w:p>
        </w:tc>
      </w:tr>
      <w:tr w:rsidR="00F6327C" w:rsidRPr="00135836" w14:paraId="20B8FAA7" w14:textId="77777777" w:rsidTr="002F2D13">
        <w:tc>
          <w:tcPr>
            <w:tcW w:w="2621" w:type="dxa"/>
            <w:tcBorders>
              <w:top w:val="nil"/>
              <w:left w:val="nil"/>
              <w:right w:val="nil"/>
            </w:tcBorders>
            <w:shd w:val="clear" w:color="auto" w:fill="FFFFFF" w:themeFill="background1"/>
          </w:tcPr>
          <w:p w14:paraId="60486D06" w14:textId="77777777" w:rsidR="00F6327C" w:rsidRPr="00135836" w:rsidRDefault="00F6327C" w:rsidP="002F2D13">
            <w:pPr>
              <w:spacing w:after="0" w:line="360" w:lineRule="auto"/>
              <w:jc w:val="left"/>
              <w:rPr>
                <w:rFonts w:cs="Times New Roman"/>
                <w:sz w:val="24"/>
                <w:szCs w:val="24"/>
              </w:rPr>
            </w:pPr>
            <w:r w:rsidRPr="00135836">
              <w:rPr>
                <w:rFonts w:cs="Times New Roman"/>
              </w:rPr>
              <w:t>Dry eye</w:t>
            </w:r>
          </w:p>
        </w:tc>
        <w:tc>
          <w:tcPr>
            <w:tcW w:w="2315" w:type="dxa"/>
            <w:tcBorders>
              <w:top w:val="nil"/>
              <w:left w:val="nil"/>
              <w:right w:val="nil"/>
            </w:tcBorders>
            <w:shd w:val="clear" w:color="auto" w:fill="FFFFFF" w:themeFill="background1"/>
          </w:tcPr>
          <w:p w14:paraId="558B629C"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 xml:space="preserve">8 (25.8%) </w:t>
            </w:r>
          </w:p>
        </w:tc>
        <w:tc>
          <w:tcPr>
            <w:tcW w:w="2315" w:type="dxa"/>
            <w:tcBorders>
              <w:top w:val="nil"/>
              <w:left w:val="nil"/>
              <w:right w:val="nil"/>
            </w:tcBorders>
            <w:shd w:val="clear" w:color="auto" w:fill="FFFFFF" w:themeFill="background1"/>
          </w:tcPr>
          <w:p w14:paraId="5F52D5EF"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0</w:t>
            </w:r>
          </w:p>
        </w:tc>
        <w:tc>
          <w:tcPr>
            <w:tcW w:w="2315" w:type="dxa"/>
            <w:tcBorders>
              <w:top w:val="nil"/>
              <w:left w:val="nil"/>
              <w:right w:val="nil"/>
            </w:tcBorders>
            <w:shd w:val="clear" w:color="auto" w:fill="FFFFFF" w:themeFill="background1"/>
          </w:tcPr>
          <w:p w14:paraId="07E614CF" w14:textId="77777777" w:rsidR="00F6327C" w:rsidRPr="00135836" w:rsidRDefault="00F6327C" w:rsidP="002F2D13">
            <w:pPr>
              <w:spacing w:after="0" w:line="360" w:lineRule="auto"/>
              <w:jc w:val="center"/>
              <w:rPr>
                <w:rFonts w:cs="Times New Roman"/>
                <w:sz w:val="24"/>
                <w:szCs w:val="24"/>
              </w:rPr>
            </w:pPr>
            <w:r w:rsidRPr="00135836">
              <w:rPr>
                <w:rFonts w:cs="Times New Roman"/>
                <w:sz w:val="24"/>
                <w:szCs w:val="24"/>
              </w:rPr>
              <w:t>8 (22.9%)</w:t>
            </w:r>
          </w:p>
        </w:tc>
      </w:tr>
      <w:tr w:rsidR="00F6327C" w:rsidRPr="00135836" w14:paraId="6686B278" w14:textId="77777777" w:rsidTr="002F2D13">
        <w:tc>
          <w:tcPr>
            <w:tcW w:w="2621" w:type="dxa"/>
            <w:tcBorders>
              <w:top w:val="nil"/>
              <w:left w:val="nil"/>
              <w:bottom w:val="single" w:sz="4" w:space="0" w:color="auto"/>
              <w:right w:val="nil"/>
            </w:tcBorders>
            <w:shd w:val="clear" w:color="auto" w:fill="FFFFFF" w:themeFill="background1"/>
          </w:tcPr>
          <w:p w14:paraId="7374AE02" w14:textId="77777777" w:rsidR="00F6327C" w:rsidRPr="00135836" w:rsidRDefault="00F6327C" w:rsidP="002F2D13">
            <w:pPr>
              <w:spacing w:after="0" w:line="360" w:lineRule="auto"/>
              <w:jc w:val="left"/>
              <w:rPr>
                <w:rFonts w:cs="Times New Roman"/>
              </w:rPr>
            </w:pPr>
            <w:r w:rsidRPr="00135836">
              <w:rPr>
                <w:rFonts w:cs="Times New Roman"/>
              </w:rPr>
              <w:t>Dysgeusia</w:t>
            </w:r>
          </w:p>
        </w:tc>
        <w:tc>
          <w:tcPr>
            <w:tcW w:w="2315" w:type="dxa"/>
            <w:tcBorders>
              <w:top w:val="nil"/>
              <w:left w:val="nil"/>
              <w:bottom w:val="single" w:sz="4" w:space="0" w:color="auto"/>
              <w:right w:val="nil"/>
            </w:tcBorders>
            <w:shd w:val="clear" w:color="auto" w:fill="FFFFFF" w:themeFill="background1"/>
          </w:tcPr>
          <w:p w14:paraId="5E447EA8" w14:textId="77777777" w:rsidR="00F6327C" w:rsidRPr="00135836" w:rsidRDefault="00F6327C" w:rsidP="002F2D13">
            <w:pPr>
              <w:spacing w:after="0" w:line="360" w:lineRule="auto"/>
              <w:jc w:val="left"/>
              <w:rPr>
                <w:rFonts w:cs="Times New Roman"/>
              </w:rPr>
            </w:pPr>
          </w:p>
        </w:tc>
        <w:tc>
          <w:tcPr>
            <w:tcW w:w="2315" w:type="dxa"/>
            <w:tcBorders>
              <w:top w:val="nil"/>
              <w:left w:val="nil"/>
              <w:bottom w:val="single" w:sz="4" w:space="0" w:color="auto"/>
              <w:right w:val="nil"/>
            </w:tcBorders>
            <w:shd w:val="clear" w:color="auto" w:fill="FFFFFF" w:themeFill="background1"/>
          </w:tcPr>
          <w:p w14:paraId="04BBDDA8" w14:textId="77777777" w:rsidR="00F6327C" w:rsidRPr="00135836" w:rsidRDefault="00F6327C" w:rsidP="002F2D13">
            <w:pPr>
              <w:spacing w:after="0" w:line="360" w:lineRule="auto"/>
              <w:jc w:val="left"/>
              <w:rPr>
                <w:rFonts w:cs="Times New Roman"/>
              </w:rPr>
            </w:pPr>
          </w:p>
        </w:tc>
        <w:tc>
          <w:tcPr>
            <w:tcW w:w="2315" w:type="dxa"/>
            <w:tcBorders>
              <w:top w:val="nil"/>
              <w:left w:val="nil"/>
              <w:bottom w:val="single" w:sz="4" w:space="0" w:color="auto"/>
              <w:right w:val="nil"/>
            </w:tcBorders>
            <w:shd w:val="clear" w:color="auto" w:fill="FFFFFF" w:themeFill="background1"/>
          </w:tcPr>
          <w:p w14:paraId="36333BB7" w14:textId="77777777" w:rsidR="00F6327C" w:rsidRPr="00135836" w:rsidRDefault="00F6327C" w:rsidP="002F2D13">
            <w:pPr>
              <w:spacing w:after="0" w:line="360" w:lineRule="auto"/>
              <w:jc w:val="left"/>
              <w:rPr>
                <w:rFonts w:cs="Times New Roman"/>
              </w:rPr>
            </w:pPr>
          </w:p>
        </w:tc>
      </w:tr>
    </w:tbl>
    <w:p w14:paraId="5879A160" w14:textId="77777777" w:rsidR="00F6327C" w:rsidRPr="00135836" w:rsidRDefault="00F6327C" w:rsidP="00F6327C">
      <w:pPr>
        <w:spacing w:after="0" w:line="360" w:lineRule="auto"/>
        <w:rPr>
          <w:rFonts w:cs="Times New Roman"/>
          <w:sz w:val="24"/>
          <w:szCs w:val="24"/>
        </w:rPr>
      </w:pPr>
      <w:r w:rsidRPr="00135836">
        <w:rPr>
          <w:rFonts w:cs="Times New Roman"/>
          <w:sz w:val="24"/>
          <w:szCs w:val="24"/>
        </w:rPr>
        <w:t xml:space="preserve">Note: Data are </w:t>
      </w:r>
      <w:r w:rsidRPr="00135836">
        <w:rPr>
          <w:rFonts w:cs="Times New Roman"/>
          <w:i/>
          <w:iCs/>
          <w:sz w:val="24"/>
          <w:szCs w:val="24"/>
        </w:rPr>
        <w:t>n</w:t>
      </w:r>
      <w:r w:rsidRPr="00135836">
        <w:rPr>
          <w:rFonts w:cs="Times New Roman"/>
          <w:sz w:val="24"/>
          <w:szCs w:val="24"/>
        </w:rPr>
        <w:t xml:space="preserve"> (%) unless otherwise stated. Percentages calculated with the number of patients in all-treated population of each group as denominator.</w:t>
      </w:r>
      <w:r w:rsidRPr="00135836">
        <w:rPr>
          <w:rFonts w:cs="Times New Roman"/>
        </w:rPr>
        <w:t xml:space="preserve"> </w:t>
      </w:r>
      <w:r w:rsidRPr="00135836">
        <w:rPr>
          <w:rFonts w:cs="Times New Roman"/>
          <w:sz w:val="24"/>
          <w:szCs w:val="24"/>
        </w:rPr>
        <w:t>Recurring events are counted only once for each patient.</w:t>
      </w:r>
    </w:p>
    <w:p w14:paraId="4D30BC69" w14:textId="77777777" w:rsidR="00F6327C" w:rsidRPr="00135836" w:rsidRDefault="00F6327C" w:rsidP="00F6327C">
      <w:pPr>
        <w:spacing w:after="0" w:line="360" w:lineRule="auto"/>
        <w:rPr>
          <w:rFonts w:cs="Times New Roman"/>
          <w:sz w:val="24"/>
          <w:szCs w:val="24"/>
        </w:rPr>
      </w:pPr>
      <w:r w:rsidRPr="00135836">
        <w:rPr>
          <w:rFonts w:cs="Times New Roman"/>
          <w:sz w:val="24"/>
          <w:szCs w:val="24"/>
        </w:rPr>
        <w:t>Abbreviations: QD, once daily; TEAE, treatment-emergent adverse event.</w:t>
      </w:r>
    </w:p>
    <w:p w14:paraId="61B8EE7F" w14:textId="77777777" w:rsidR="00F6327C" w:rsidRPr="00135836" w:rsidRDefault="00F6327C" w:rsidP="00F6327C">
      <w:pPr>
        <w:spacing w:after="160" w:line="259" w:lineRule="auto"/>
        <w:jc w:val="left"/>
        <w:rPr>
          <w:rFonts w:cs="Times New Roman"/>
          <w:sz w:val="24"/>
          <w:szCs w:val="24"/>
        </w:rPr>
      </w:pPr>
      <w:r w:rsidRPr="00135836">
        <w:rPr>
          <w:rFonts w:cs="Times New Roman"/>
          <w:sz w:val="24"/>
          <w:szCs w:val="24"/>
        </w:rPr>
        <w:br w:type="page"/>
      </w:r>
    </w:p>
    <w:p w14:paraId="0EA25CA0" w14:textId="77777777" w:rsidR="00F6327C" w:rsidRPr="00135836" w:rsidRDefault="00F6327C" w:rsidP="00F6327C">
      <w:pPr>
        <w:spacing w:after="0" w:line="360" w:lineRule="auto"/>
        <w:rPr>
          <w:rFonts w:cs="Times New Roman"/>
          <w:b/>
          <w:bCs/>
          <w:sz w:val="24"/>
          <w:szCs w:val="24"/>
        </w:rPr>
      </w:pPr>
      <w:r w:rsidRPr="00135836">
        <w:rPr>
          <w:rFonts w:cs="Times New Roman"/>
          <w:b/>
          <w:bCs/>
          <w:sz w:val="24"/>
          <w:szCs w:val="24"/>
        </w:rPr>
        <w:lastRenderedPageBreak/>
        <w:t xml:space="preserve">Table S4. </w:t>
      </w:r>
      <w:r w:rsidRPr="00135836">
        <w:rPr>
          <w:rFonts w:cs="Times New Roman"/>
          <w:sz w:val="24"/>
          <w:szCs w:val="24"/>
        </w:rPr>
        <w:t>Plasma concentration of erdafitinib.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333"/>
      </w:tblGrid>
      <w:tr w:rsidR="00F6327C" w:rsidRPr="00135836" w14:paraId="7B9DB00D" w14:textId="77777777" w:rsidTr="002F2D13">
        <w:trPr>
          <w:trHeight w:val="56"/>
        </w:trPr>
        <w:tc>
          <w:tcPr>
            <w:tcW w:w="5845" w:type="dxa"/>
            <w:tcBorders>
              <w:top w:val="single" w:sz="4" w:space="0" w:color="auto"/>
              <w:bottom w:val="single" w:sz="4" w:space="0" w:color="auto"/>
            </w:tcBorders>
          </w:tcPr>
          <w:p w14:paraId="05C81B7A"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8 mg (QD)</w:t>
            </w:r>
          </w:p>
        </w:tc>
        <w:tc>
          <w:tcPr>
            <w:tcW w:w="3333" w:type="dxa"/>
            <w:tcBorders>
              <w:top w:val="single" w:sz="4" w:space="0" w:color="auto"/>
              <w:bottom w:val="single" w:sz="4" w:space="0" w:color="auto"/>
            </w:tcBorders>
          </w:tcPr>
          <w:p w14:paraId="68D2D762" w14:textId="77777777" w:rsidR="00F6327C" w:rsidRPr="00135836" w:rsidRDefault="00F6327C" w:rsidP="002F2D13">
            <w:pPr>
              <w:spacing w:after="160" w:line="276" w:lineRule="auto"/>
              <w:jc w:val="center"/>
              <w:rPr>
                <w:rFonts w:cs="Times New Roman"/>
                <w:sz w:val="24"/>
                <w:szCs w:val="24"/>
                <w:lang w:val="en-US"/>
              </w:rPr>
            </w:pPr>
            <w:proofErr w:type="spellStart"/>
            <w:r w:rsidRPr="00135836">
              <w:rPr>
                <w:rFonts w:cs="Times New Roman"/>
                <w:sz w:val="24"/>
                <w:szCs w:val="24"/>
                <w:lang w:val="en-US"/>
              </w:rPr>
              <w:t>C</w:t>
            </w:r>
            <w:r w:rsidRPr="00135836">
              <w:rPr>
                <w:rFonts w:cs="Times New Roman"/>
                <w:sz w:val="24"/>
                <w:szCs w:val="24"/>
                <w:vertAlign w:val="subscript"/>
                <w:lang w:val="en-US"/>
              </w:rPr>
              <w:t>max</w:t>
            </w:r>
            <w:proofErr w:type="spellEnd"/>
            <w:r w:rsidRPr="00135836">
              <w:rPr>
                <w:rFonts w:cs="Times New Roman"/>
                <w:sz w:val="24"/>
                <w:szCs w:val="24"/>
                <w:lang w:val="en-US"/>
              </w:rPr>
              <w:t xml:space="preserve"> (SD) [n]</w:t>
            </w:r>
          </w:p>
        </w:tc>
      </w:tr>
      <w:tr w:rsidR="00F6327C" w:rsidRPr="00135836" w14:paraId="76F53585" w14:textId="77777777" w:rsidTr="002F2D13">
        <w:trPr>
          <w:trHeight w:val="705"/>
        </w:trPr>
        <w:tc>
          <w:tcPr>
            <w:tcW w:w="5845" w:type="dxa"/>
            <w:tcBorders>
              <w:top w:val="single" w:sz="4" w:space="0" w:color="auto"/>
            </w:tcBorders>
          </w:tcPr>
          <w:p w14:paraId="6B77E0AD"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C1D1</w:t>
            </w:r>
          </w:p>
          <w:p w14:paraId="70F333B9"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3h</w:t>
            </w:r>
          </w:p>
          <w:p w14:paraId="3D14292F"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497CB5FB"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Borders>
              <w:top w:val="single" w:sz="4" w:space="0" w:color="auto"/>
            </w:tcBorders>
          </w:tcPr>
          <w:p w14:paraId="505E4A14" w14:textId="77777777" w:rsidR="00F6327C" w:rsidRPr="00135836" w:rsidRDefault="00F6327C" w:rsidP="002F2D13">
            <w:pPr>
              <w:spacing w:after="160" w:line="276" w:lineRule="auto"/>
              <w:jc w:val="center"/>
              <w:rPr>
                <w:rFonts w:cs="Times New Roman"/>
                <w:sz w:val="24"/>
                <w:szCs w:val="24"/>
                <w:lang w:val="en-US"/>
              </w:rPr>
            </w:pPr>
          </w:p>
          <w:p w14:paraId="4C4CD0AF"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354 (178) [31]</w:t>
            </w:r>
          </w:p>
          <w:p w14:paraId="39EEA73C"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340 (145) [31]</w:t>
            </w:r>
          </w:p>
          <w:p w14:paraId="1392849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253 (132) [31]</w:t>
            </w:r>
          </w:p>
        </w:tc>
      </w:tr>
      <w:tr w:rsidR="00F6327C" w:rsidRPr="00135836" w14:paraId="507F987A" w14:textId="77777777" w:rsidTr="002F2D13">
        <w:tc>
          <w:tcPr>
            <w:tcW w:w="5845" w:type="dxa"/>
          </w:tcPr>
          <w:p w14:paraId="38133703"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C1D14</w:t>
            </w:r>
            <w:r w:rsidRPr="00135836">
              <w:rPr>
                <w:rFonts w:cs="Times New Roman"/>
                <w:sz w:val="24"/>
                <w:szCs w:val="24"/>
                <w:vertAlign w:val="superscript"/>
                <w:lang w:val="en-US"/>
              </w:rPr>
              <w:t>b</w:t>
            </w:r>
          </w:p>
          <w:p w14:paraId="54324621"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p w14:paraId="27B94A3D"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3h</w:t>
            </w:r>
          </w:p>
          <w:p w14:paraId="0A61CF5E"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655D0E61"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Pr>
          <w:p w14:paraId="3DFD9926" w14:textId="77777777" w:rsidR="00F6327C" w:rsidRPr="00135836" w:rsidRDefault="00F6327C" w:rsidP="002F2D13">
            <w:pPr>
              <w:spacing w:after="160" w:line="276" w:lineRule="auto"/>
              <w:jc w:val="center"/>
              <w:rPr>
                <w:rFonts w:cs="Times New Roman"/>
                <w:sz w:val="24"/>
                <w:szCs w:val="24"/>
                <w:lang w:val="en-US"/>
              </w:rPr>
            </w:pPr>
          </w:p>
          <w:p w14:paraId="44E90E9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773 (394) [27]</w:t>
            </w:r>
          </w:p>
          <w:p w14:paraId="3BE16AC8"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1026 (461) [26]</w:t>
            </w:r>
          </w:p>
          <w:p w14:paraId="51CA4FC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1007 (446) [26]</w:t>
            </w:r>
          </w:p>
          <w:p w14:paraId="596345F4"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803 (383) [26]</w:t>
            </w:r>
          </w:p>
        </w:tc>
      </w:tr>
      <w:tr w:rsidR="00F6327C" w:rsidRPr="00135836" w14:paraId="60D2CAE9" w14:textId="77777777" w:rsidTr="002F2D13">
        <w:tc>
          <w:tcPr>
            <w:tcW w:w="5845" w:type="dxa"/>
          </w:tcPr>
          <w:p w14:paraId="4A095D4E"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C2D1</w:t>
            </w:r>
            <w:r w:rsidRPr="00135836">
              <w:rPr>
                <w:rFonts w:cs="Times New Roman"/>
                <w:sz w:val="24"/>
                <w:szCs w:val="24"/>
                <w:vertAlign w:val="superscript"/>
                <w:lang w:val="en-US"/>
              </w:rPr>
              <w:t>c</w:t>
            </w:r>
          </w:p>
          <w:p w14:paraId="644D6322"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p w14:paraId="07E0FB7A"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3h</w:t>
            </w:r>
          </w:p>
          <w:p w14:paraId="5D1C2EEA"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1D40BEAC"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Pr>
          <w:p w14:paraId="57DF8308" w14:textId="77777777" w:rsidR="00F6327C" w:rsidRPr="00135836" w:rsidRDefault="00F6327C" w:rsidP="002F2D13">
            <w:pPr>
              <w:spacing w:after="160" w:line="276" w:lineRule="auto"/>
              <w:jc w:val="center"/>
              <w:rPr>
                <w:rFonts w:cs="Times New Roman"/>
                <w:sz w:val="24"/>
                <w:szCs w:val="24"/>
                <w:lang w:val="en-US"/>
              </w:rPr>
            </w:pPr>
          </w:p>
          <w:p w14:paraId="34B2ACBD"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633 (298) [9]</w:t>
            </w:r>
          </w:p>
          <w:p w14:paraId="4599988A"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880 (301) [9]</w:t>
            </w:r>
          </w:p>
          <w:p w14:paraId="307DC3B8"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855 (295) [9]</w:t>
            </w:r>
          </w:p>
          <w:p w14:paraId="63CA3EA9"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643 (245) [9]</w:t>
            </w:r>
          </w:p>
        </w:tc>
      </w:tr>
      <w:tr w:rsidR="00F6327C" w:rsidRPr="00135836" w14:paraId="290E8A10" w14:textId="77777777" w:rsidTr="002F2D13">
        <w:tc>
          <w:tcPr>
            <w:tcW w:w="5845" w:type="dxa"/>
          </w:tcPr>
          <w:p w14:paraId="11BF2D9B"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C3D1</w:t>
            </w:r>
            <w:r w:rsidRPr="00135836">
              <w:rPr>
                <w:rFonts w:cs="Times New Roman"/>
                <w:sz w:val="24"/>
                <w:szCs w:val="24"/>
                <w:vertAlign w:val="superscript"/>
                <w:lang w:val="en-US"/>
              </w:rPr>
              <w:t>d</w:t>
            </w:r>
          </w:p>
          <w:p w14:paraId="6E45486E"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tc>
        <w:tc>
          <w:tcPr>
            <w:tcW w:w="3333" w:type="dxa"/>
          </w:tcPr>
          <w:p w14:paraId="72F89BD8" w14:textId="77777777" w:rsidR="00F6327C" w:rsidRPr="00135836" w:rsidRDefault="00F6327C" w:rsidP="002F2D13">
            <w:pPr>
              <w:spacing w:after="160" w:line="276" w:lineRule="auto"/>
              <w:jc w:val="center"/>
              <w:rPr>
                <w:rFonts w:cs="Times New Roman"/>
                <w:sz w:val="24"/>
                <w:szCs w:val="24"/>
                <w:lang w:val="en-US"/>
              </w:rPr>
            </w:pPr>
          </w:p>
          <w:p w14:paraId="467F9F49"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726 (435) [4]</w:t>
            </w:r>
          </w:p>
        </w:tc>
      </w:tr>
      <w:tr w:rsidR="00F6327C" w:rsidRPr="00135836" w14:paraId="0E98E34C" w14:textId="77777777" w:rsidTr="002F2D13">
        <w:tc>
          <w:tcPr>
            <w:tcW w:w="5845" w:type="dxa"/>
            <w:tcBorders>
              <w:bottom w:val="single" w:sz="4" w:space="0" w:color="auto"/>
            </w:tcBorders>
          </w:tcPr>
          <w:p w14:paraId="2DD359C9"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C4D1</w:t>
            </w:r>
            <w:r w:rsidRPr="00135836">
              <w:rPr>
                <w:rFonts w:cs="Times New Roman"/>
                <w:sz w:val="24"/>
                <w:szCs w:val="24"/>
                <w:vertAlign w:val="superscript"/>
                <w:lang w:val="en-US"/>
              </w:rPr>
              <w:t>e</w:t>
            </w:r>
          </w:p>
          <w:p w14:paraId="202842EC"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tc>
        <w:tc>
          <w:tcPr>
            <w:tcW w:w="3333" w:type="dxa"/>
            <w:tcBorders>
              <w:bottom w:val="single" w:sz="4" w:space="0" w:color="auto"/>
            </w:tcBorders>
          </w:tcPr>
          <w:p w14:paraId="439C157A" w14:textId="77777777" w:rsidR="00F6327C" w:rsidRPr="00135836" w:rsidRDefault="00F6327C" w:rsidP="002F2D13">
            <w:pPr>
              <w:spacing w:after="160" w:line="276" w:lineRule="auto"/>
              <w:jc w:val="center"/>
              <w:rPr>
                <w:rFonts w:cs="Times New Roman"/>
                <w:sz w:val="24"/>
                <w:szCs w:val="24"/>
                <w:lang w:val="en-US"/>
              </w:rPr>
            </w:pPr>
          </w:p>
          <w:p w14:paraId="55F0B692"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559 (203) [3]</w:t>
            </w:r>
          </w:p>
        </w:tc>
      </w:tr>
      <w:tr w:rsidR="00F6327C" w:rsidRPr="00135836" w14:paraId="207BCC2E" w14:textId="77777777" w:rsidTr="002F2D13">
        <w:tc>
          <w:tcPr>
            <w:tcW w:w="5845" w:type="dxa"/>
            <w:tcBorders>
              <w:top w:val="single" w:sz="4" w:space="0" w:color="auto"/>
              <w:bottom w:val="single" w:sz="4" w:space="0" w:color="auto"/>
            </w:tcBorders>
          </w:tcPr>
          <w:p w14:paraId="1A548F70"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10 mg (7 day on/7 day off)</w:t>
            </w:r>
          </w:p>
        </w:tc>
        <w:tc>
          <w:tcPr>
            <w:tcW w:w="3333" w:type="dxa"/>
            <w:tcBorders>
              <w:top w:val="single" w:sz="4" w:space="0" w:color="auto"/>
              <w:bottom w:val="single" w:sz="4" w:space="0" w:color="auto"/>
            </w:tcBorders>
          </w:tcPr>
          <w:p w14:paraId="390F715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Erdafitinib</w:t>
            </w:r>
          </w:p>
        </w:tc>
      </w:tr>
      <w:tr w:rsidR="00F6327C" w:rsidRPr="00135836" w14:paraId="571CE089" w14:textId="77777777" w:rsidTr="002F2D13">
        <w:tc>
          <w:tcPr>
            <w:tcW w:w="5845" w:type="dxa"/>
            <w:tcBorders>
              <w:top w:val="single" w:sz="4" w:space="0" w:color="auto"/>
            </w:tcBorders>
          </w:tcPr>
          <w:p w14:paraId="4854D5AE"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C1D1</w:t>
            </w:r>
          </w:p>
          <w:p w14:paraId="79964D4C"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3h</w:t>
            </w:r>
          </w:p>
          <w:p w14:paraId="16205BB1"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726A4B2C"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Borders>
              <w:top w:val="single" w:sz="4" w:space="0" w:color="auto"/>
            </w:tcBorders>
          </w:tcPr>
          <w:p w14:paraId="72D2C7D3" w14:textId="77777777" w:rsidR="00F6327C" w:rsidRPr="00135836" w:rsidRDefault="00F6327C" w:rsidP="002F2D13">
            <w:pPr>
              <w:spacing w:after="160" w:line="276" w:lineRule="auto"/>
              <w:jc w:val="center"/>
              <w:rPr>
                <w:rFonts w:cs="Times New Roman"/>
                <w:sz w:val="24"/>
                <w:szCs w:val="24"/>
                <w:lang w:val="en-US"/>
              </w:rPr>
            </w:pPr>
          </w:p>
          <w:p w14:paraId="1B48D8C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355 (163) [4]</w:t>
            </w:r>
          </w:p>
          <w:p w14:paraId="54B0E5CA"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407 (131) [4]</w:t>
            </w:r>
          </w:p>
          <w:p w14:paraId="216C69A0"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337 (86.5) [4]</w:t>
            </w:r>
          </w:p>
        </w:tc>
      </w:tr>
      <w:tr w:rsidR="00F6327C" w:rsidRPr="00135836" w14:paraId="312CA69F" w14:textId="77777777" w:rsidTr="002F2D13">
        <w:tc>
          <w:tcPr>
            <w:tcW w:w="5845" w:type="dxa"/>
          </w:tcPr>
          <w:p w14:paraId="09DED791"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C1D7</w:t>
            </w:r>
            <w:r w:rsidRPr="00135836">
              <w:rPr>
                <w:rFonts w:cs="Times New Roman"/>
                <w:sz w:val="24"/>
                <w:szCs w:val="24"/>
                <w:vertAlign w:val="superscript"/>
                <w:lang w:val="en-US"/>
              </w:rPr>
              <w:t>f</w:t>
            </w:r>
          </w:p>
          <w:p w14:paraId="45008974"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p w14:paraId="40A5EE53"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lastRenderedPageBreak/>
              <w:t>3h</w:t>
            </w:r>
          </w:p>
          <w:p w14:paraId="38B4AF0F"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06ACA22D"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Pr>
          <w:p w14:paraId="27D65604" w14:textId="77777777" w:rsidR="00F6327C" w:rsidRPr="00135836" w:rsidRDefault="00F6327C" w:rsidP="002F2D13">
            <w:pPr>
              <w:spacing w:after="160" w:line="276" w:lineRule="auto"/>
              <w:jc w:val="center"/>
              <w:rPr>
                <w:rFonts w:cs="Times New Roman"/>
                <w:sz w:val="24"/>
                <w:szCs w:val="24"/>
                <w:lang w:val="en-US"/>
              </w:rPr>
            </w:pPr>
          </w:p>
          <w:p w14:paraId="64AE9DBC"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1062 (158) [3]</w:t>
            </w:r>
          </w:p>
          <w:p w14:paraId="19E61DAD"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lastRenderedPageBreak/>
              <w:t>1371 (391) [3]</w:t>
            </w:r>
          </w:p>
          <w:p w14:paraId="2C0D2A4D"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1433 (140) [3]</w:t>
            </w:r>
          </w:p>
          <w:p w14:paraId="101C8525"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1113 (187) [3]</w:t>
            </w:r>
          </w:p>
        </w:tc>
      </w:tr>
      <w:tr w:rsidR="00F6327C" w:rsidRPr="00135836" w14:paraId="3E406073" w14:textId="77777777" w:rsidTr="002F2D13">
        <w:tc>
          <w:tcPr>
            <w:tcW w:w="5845" w:type="dxa"/>
            <w:tcBorders>
              <w:bottom w:val="single" w:sz="4" w:space="0" w:color="auto"/>
            </w:tcBorders>
          </w:tcPr>
          <w:p w14:paraId="1900F4DC" w14:textId="77777777" w:rsidR="00F6327C" w:rsidRPr="00135836" w:rsidRDefault="00F6327C" w:rsidP="002F2D13">
            <w:pPr>
              <w:spacing w:after="160" w:line="276" w:lineRule="auto"/>
              <w:jc w:val="left"/>
              <w:rPr>
                <w:rFonts w:cs="Times New Roman"/>
                <w:sz w:val="24"/>
                <w:szCs w:val="24"/>
                <w:lang w:val="en-US"/>
              </w:rPr>
            </w:pPr>
            <w:r w:rsidRPr="00135836">
              <w:rPr>
                <w:rFonts w:cs="Times New Roman"/>
                <w:sz w:val="24"/>
                <w:szCs w:val="24"/>
                <w:lang w:val="en-US"/>
              </w:rPr>
              <w:lastRenderedPageBreak/>
              <w:t>Plasma concentration of erdafitinib (ng/</w:t>
            </w:r>
            <w:proofErr w:type="gramStart"/>
            <w:r w:rsidRPr="00135836">
              <w:rPr>
                <w:rFonts w:cs="Times New Roman"/>
                <w:sz w:val="24"/>
                <w:szCs w:val="24"/>
                <w:lang w:val="en-US"/>
              </w:rPr>
              <w:t>mL)</w:t>
            </w:r>
            <w:r w:rsidRPr="00135836">
              <w:rPr>
                <w:rFonts w:cs="Times New Roman"/>
                <w:sz w:val="24"/>
                <w:szCs w:val="24"/>
                <w:vertAlign w:val="superscript"/>
                <w:lang w:val="en-US"/>
              </w:rPr>
              <w:t>a</w:t>
            </w:r>
            <w:proofErr w:type="gramEnd"/>
            <w:r w:rsidRPr="00135836">
              <w:rPr>
                <w:rFonts w:cs="Times New Roman"/>
                <w:sz w:val="24"/>
                <w:szCs w:val="24"/>
                <w:lang w:val="en-US"/>
              </w:rPr>
              <w:t xml:space="preserve"> on C2D1</w:t>
            </w:r>
            <w:r w:rsidRPr="00135836">
              <w:rPr>
                <w:rFonts w:cs="Times New Roman"/>
                <w:sz w:val="24"/>
                <w:szCs w:val="24"/>
                <w:vertAlign w:val="superscript"/>
                <w:lang w:val="en-US"/>
              </w:rPr>
              <w:t>c</w:t>
            </w:r>
          </w:p>
          <w:p w14:paraId="54BE6041"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Pre-dose</w:t>
            </w:r>
          </w:p>
          <w:p w14:paraId="267F90A1"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3h</w:t>
            </w:r>
          </w:p>
          <w:p w14:paraId="06DC435D"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6h</w:t>
            </w:r>
          </w:p>
          <w:p w14:paraId="4B10F637" w14:textId="77777777" w:rsidR="00F6327C" w:rsidRPr="00135836" w:rsidRDefault="00F6327C" w:rsidP="002F2D13">
            <w:pPr>
              <w:spacing w:after="160" w:line="276" w:lineRule="auto"/>
              <w:ind w:left="432"/>
              <w:jc w:val="left"/>
              <w:rPr>
                <w:rFonts w:cs="Times New Roman"/>
                <w:sz w:val="24"/>
                <w:szCs w:val="24"/>
                <w:lang w:val="en-US"/>
              </w:rPr>
            </w:pPr>
            <w:r w:rsidRPr="00135836">
              <w:rPr>
                <w:rFonts w:cs="Times New Roman"/>
                <w:sz w:val="24"/>
                <w:szCs w:val="24"/>
                <w:lang w:val="en-US"/>
              </w:rPr>
              <w:t>24h</w:t>
            </w:r>
          </w:p>
        </w:tc>
        <w:tc>
          <w:tcPr>
            <w:tcW w:w="3333" w:type="dxa"/>
            <w:tcBorders>
              <w:bottom w:val="single" w:sz="4" w:space="0" w:color="auto"/>
            </w:tcBorders>
          </w:tcPr>
          <w:p w14:paraId="64C274FE" w14:textId="77777777" w:rsidR="00F6327C" w:rsidRPr="00135836" w:rsidRDefault="00F6327C" w:rsidP="002F2D13">
            <w:pPr>
              <w:spacing w:after="160" w:line="276" w:lineRule="auto"/>
              <w:jc w:val="center"/>
              <w:rPr>
                <w:rFonts w:cs="Times New Roman"/>
                <w:sz w:val="24"/>
                <w:szCs w:val="24"/>
                <w:lang w:val="en-US"/>
              </w:rPr>
            </w:pPr>
          </w:p>
          <w:p w14:paraId="130F2C63"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716 (869) [2]</w:t>
            </w:r>
          </w:p>
          <w:p w14:paraId="48268BF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1880 (-) [1]</w:t>
            </w:r>
          </w:p>
          <w:p w14:paraId="09D4267A"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1280 (-) [1]</w:t>
            </w:r>
          </w:p>
          <w:p w14:paraId="2AD4BC16" w14:textId="77777777" w:rsidR="00F6327C" w:rsidRPr="00135836" w:rsidRDefault="00F6327C" w:rsidP="002F2D13">
            <w:pPr>
              <w:spacing w:after="160" w:line="276" w:lineRule="auto"/>
              <w:jc w:val="center"/>
              <w:rPr>
                <w:rFonts w:cs="Times New Roman"/>
                <w:sz w:val="24"/>
                <w:szCs w:val="24"/>
                <w:lang w:val="en-US"/>
              </w:rPr>
            </w:pPr>
            <w:r w:rsidRPr="00135836">
              <w:rPr>
                <w:rFonts w:cs="Times New Roman"/>
                <w:sz w:val="24"/>
                <w:szCs w:val="24"/>
                <w:lang w:val="en-US"/>
              </w:rPr>
              <w:t>1680 (-) [1]</w:t>
            </w:r>
          </w:p>
        </w:tc>
      </w:tr>
    </w:tbl>
    <w:p w14:paraId="46C0E80E" w14:textId="77777777" w:rsidR="00F6327C" w:rsidRPr="00135836" w:rsidRDefault="00F6327C" w:rsidP="00F6327C">
      <w:pPr>
        <w:spacing w:after="160" w:line="360" w:lineRule="auto"/>
        <w:jc w:val="left"/>
        <w:rPr>
          <w:rFonts w:cs="Times New Roman"/>
          <w:sz w:val="24"/>
          <w:szCs w:val="24"/>
        </w:rPr>
      </w:pPr>
      <w:r w:rsidRPr="00135836">
        <w:rPr>
          <w:rFonts w:cs="Times New Roman"/>
          <w:sz w:val="24"/>
          <w:szCs w:val="24"/>
        </w:rPr>
        <w:t xml:space="preserve">Abbreviations: </w:t>
      </w:r>
      <w:proofErr w:type="spellStart"/>
      <w:r w:rsidRPr="00135836">
        <w:rPr>
          <w:rFonts w:cs="Times New Roman"/>
          <w:sz w:val="24"/>
          <w:szCs w:val="24"/>
        </w:rPr>
        <w:t>C</w:t>
      </w:r>
      <w:r w:rsidRPr="00135836">
        <w:rPr>
          <w:rFonts w:cs="Times New Roman"/>
          <w:sz w:val="24"/>
          <w:szCs w:val="24"/>
          <w:vertAlign w:val="subscript"/>
        </w:rPr>
        <w:t>max</w:t>
      </w:r>
      <w:proofErr w:type="spellEnd"/>
      <w:r w:rsidRPr="00135836">
        <w:rPr>
          <w:rFonts w:cs="Times New Roman"/>
          <w:sz w:val="24"/>
          <w:szCs w:val="24"/>
        </w:rPr>
        <w:t>, maximum serum concentration; C, cycle; D, day; h, hour; QD, once daily; SD, standard deviation.</w:t>
      </w:r>
    </w:p>
    <w:p w14:paraId="7193377A" w14:textId="77777777" w:rsidR="00F6327C" w:rsidRPr="00135836" w:rsidRDefault="00F6327C" w:rsidP="00F6327C">
      <w:pPr>
        <w:spacing w:after="160" w:line="360" w:lineRule="auto"/>
        <w:jc w:val="left"/>
        <w:rPr>
          <w:rFonts w:cs="Times New Roman"/>
          <w:sz w:val="24"/>
          <w:szCs w:val="24"/>
        </w:rPr>
      </w:pPr>
      <w:proofErr w:type="spellStart"/>
      <w:r w:rsidRPr="00135836">
        <w:rPr>
          <w:rFonts w:cs="Times New Roman"/>
          <w:sz w:val="24"/>
          <w:szCs w:val="24"/>
          <w:vertAlign w:val="superscript"/>
        </w:rPr>
        <w:t>a</w:t>
      </w:r>
      <w:r w:rsidRPr="00135836">
        <w:rPr>
          <w:rFonts w:cs="Times New Roman"/>
          <w:sz w:val="24"/>
          <w:szCs w:val="24"/>
        </w:rPr>
        <w:t>Plasma</w:t>
      </w:r>
      <w:proofErr w:type="spellEnd"/>
      <w:r w:rsidRPr="00135836">
        <w:rPr>
          <w:rFonts w:cs="Times New Roman"/>
          <w:sz w:val="24"/>
          <w:szCs w:val="24"/>
        </w:rPr>
        <w:t xml:space="preserve"> concentration data presented as mean (SD) [n] by nominal time. </w:t>
      </w:r>
      <w:r w:rsidRPr="00135836">
        <w:rPr>
          <w:rFonts w:cs="Times New Roman"/>
          <w:sz w:val="24"/>
          <w:szCs w:val="24"/>
          <w:vertAlign w:val="superscript"/>
        </w:rPr>
        <w:t>b</w:t>
      </w:r>
      <w:r w:rsidRPr="00135836">
        <w:rPr>
          <w:rFonts w:cs="Times New Roman"/>
          <w:sz w:val="24"/>
          <w:szCs w:val="24"/>
        </w:rPr>
        <w:t xml:space="preserve">C1D14 data presented here only include those patients who received the same dosing schedule from C1D1 to C1D14 without any dose modification. </w:t>
      </w:r>
      <w:r w:rsidRPr="00135836">
        <w:rPr>
          <w:rFonts w:cs="Times New Roman"/>
          <w:sz w:val="24"/>
          <w:szCs w:val="24"/>
          <w:vertAlign w:val="superscript"/>
        </w:rPr>
        <w:t>c</w:t>
      </w:r>
      <w:r w:rsidRPr="00135836">
        <w:rPr>
          <w:rFonts w:cs="Times New Roman"/>
          <w:sz w:val="24"/>
          <w:szCs w:val="24"/>
        </w:rPr>
        <w:t xml:space="preserve">C2D1 data presented here only include those patients who received the same dosing schedule from C1D1 to C2D1 without any dose modification. </w:t>
      </w:r>
      <w:r w:rsidRPr="00135836">
        <w:rPr>
          <w:rFonts w:cs="Times New Roman"/>
          <w:sz w:val="24"/>
          <w:szCs w:val="24"/>
          <w:vertAlign w:val="superscript"/>
        </w:rPr>
        <w:t>d</w:t>
      </w:r>
      <w:r w:rsidRPr="00135836">
        <w:rPr>
          <w:rFonts w:cs="Times New Roman"/>
          <w:sz w:val="24"/>
          <w:szCs w:val="24"/>
        </w:rPr>
        <w:t xml:space="preserve">C3D1 data presented here only include those patients who received the same dosing schedule from C1D1 to C3D1 without any dose modification. </w:t>
      </w:r>
      <w:r w:rsidRPr="00135836">
        <w:rPr>
          <w:rFonts w:cs="Times New Roman"/>
          <w:sz w:val="24"/>
          <w:szCs w:val="24"/>
          <w:vertAlign w:val="superscript"/>
        </w:rPr>
        <w:t>e</w:t>
      </w:r>
      <w:r w:rsidRPr="00135836">
        <w:rPr>
          <w:rFonts w:cs="Times New Roman"/>
          <w:sz w:val="24"/>
          <w:szCs w:val="24"/>
        </w:rPr>
        <w:t xml:space="preserve">C4D1 data presented here only include those patients who received the same dosing schedule from C1D1 to C4D1 without any dose modification. </w:t>
      </w:r>
      <w:r w:rsidRPr="00135836">
        <w:rPr>
          <w:rFonts w:cs="Times New Roman"/>
          <w:sz w:val="24"/>
          <w:szCs w:val="24"/>
          <w:vertAlign w:val="superscript"/>
        </w:rPr>
        <w:t>f</w:t>
      </w:r>
      <w:r w:rsidRPr="00135836">
        <w:rPr>
          <w:rFonts w:cs="Times New Roman"/>
          <w:sz w:val="24"/>
          <w:szCs w:val="24"/>
        </w:rPr>
        <w:t xml:space="preserve">C1D7 data presented here only include those patients who received the same dosing scheduling from C1D1 to C1D7 without any dose modification. </w:t>
      </w:r>
      <w:r w:rsidRPr="00135836">
        <w:rPr>
          <w:rFonts w:cs="Times New Roman"/>
          <w:sz w:val="24"/>
          <w:szCs w:val="24"/>
        </w:rPr>
        <w:br w:type="page"/>
      </w:r>
    </w:p>
    <w:p w14:paraId="37C42DB8" w14:textId="77777777" w:rsidR="00F6327C" w:rsidRPr="00135836" w:rsidRDefault="00F6327C" w:rsidP="00F6327C">
      <w:pPr>
        <w:spacing w:after="0" w:line="360" w:lineRule="auto"/>
        <w:rPr>
          <w:rFonts w:cs="Times New Roman"/>
          <w:b/>
          <w:bCs/>
          <w:sz w:val="24"/>
          <w:szCs w:val="24"/>
        </w:rPr>
      </w:pPr>
      <w:r w:rsidRPr="00135836">
        <w:rPr>
          <w:rFonts w:cs="Times New Roman"/>
          <w:b/>
          <w:bCs/>
          <w:sz w:val="24"/>
          <w:szCs w:val="24"/>
        </w:rPr>
        <w:lastRenderedPageBreak/>
        <w:t xml:space="preserve">Supplementary Figure S1. </w:t>
      </w:r>
      <w:r w:rsidRPr="00135836">
        <w:rPr>
          <w:rFonts w:cs="Times New Roman"/>
          <w:sz w:val="24"/>
          <w:szCs w:val="24"/>
        </w:rPr>
        <w:t>Patient flow.</w:t>
      </w:r>
    </w:p>
    <w:p w14:paraId="7C1AC2FB" w14:textId="77777777" w:rsidR="00F6327C" w:rsidRPr="00135836" w:rsidRDefault="00F6327C" w:rsidP="00F6327C">
      <w:pPr>
        <w:spacing w:after="0" w:line="360" w:lineRule="auto"/>
        <w:rPr>
          <w:rFonts w:cs="Times New Roman"/>
          <w:sz w:val="24"/>
          <w:szCs w:val="24"/>
        </w:rPr>
      </w:pPr>
      <w:r w:rsidRPr="00135836">
        <w:rPr>
          <w:noProof/>
        </w:rPr>
        <w:drawing>
          <wp:inline distT="0" distB="0" distL="0" distR="0" wp14:anchorId="0F807389" wp14:editId="4DDD034B">
            <wp:extent cx="5834380" cy="4744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34380" cy="4744720"/>
                    </a:xfrm>
                    <a:prstGeom prst="rect">
                      <a:avLst/>
                    </a:prstGeom>
                  </pic:spPr>
                </pic:pic>
              </a:graphicData>
            </a:graphic>
          </wp:inline>
        </w:drawing>
      </w:r>
    </w:p>
    <w:p w14:paraId="29B720E7" w14:textId="77777777" w:rsidR="00F6327C" w:rsidRPr="00135836" w:rsidRDefault="00F6327C" w:rsidP="00F6327C">
      <w:pPr>
        <w:spacing w:after="0" w:line="360" w:lineRule="auto"/>
        <w:rPr>
          <w:rFonts w:cs="Times New Roman"/>
          <w:sz w:val="24"/>
          <w:szCs w:val="24"/>
        </w:rPr>
      </w:pPr>
      <w:r w:rsidRPr="00135836">
        <w:rPr>
          <w:rFonts w:cs="Times New Roman"/>
          <w:sz w:val="24"/>
          <w:szCs w:val="24"/>
        </w:rPr>
        <w:t>Abbreviations: CCA, cholangiocarcinoma; EC, esophageal cancer; NSCLC, non-small cell lung cancer.</w:t>
      </w:r>
    </w:p>
    <w:p w14:paraId="7176125C" w14:textId="77777777" w:rsidR="00F6327C" w:rsidRPr="00135836" w:rsidRDefault="00F6327C" w:rsidP="00F6327C">
      <w:pPr>
        <w:spacing w:after="160" w:line="259" w:lineRule="auto"/>
        <w:jc w:val="left"/>
        <w:rPr>
          <w:rFonts w:cs="Times New Roman"/>
          <w:sz w:val="24"/>
          <w:szCs w:val="24"/>
        </w:rPr>
      </w:pPr>
      <w:r w:rsidRPr="00135836">
        <w:rPr>
          <w:rFonts w:cs="Times New Roman"/>
          <w:sz w:val="24"/>
          <w:szCs w:val="24"/>
        </w:rPr>
        <w:br w:type="page"/>
      </w:r>
    </w:p>
    <w:p w14:paraId="59AB4875" w14:textId="3E42D8C4" w:rsidR="00F6327C" w:rsidRPr="00135836" w:rsidRDefault="00F6327C" w:rsidP="00F6327C">
      <w:pPr>
        <w:rPr>
          <w:rFonts w:cs="Times New Roman"/>
          <w:b/>
          <w:bCs/>
          <w:sz w:val="24"/>
          <w:szCs w:val="24"/>
        </w:rPr>
      </w:pPr>
      <w:r w:rsidRPr="00135836">
        <w:rPr>
          <w:rFonts w:cs="Times New Roman"/>
          <w:b/>
          <w:bCs/>
          <w:sz w:val="24"/>
          <w:szCs w:val="24"/>
        </w:rPr>
        <w:lastRenderedPageBreak/>
        <w:t xml:space="preserve">Supplementary Figure S2. </w:t>
      </w:r>
      <w:r w:rsidRPr="00135836">
        <w:rPr>
          <w:rFonts w:cs="Times New Roman"/>
          <w:sz w:val="24"/>
          <w:szCs w:val="24"/>
        </w:rPr>
        <w:t>Maximal percentage reduction of sum of target lesion diameters from baseline for NSCLC.</w:t>
      </w:r>
    </w:p>
    <w:p w14:paraId="1B07A638" w14:textId="3333DED8" w:rsidR="00F6327C" w:rsidRDefault="005469C5" w:rsidP="00F6327C">
      <w:pPr>
        <w:spacing w:after="160" w:line="259" w:lineRule="auto"/>
        <w:jc w:val="left"/>
        <w:rPr>
          <w:rFonts w:cs="Times New Roman"/>
          <w:b/>
          <w:bCs/>
          <w:sz w:val="24"/>
          <w:szCs w:val="24"/>
        </w:rPr>
      </w:pPr>
      <w:r>
        <w:rPr>
          <w:noProof/>
        </w:rPr>
        <w:drawing>
          <wp:inline distT="0" distB="0" distL="0" distR="0" wp14:anchorId="67F8E13A" wp14:editId="14AE5EF7">
            <wp:extent cx="5834380" cy="3629660"/>
            <wp:effectExtent l="0" t="0" r="0" b="8890"/>
            <wp:docPr id="1932677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77720" name=""/>
                    <pic:cNvPicPr/>
                  </pic:nvPicPr>
                  <pic:blipFill>
                    <a:blip r:embed="rId6"/>
                    <a:stretch>
                      <a:fillRect/>
                    </a:stretch>
                  </pic:blipFill>
                  <pic:spPr>
                    <a:xfrm>
                      <a:off x="0" y="0"/>
                      <a:ext cx="5834380" cy="3629660"/>
                    </a:xfrm>
                    <a:prstGeom prst="rect">
                      <a:avLst/>
                    </a:prstGeom>
                  </pic:spPr>
                </pic:pic>
              </a:graphicData>
            </a:graphic>
          </wp:inline>
        </w:drawing>
      </w:r>
      <w:r w:rsidR="00F6327C" w:rsidRPr="008C2CE3">
        <w:rPr>
          <w:rFonts w:cs="Times New Roman"/>
          <w:b/>
          <w:bCs/>
          <w:sz w:val="24"/>
          <w:szCs w:val="24"/>
        </w:rPr>
        <w:t xml:space="preserve"> </w:t>
      </w:r>
    </w:p>
    <w:p w14:paraId="0C615DB2" w14:textId="328790A4" w:rsidR="00475A46" w:rsidRPr="00475A46" w:rsidRDefault="00475A46" w:rsidP="00F6327C">
      <w:pPr>
        <w:spacing w:after="160" w:line="259" w:lineRule="auto"/>
        <w:jc w:val="left"/>
        <w:rPr>
          <w:rFonts w:cs="Times New Roman"/>
          <w:sz w:val="20"/>
          <w:szCs w:val="20"/>
        </w:rPr>
      </w:pPr>
      <w:r w:rsidRPr="00475A46">
        <w:rPr>
          <w:rFonts w:cs="Times New Roman"/>
          <w:sz w:val="20"/>
          <w:szCs w:val="20"/>
        </w:rPr>
        <w:t xml:space="preserve">Note: </w:t>
      </w:r>
      <w:r w:rsidRPr="00475A46">
        <w:rPr>
          <w:rFonts w:cs="Times New Roman"/>
          <w:sz w:val="20"/>
          <w:szCs w:val="20"/>
        </w:rPr>
        <w:t xml:space="preserve">Among the 12 treated </w:t>
      </w:r>
      <w:r w:rsidRPr="00475A46">
        <w:rPr>
          <w:rFonts w:cs="Times New Roman"/>
          <w:sz w:val="20"/>
          <w:szCs w:val="20"/>
        </w:rPr>
        <w:t xml:space="preserve">patients with </w:t>
      </w:r>
      <w:r w:rsidRPr="00475A46">
        <w:rPr>
          <w:rFonts w:cs="Times New Roman"/>
          <w:sz w:val="20"/>
          <w:szCs w:val="20"/>
        </w:rPr>
        <w:t xml:space="preserve">NSCLC, </w:t>
      </w:r>
      <w:r w:rsidRPr="00475A46">
        <w:rPr>
          <w:rFonts w:cs="Times New Roman"/>
          <w:sz w:val="20"/>
          <w:szCs w:val="20"/>
        </w:rPr>
        <w:t>two were</w:t>
      </w:r>
      <w:r w:rsidRPr="00475A46">
        <w:rPr>
          <w:rFonts w:cs="Times New Roman"/>
          <w:sz w:val="20"/>
          <w:szCs w:val="20"/>
        </w:rPr>
        <w:t xml:space="preserve"> without post-baseline target lesion assessment, thus </w:t>
      </w:r>
      <w:r w:rsidRPr="00475A46">
        <w:rPr>
          <w:rFonts w:cs="Times New Roman"/>
          <w:sz w:val="20"/>
          <w:szCs w:val="20"/>
        </w:rPr>
        <w:t>they were not</w:t>
      </w:r>
      <w:r w:rsidRPr="00475A46">
        <w:rPr>
          <w:rFonts w:cs="Times New Roman"/>
          <w:sz w:val="20"/>
          <w:szCs w:val="20"/>
        </w:rPr>
        <w:t xml:space="preserve"> reflected in this graph</w:t>
      </w:r>
      <w:r w:rsidRPr="00475A46">
        <w:rPr>
          <w:rFonts w:cs="Times New Roman"/>
          <w:sz w:val="20"/>
          <w:szCs w:val="20"/>
        </w:rPr>
        <w:t xml:space="preserve"> (one</w:t>
      </w:r>
      <w:r w:rsidRPr="00475A46">
        <w:rPr>
          <w:rFonts w:cs="Times New Roman"/>
          <w:sz w:val="20"/>
          <w:szCs w:val="20"/>
        </w:rPr>
        <w:t xml:space="preserve"> </w:t>
      </w:r>
      <w:r w:rsidRPr="00475A46">
        <w:rPr>
          <w:rFonts w:cs="Times New Roman"/>
          <w:sz w:val="20"/>
          <w:szCs w:val="20"/>
        </w:rPr>
        <w:t>patient was</w:t>
      </w:r>
      <w:r w:rsidRPr="00475A46">
        <w:rPr>
          <w:rFonts w:cs="Times New Roman"/>
          <w:sz w:val="20"/>
          <w:szCs w:val="20"/>
        </w:rPr>
        <w:t xml:space="preserve"> </w:t>
      </w:r>
      <w:r w:rsidRPr="00475A46">
        <w:rPr>
          <w:rFonts w:cs="Times New Roman"/>
          <w:sz w:val="20"/>
          <w:szCs w:val="20"/>
        </w:rPr>
        <w:t>not evaluable</w:t>
      </w:r>
      <w:r w:rsidRPr="00475A46">
        <w:rPr>
          <w:rFonts w:cs="Times New Roman"/>
          <w:sz w:val="20"/>
          <w:szCs w:val="20"/>
        </w:rPr>
        <w:t xml:space="preserve"> due to</w:t>
      </w:r>
      <w:r w:rsidR="00413C0F">
        <w:rPr>
          <w:rFonts w:cs="Times New Roman"/>
          <w:sz w:val="20"/>
          <w:szCs w:val="20"/>
        </w:rPr>
        <w:t xml:space="preserve"> study</w:t>
      </w:r>
      <w:r w:rsidRPr="00475A46">
        <w:rPr>
          <w:rFonts w:cs="Times New Roman"/>
          <w:sz w:val="20"/>
          <w:szCs w:val="20"/>
        </w:rPr>
        <w:t xml:space="preserve"> withdrawal before the </w:t>
      </w:r>
      <w:r w:rsidRPr="00475A46">
        <w:rPr>
          <w:rFonts w:cs="Times New Roman"/>
          <w:sz w:val="20"/>
          <w:szCs w:val="20"/>
        </w:rPr>
        <w:t>first</w:t>
      </w:r>
      <w:r w:rsidRPr="00475A46">
        <w:rPr>
          <w:rFonts w:cs="Times New Roman"/>
          <w:sz w:val="20"/>
          <w:szCs w:val="20"/>
        </w:rPr>
        <w:t xml:space="preserve"> scheduled post-baseline disease assessment and</w:t>
      </w:r>
      <w:r w:rsidRPr="00475A46">
        <w:rPr>
          <w:rFonts w:cs="Times New Roman"/>
          <w:sz w:val="20"/>
          <w:szCs w:val="20"/>
        </w:rPr>
        <w:t xml:space="preserve"> the other </w:t>
      </w:r>
      <w:r w:rsidRPr="00475A46">
        <w:rPr>
          <w:rFonts w:cs="Times New Roman"/>
          <w:sz w:val="20"/>
          <w:szCs w:val="20"/>
        </w:rPr>
        <w:t>had progressive disease due to</w:t>
      </w:r>
      <w:r w:rsidR="00413C0F">
        <w:rPr>
          <w:rFonts w:cs="Times New Roman"/>
          <w:sz w:val="20"/>
          <w:szCs w:val="20"/>
        </w:rPr>
        <w:t xml:space="preserve"> a</w:t>
      </w:r>
      <w:r w:rsidRPr="00475A46">
        <w:rPr>
          <w:rFonts w:cs="Times New Roman"/>
          <w:sz w:val="20"/>
          <w:szCs w:val="20"/>
        </w:rPr>
        <w:t xml:space="preserve"> new lesion </w:t>
      </w:r>
      <w:r w:rsidRPr="00475A46">
        <w:rPr>
          <w:rFonts w:cs="Times New Roman"/>
          <w:sz w:val="20"/>
          <w:szCs w:val="20"/>
        </w:rPr>
        <w:t>discovered during an</w:t>
      </w:r>
      <w:r w:rsidRPr="00475A46">
        <w:rPr>
          <w:rFonts w:cs="Times New Roman"/>
          <w:sz w:val="20"/>
          <w:szCs w:val="20"/>
        </w:rPr>
        <w:t xml:space="preserve"> unscheduled visit before the </w:t>
      </w:r>
      <w:r w:rsidR="00413C0F">
        <w:rPr>
          <w:rFonts w:cs="Times New Roman"/>
          <w:sz w:val="20"/>
          <w:szCs w:val="20"/>
        </w:rPr>
        <w:t>first</w:t>
      </w:r>
      <w:r w:rsidRPr="00475A46">
        <w:rPr>
          <w:rFonts w:cs="Times New Roman"/>
          <w:sz w:val="20"/>
          <w:szCs w:val="20"/>
        </w:rPr>
        <w:t xml:space="preserve"> scheduled post-baseline disease evaluation</w:t>
      </w:r>
      <w:r w:rsidRPr="00475A46">
        <w:rPr>
          <w:rFonts w:cs="Times New Roman"/>
          <w:sz w:val="20"/>
          <w:szCs w:val="20"/>
        </w:rPr>
        <w:t>)</w:t>
      </w:r>
      <w:r w:rsidRPr="00475A46">
        <w:rPr>
          <w:rFonts w:cs="Times New Roman"/>
          <w:sz w:val="20"/>
          <w:szCs w:val="20"/>
        </w:rPr>
        <w:t>.</w:t>
      </w:r>
      <w:r>
        <w:rPr>
          <w:rFonts w:cs="Times New Roman"/>
          <w:sz w:val="20"/>
          <w:szCs w:val="20"/>
        </w:rPr>
        <w:t xml:space="preserve"> Three patients had stable disease. Among them, one had</w:t>
      </w:r>
      <w:r w:rsidR="00413C0F">
        <w:rPr>
          <w:rFonts w:cs="Times New Roman"/>
          <w:sz w:val="20"/>
          <w:szCs w:val="20"/>
        </w:rPr>
        <w:t xml:space="preserve"> a </w:t>
      </w:r>
      <w:r>
        <w:rPr>
          <w:rFonts w:cs="Times New Roman"/>
          <w:sz w:val="20"/>
          <w:szCs w:val="20"/>
        </w:rPr>
        <w:t xml:space="preserve">maximal reduction from baseline </w:t>
      </w:r>
      <w:r w:rsidRPr="00475A46">
        <w:rPr>
          <w:rFonts w:cs="Times New Roman"/>
          <w:sz w:val="20"/>
          <w:szCs w:val="20"/>
        </w:rPr>
        <w:t>of sum of target lesion</w:t>
      </w:r>
      <w:r>
        <w:rPr>
          <w:rFonts w:cs="Times New Roman"/>
          <w:sz w:val="20"/>
          <w:szCs w:val="20"/>
        </w:rPr>
        <w:t xml:space="preserve"> </w:t>
      </w:r>
      <w:r w:rsidR="00413C0F">
        <w:rPr>
          <w:rFonts w:cs="Times New Roman"/>
          <w:sz w:val="20"/>
          <w:szCs w:val="20"/>
        </w:rPr>
        <w:t>of</w:t>
      </w:r>
      <w:r>
        <w:rPr>
          <w:rFonts w:cs="Times New Roman"/>
          <w:sz w:val="20"/>
          <w:szCs w:val="20"/>
        </w:rPr>
        <w:t xml:space="preserve"> 0%.</w:t>
      </w:r>
    </w:p>
    <w:p w14:paraId="3CFB5733" w14:textId="77777777" w:rsidR="00B54730" w:rsidRPr="00475A46" w:rsidRDefault="00B54730">
      <w:pPr>
        <w:rPr>
          <w:sz w:val="20"/>
          <w:szCs w:val="18"/>
        </w:rPr>
      </w:pPr>
    </w:p>
    <w:sectPr w:rsidR="00B54730" w:rsidRPr="00475A46" w:rsidSect="00B36677">
      <w:pgSz w:w="12240" w:h="15840"/>
      <w:pgMar w:top="1310" w:right="1526" w:bottom="1310" w:left="152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E11AF"/>
    <w:multiLevelType w:val="hybridMultilevel"/>
    <w:tmpl w:val="31D8A638"/>
    <w:lvl w:ilvl="0" w:tplc="D5ACE0AE">
      <w:start w:val="6"/>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96E16"/>
    <w:multiLevelType w:val="hybridMultilevel"/>
    <w:tmpl w:val="7062CBE2"/>
    <w:lvl w:ilvl="0" w:tplc="E5045E34">
      <w:start w:val="1"/>
      <w:numFmt w:val="decimal"/>
      <w:lvlText w:val="%1."/>
      <w:lvlJc w:val="left"/>
      <w:pPr>
        <w:ind w:left="360" w:hanging="360"/>
      </w:pPr>
      <w:rPr>
        <w:rFonts w:hint="default"/>
      </w:rPr>
    </w:lvl>
    <w:lvl w:ilvl="1" w:tplc="6ECC09E0">
      <w:start w:val="1"/>
      <w:numFmt w:val="bullet"/>
      <w:lvlText w:val="−"/>
      <w:lvlJc w:val="left"/>
      <w:pPr>
        <w:ind w:left="1080" w:hanging="360"/>
      </w:pPr>
      <w:rPr>
        <w:rFonts w:ascii="Trebuchet MS" w:hAnsi="Trebuchet M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2D8103A"/>
    <w:multiLevelType w:val="hybridMultilevel"/>
    <w:tmpl w:val="21DEB2D6"/>
    <w:lvl w:ilvl="0" w:tplc="5C1861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F84A23"/>
    <w:multiLevelType w:val="hybridMultilevel"/>
    <w:tmpl w:val="7D7A4A56"/>
    <w:lvl w:ilvl="0" w:tplc="04090001">
      <w:start w:val="1"/>
      <w:numFmt w:val="bullet"/>
      <w:lvlText w:val=""/>
      <w:lvlJc w:val="left"/>
      <w:pPr>
        <w:ind w:left="720" w:hanging="360"/>
      </w:pPr>
      <w:rPr>
        <w:rFonts w:ascii="Symbol" w:hAnsi="Symbol" w:hint="default"/>
      </w:rPr>
    </w:lvl>
    <w:lvl w:ilvl="1" w:tplc="291CA514">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63285">
    <w:abstractNumId w:val="1"/>
  </w:num>
  <w:num w:numId="2" w16cid:durableId="1007055384">
    <w:abstractNumId w:val="2"/>
  </w:num>
  <w:num w:numId="3" w16cid:durableId="1138034175">
    <w:abstractNumId w:val="0"/>
  </w:num>
  <w:num w:numId="4" w16cid:durableId="704019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7C"/>
    <w:rsid w:val="003A19A1"/>
    <w:rsid w:val="00413C0F"/>
    <w:rsid w:val="00475A46"/>
    <w:rsid w:val="005469C5"/>
    <w:rsid w:val="00B54730"/>
    <w:rsid w:val="00E70F04"/>
    <w:rsid w:val="00F63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E812"/>
  <w15:chartTrackingRefBased/>
  <w15:docId w15:val="{78900789-1F93-43FC-8497-4ED97434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F6327C"/>
    <w:pPr>
      <w:spacing w:after="120" w:line="480" w:lineRule="auto"/>
      <w:jc w:val="both"/>
    </w:pPr>
    <w:rPr>
      <w:rFonts w:ascii="Times New Roman" w:eastAsia="MS Mincho" w:hAnsi="Times New Roman" w:cs="Arial"/>
      <w:sz w:val="23"/>
      <w:lang w:eastAsia="ja-JP"/>
    </w:rPr>
  </w:style>
  <w:style w:type="paragraph" w:styleId="Heading1">
    <w:name w:val="heading 1"/>
    <w:basedOn w:val="Normal"/>
    <w:next w:val="Normal"/>
    <w:link w:val="Heading1Char"/>
    <w:qFormat/>
    <w:rsid w:val="00F6327C"/>
    <w:pPr>
      <w:keepNext/>
      <w:keepLines/>
      <w:shd w:val="clear" w:color="auto" w:fill="FFFFFF"/>
      <w:spacing w:before="240" w:after="0"/>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27C"/>
    <w:rPr>
      <w:rFonts w:ascii="Times New Roman" w:eastAsia="MS Mincho" w:hAnsi="Times New Roman" w:cs="Arial"/>
      <w:b/>
      <w:sz w:val="26"/>
      <w:szCs w:val="28"/>
      <w:shd w:val="clear" w:color="auto" w:fill="FFFFFF"/>
      <w:lang w:eastAsia="ja-JP"/>
    </w:rPr>
  </w:style>
  <w:style w:type="table" w:styleId="TableGrid">
    <w:name w:val="Table Grid"/>
    <w:basedOn w:val="TableNormal"/>
    <w:uiPriority w:val="59"/>
    <w:qFormat/>
    <w:rsid w:val="00F6327C"/>
    <w:pPr>
      <w:spacing w:after="0" w:line="240" w:lineRule="auto"/>
    </w:pPr>
    <w:rPr>
      <w:rFonts w:ascii="Times New Roman" w:eastAsia="MS Mincho"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6327C"/>
    <w:pPr>
      <w:ind w:left="720"/>
      <w:contextualSpacing/>
    </w:pPr>
  </w:style>
  <w:style w:type="character" w:customStyle="1" w:styleId="ListParagraphChar">
    <w:name w:val="List Paragraph Char"/>
    <w:basedOn w:val="DefaultParagraphFont"/>
    <w:link w:val="ListParagraph"/>
    <w:uiPriority w:val="34"/>
    <w:qFormat/>
    <w:rsid w:val="00F6327C"/>
    <w:rPr>
      <w:rFonts w:ascii="Times New Roman" w:eastAsia="MS Mincho" w:hAnsi="Times New Roman" w:cs="Arial"/>
      <w:sz w:val="23"/>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1995</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Lawrence</dc:creator>
  <cp:keywords/>
  <dc:description/>
  <cp:lastModifiedBy>Parexel_LL</cp:lastModifiedBy>
  <cp:revision>3</cp:revision>
  <dcterms:created xsi:type="dcterms:W3CDTF">2023-08-29T05:32:00Z</dcterms:created>
  <dcterms:modified xsi:type="dcterms:W3CDTF">2024-06-06T13:20:00Z</dcterms:modified>
</cp:coreProperties>
</file>