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Arial" w:cs="Arial"/>
          <w:b/>
          <w:bCs/>
          <w:szCs w:val="21"/>
        </w:rPr>
      </w:pPr>
      <w:r>
        <w:rPr>
          <w:rFonts w:hint="eastAsia" w:ascii="Arial" w:hAnsi="Arial" w:cs="Arial"/>
          <w:b/>
          <w:bCs/>
          <w:szCs w:val="21"/>
        </w:rPr>
        <w:t>T</w:t>
      </w:r>
      <w:r>
        <w:rPr>
          <w:rFonts w:ascii="Arial" w:hAnsi="Arial" w:cs="Arial"/>
          <w:b/>
          <w:bCs/>
          <w:szCs w:val="21"/>
        </w:rPr>
        <w:t xml:space="preserve">able </w:t>
      </w:r>
      <w:r>
        <w:rPr>
          <w:rFonts w:hint="eastAsia" w:ascii="Arial" w:hAnsi="Arial" w:cs="Arial"/>
          <w:b/>
          <w:bCs/>
          <w:szCs w:val="21"/>
        </w:rPr>
        <w:t>S3</w:t>
      </w:r>
      <w:r>
        <w:rPr>
          <w:rFonts w:ascii="Arial" w:hAnsi="Arial" w:cs="Arial"/>
          <w:b/>
          <w:bCs/>
          <w:szCs w:val="21"/>
        </w:rPr>
        <w:t>. Univariate and multivariate analyses of CFS in mHSPC cohort.</w:t>
      </w:r>
    </w:p>
    <w:tbl>
      <w:tblPr>
        <w:tblStyle w:val="6"/>
        <w:tblW w:w="13887" w:type="dxa"/>
        <w:tblInd w:w="0" w:type="dxa"/>
        <w:tblBorders>
          <w:top w:val="single" w:color="A5A5A5" w:themeColor="accent3" w:sz="4" w:space="0"/>
          <w:left w:val="none" w:color="auto" w:sz="0" w:space="0"/>
          <w:bottom w:val="single" w:color="A5A5A5" w:themeColor="accent3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2977"/>
        <w:gridCol w:w="2268"/>
        <w:gridCol w:w="2977"/>
        <w:gridCol w:w="2693"/>
      </w:tblGrid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top w:val="single" w:color="auto" w:sz="12" w:space="0"/>
              <w:bottom w:val="nil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45" w:type="dxa"/>
            <w:gridSpan w:val="2"/>
            <w:tcBorders>
              <w:top w:val="single" w:color="auto" w:sz="12" w:space="0"/>
              <w:bottom w:val="nil"/>
            </w:tcBorders>
          </w:tcPr>
          <w:p>
            <w:pPr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Univariate analysis</w:t>
            </w:r>
          </w:p>
        </w:tc>
        <w:tc>
          <w:tcPr>
            <w:tcW w:w="5670" w:type="dxa"/>
            <w:gridSpan w:val="2"/>
            <w:tcBorders>
              <w:top w:val="single" w:color="auto" w:sz="12" w:space="0"/>
              <w:bottom w:val="nil"/>
            </w:tcBorders>
          </w:tcPr>
          <w:p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Multivariate analysis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top w:val="nil"/>
              <w:bottom w:val="single" w:color="auto" w:sz="12" w:space="0"/>
            </w:tcBorders>
            <w:shd w:val="clear" w:color="auto" w:fill="ECECEC" w:themeFill="accent3" w:themeFillTint="33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nil"/>
              <w:bottom w:val="single" w:color="auto" w:sz="12" w:space="0"/>
            </w:tcBorders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HR (95% CI)</w:t>
            </w:r>
          </w:p>
        </w:tc>
        <w:tc>
          <w:tcPr>
            <w:tcW w:w="2268" w:type="dxa"/>
            <w:tcBorders>
              <w:top w:val="nil"/>
              <w:bottom w:val="single" w:color="auto" w:sz="12" w:space="0"/>
            </w:tcBorders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2977" w:type="dxa"/>
            <w:tcBorders>
              <w:top w:val="nil"/>
              <w:bottom w:val="single" w:color="auto" w:sz="12" w:space="0"/>
            </w:tcBorders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HR (95% CI)</w:t>
            </w:r>
          </w:p>
        </w:tc>
        <w:tc>
          <w:tcPr>
            <w:tcW w:w="2693" w:type="dxa"/>
            <w:tcBorders>
              <w:top w:val="nil"/>
              <w:bottom w:val="single" w:color="auto" w:sz="12" w:space="0"/>
            </w:tcBorders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top w:val="single" w:color="auto" w:sz="12" w:space="0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Age (y), </w:t>
            </w:r>
            <w:r>
              <w:rPr>
                <w:rFonts w:ascii="Arial" w:hAnsi="Arial" w:cs="Arial" w:eastAsiaTheme="minorHAnsi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72 vs. &lt;72</w:t>
            </w:r>
          </w:p>
        </w:tc>
        <w:tc>
          <w:tcPr>
            <w:tcW w:w="2977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0.84 (0.67-1.04)</w:t>
            </w:r>
          </w:p>
        </w:tc>
        <w:tc>
          <w:tcPr>
            <w:tcW w:w="2268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0.111</w:t>
            </w:r>
          </w:p>
        </w:tc>
        <w:tc>
          <w:tcPr>
            <w:tcW w:w="2977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693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ECECEC" w:themeFill="accent3" w:themeFillTint="33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ECOG, ≥2 vs. &lt;0-1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1.29 (0.94-1.77)</w:t>
            </w:r>
          </w:p>
        </w:tc>
        <w:tc>
          <w:tcPr>
            <w:tcW w:w="2268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0.110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693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ISUP group, 5 vs. 1-3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2.06 (1.49-2.85)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1.96 (1.41-2.73)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ECECEC" w:themeFill="accent3" w:themeFillTint="33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ISUP group, 5 vs. 4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1.71 (1.26-2.31)</w:t>
            </w:r>
          </w:p>
        </w:tc>
        <w:tc>
          <w:tcPr>
            <w:tcW w:w="2268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1.63 (1.20-2.21)</w:t>
            </w:r>
          </w:p>
        </w:tc>
        <w:tc>
          <w:tcPr>
            <w:tcW w:w="2693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VM, yes vs. no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1.28 (0.92-1.78)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0.146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ECECEC" w:themeFill="accent3" w:themeFillTint="33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PSA (ng/ml), </w:t>
            </w:r>
            <w:r>
              <w:rPr>
                <w:rFonts w:ascii="Arial" w:hAnsi="Arial" w:cs="Arial" w:eastAsiaTheme="minorHAnsi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ascii="Arial" w:hAnsi="Arial" w:eastAsia="宋体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ascii="Arial" w:hAnsi="Arial" w:cs="Arial" w:eastAsiaTheme="minorHAnsi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vs. &lt;</w:t>
            </w:r>
            <w:r>
              <w:rPr>
                <w:rFonts w:ascii="Arial" w:hAnsi="Arial" w:eastAsia="宋体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1.27 (1.01-1.59)</w:t>
            </w:r>
          </w:p>
        </w:tc>
        <w:tc>
          <w:tcPr>
            <w:tcW w:w="2268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0.040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1.06 (0.84-1.33)</w:t>
            </w:r>
          </w:p>
        </w:tc>
        <w:tc>
          <w:tcPr>
            <w:tcW w:w="2693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0.645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 w:eastAsiaTheme="minorHAnsi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HGB (g/L), &lt;120 vs. ≥120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2.43 (1.92-3.09)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1.81 (1.39-2.35)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ECECEC" w:themeFill="accent3" w:themeFillTint="33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ALP </w:t>
            </w:r>
            <w:r>
              <w:rPr>
                <w:rFonts w:ascii="Arial" w:hAnsi="Arial" w:cs="Arial" w:eastAsiaTheme="minorHAnsi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(IU/L)</w:t>
            </w: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Arial" w:hAnsi="Arial" w:cs="Arial" w:eastAsiaTheme="minorHAnsi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≥160 vs. &lt;160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2.32 (1.83-2.93)</w:t>
            </w:r>
          </w:p>
        </w:tc>
        <w:tc>
          <w:tcPr>
            <w:tcW w:w="2268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1.59 (1.22-2.08)</w:t>
            </w:r>
          </w:p>
        </w:tc>
        <w:tc>
          <w:tcPr>
            <w:tcW w:w="2693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LDH </w:t>
            </w:r>
            <w:r>
              <w:rPr>
                <w:rFonts w:ascii="Arial" w:hAnsi="Arial" w:cs="Arial" w:eastAsiaTheme="minorHAnsi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(IU/L)</w:t>
            </w: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Arial" w:hAnsi="Arial" w:cs="Arial" w:eastAsiaTheme="minorHAnsi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≥220 vs. &lt;220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2.50 (2.00-3.13)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1.78 (1.39-2.28)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ECECEC" w:themeFill="accent3" w:themeFillTint="33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NLR, ≥2.55 vs. &lt;2.55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1.63 (1.30-2.03)</w:t>
            </w:r>
          </w:p>
        </w:tc>
        <w:tc>
          <w:tcPr>
            <w:tcW w:w="2268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1.44 (1.15-1.81)</w:t>
            </w:r>
          </w:p>
        </w:tc>
        <w:tc>
          <w:tcPr>
            <w:tcW w:w="2693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0.002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dNLR, ≥2.03 vs. &lt;2.03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1.60 (1.28-1.99)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1.43 (1.15-1.80)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0.002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ECECEC" w:themeFill="accent3" w:themeFillTint="33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LMR, ≥3.74 vs. &lt;3.74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0.73 (0.59-0.91)</w:t>
            </w:r>
          </w:p>
        </w:tc>
        <w:tc>
          <w:tcPr>
            <w:tcW w:w="2268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0.005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0.84 (0.67-1.05)</w:t>
            </w:r>
          </w:p>
        </w:tc>
        <w:tc>
          <w:tcPr>
            <w:tcW w:w="2693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0.133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PLR</w:t>
            </w:r>
            <w:r>
              <w:rPr>
                <w:rFonts w:ascii="Arial" w:hAnsi="Arial" w:cs="Arial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≥163.22 vs. &lt;163.22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1.58 (1.24-2.01)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1.24 (0.97-1.59)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0.093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ECECEC" w:themeFill="accent3" w:themeFillTint="33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SII, ≥449.49 vs. &lt;449.49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1.54 (1.24-1.93)</w:t>
            </w:r>
          </w:p>
        </w:tc>
        <w:tc>
          <w:tcPr>
            <w:tcW w:w="2268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977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1.35 (1.08-1.70)</w:t>
            </w:r>
          </w:p>
        </w:tc>
        <w:tc>
          <w:tcPr>
            <w:tcW w:w="2693" w:type="dxa"/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0.009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eastAsia="宋体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SIRI, ≥1.28 vs. &lt;1.28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1.59 (1.27-1.98)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1.45 (1.16-1.81)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bottom w:val="nil"/>
            </w:tcBorders>
            <w:shd w:val="clear" w:color="auto" w:fill="ECECEC" w:themeFill="accent3" w:themeFillTint="33"/>
          </w:tcPr>
          <w:p>
            <w:pPr>
              <w:jc w:val="left"/>
              <w:rPr>
                <w:rFonts w:ascii="Arial" w:hAnsi="Arial" w:cs="Arial" w:eastAsiaTheme="minorHAnsi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LIPI-Poor vs. Good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5.29 (3.82-7.30)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5.81 (3.70-9.09)</w:t>
            </w:r>
          </w:p>
        </w:tc>
        <w:tc>
          <w:tcPr>
            <w:tcW w:w="2693" w:type="dxa"/>
            <w:tcBorders>
              <w:bottom w:val="nil"/>
            </w:tcBorders>
            <w:shd w:val="clear" w:color="auto" w:fill="ECECEC" w:themeFill="accent3" w:themeFillTint="33"/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&lt;0.001*</w:t>
            </w:r>
          </w:p>
        </w:tc>
      </w:tr>
      <w:tr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top w:val="nil"/>
              <w:bottom w:val="single" w:color="auto" w:sz="12" w:space="0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LIPI-Poor vs. Inter.</w:t>
            </w:r>
          </w:p>
        </w:tc>
        <w:tc>
          <w:tcPr>
            <w:tcW w:w="2977" w:type="dxa"/>
            <w:tcBorders>
              <w:top w:val="nil"/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2.72 (1.97-3.75)</w:t>
            </w:r>
          </w:p>
        </w:tc>
        <w:tc>
          <w:tcPr>
            <w:tcW w:w="2268" w:type="dxa"/>
            <w:tcBorders>
              <w:top w:val="nil"/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2977" w:type="dxa"/>
            <w:tcBorders>
              <w:top w:val="nil"/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2.64 (1.75-3.97)</w:t>
            </w:r>
          </w:p>
        </w:tc>
        <w:tc>
          <w:tcPr>
            <w:tcW w:w="2693" w:type="dxa"/>
            <w:tcBorders>
              <w:top w:val="nil"/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&lt;0.001*</w:t>
            </w:r>
          </w:p>
        </w:tc>
      </w:tr>
    </w:tbl>
    <w:p>
      <w:pPr>
        <w:rPr>
          <w:rFonts w:ascii="Arial" w:hAnsi="Arial" w:cs="Arial"/>
          <w:szCs w:val="21"/>
        </w:rPr>
      </w:pPr>
      <w:r>
        <w:rPr>
          <w:rFonts w:hint="eastAsia" w:ascii="Arial" w:hAnsi="Arial" w:cs="Arial"/>
          <w:szCs w:val="21"/>
          <w:lang w:val="en-US" w:eastAsia="zh-CN"/>
        </w:rPr>
        <w:t xml:space="preserve">y = year; </w:t>
      </w:r>
      <w:r>
        <w:rPr>
          <w:rFonts w:ascii="Arial" w:hAnsi="Arial" w:cs="Arial"/>
          <w:szCs w:val="21"/>
        </w:rPr>
        <w:t xml:space="preserve">mHSPC = metastatic hormone-sensitive prostate cancer; CFS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castration-resistant prostate cancer-free survival</w:t>
      </w:r>
      <w:r>
        <w:rPr>
          <w:rFonts w:ascii="Arial" w:hAnsi="Arial" w:cs="Arial"/>
          <w:szCs w:val="21"/>
        </w:rPr>
        <w:t xml:space="preserve">; HR = hazard ratio; CI = confidence interval; ECOG = Eastern Cooperative Oncology Group; ISUP = International Society of Urological Pathology; VM = Visceral metastasis; PSA = prostate-specific antigen; HGB = hemoglobin; ALP = alkaline phosphatase; LDH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lactate dehydrogenase</w:t>
      </w:r>
      <w:r>
        <w:rPr>
          <w:rFonts w:ascii="Arial" w:hAnsi="Arial" w:cs="Arial"/>
          <w:szCs w:val="21"/>
        </w:rPr>
        <w:t xml:space="preserve">; NLR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neutrophil to lymphocyte ratio</w:t>
      </w:r>
      <w:r>
        <w:rPr>
          <w:rFonts w:ascii="Arial" w:hAnsi="Arial" w:cs="Arial"/>
          <w:szCs w:val="21"/>
        </w:rPr>
        <w:t xml:space="preserve">; dNLR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der</w:t>
      </w:r>
      <w:bookmarkStart w:id="0" w:name="_GoBack"/>
      <w:bookmarkEnd w:id="0"/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ived neutrophil to lymphocyte ratio</w:t>
      </w:r>
      <w:r>
        <w:rPr>
          <w:rFonts w:ascii="Arial" w:hAnsi="Arial" w:cs="Arial"/>
          <w:szCs w:val="21"/>
        </w:rPr>
        <w:t xml:space="preserve">; LMR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lymphocyte to monocyte ratio</w:t>
      </w:r>
      <w:r>
        <w:rPr>
          <w:rFonts w:ascii="Arial" w:hAnsi="Arial" w:cs="Arial"/>
          <w:szCs w:val="21"/>
        </w:rPr>
        <w:t xml:space="preserve">; PLR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platelet to lymphocyte ratio</w:t>
      </w:r>
      <w:r>
        <w:rPr>
          <w:rFonts w:ascii="Arial" w:hAnsi="Arial" w:cs="Arial"/>
          <w:szCs w:val="21"/>
        </w:rPr>
        <w:t xml:space="preserve">; SII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systemic immune inflammation index</w:t>
      </w:r>
      <w:r>
        <w:rPr>
          <w:rFonts w:ascii="Arial" w:hAnsi="Arial" w:cs="Arial"/>
          <w:szCs w:val="21"/>
        </w:rPr>
        <w:t xml:space="preserve">; SIRI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systemic inflammation response index</w:t>
      </w:r>
      <w:r>
        <w:rPr>
          <w:rFonts w:ascii="Arial" w:hAnsi="Arial" w:cs="Arial"/>
          <w:szCs w:val="21"/>
        </w:rPr>
        <w:t xml:space="preserve">; LIPI: </w:t>
      </w:r>
      <w:r>
        <w:rPr>
          <w:rFonts w:hint="eastAsia" w:ascii="Arial" w:hAnsi="Arial" w:cs="Arial"/>
          <w:szCs w:val="21"/>
        </w:rPr>
        <w:t>l</w:t>
      </w:r>
      <w:r>
        <w:rPr>
          <w:rFonts w:ascii="Arial" w:hAnsi="Arial" w:cs="Arial"/>
          <w:szCs w:val="21"/>
        </w:rPr>
        <w:t xml:space="preserve">ung </w:t>
      </w:r>
      <w:r>
        <w:rPr>
          <w:rFonts w:hint="eastAsia" w:ascii="Arial" w:hAnsi="Arial" w:cs="Arial"/>
          <w:szCs w:val="21"/>
        </w:rPr>
        <w:t>i</w:t>
      </w:r>
      <w:r>
        <w:rPr>
          <w:rFonts w:ascii="Arial" w:hAnsi="Arial" w:cs="Arial"/>
          <w:szCs w:val="21"/>
        </w:rPr>
        <w:t xml:space="preserve">mmune </w:t>
      </w:r>
      <w:r>
        <w:rPr>
          <w:rFonts w:hint="eastAsia" w:ascii="Arial" w:hAnsi="Arial" w:cs="Arial"/>
          <w:szCs w:val="21"/>
        </w:rPr>
        <w:t>p</w:t>
      </w:r>
      <w:r>
        <w:rPr>
          <w:rFonts w:ascii="Arial" w:hAnsi="Arial" w:cs="Arial"/>
          <w:szCs w:val="21"/>
        </w:rPr>
        <w:t xml:space="preserve">rognostic </w:t>
      </w:r>
      <w:r>
        <w:rPr>
          <w:rFonts w:hint="eastAsia" w:ascii="Arial" w:hAnsi="Arial" w:cs="Arial"/>
          <w:szCs w:val="21"/>
        </w:rPr>
        <w:t>i</w:t>
      </w:r>
      <w:r>
        <w:rPr>
          <w:rFonts w:ascii="Arial" w:hAnsi="Arial" w:cs="Arial"/>
          <w:szCs w:val="21"/>
        </w:rPr>
        <w:t xml:space="preserve">ndex. </w:t>
      </w:r>
      <w:r>
        <w:rPr>
          <w:rFonts w:ascii="Arial" w:hAnsi="Arial" w:cs="Arial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#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Adjusted for ISUP, PSA, HGB, ALP and LDH.</w:t>
      </w:r>
      <w:r>
        <w:rPr>
          <w:rFonts w:ascii="Arial" w:hAnsi="Arial" w:cs="Arial"/>
          <w:szCs w:val="21"/>
        </w:rPr>
        <w:t xml:space="preserve"> *: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Adjusted for ISUP, PSA, HGB and ALP.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0NGY3YThhODExYWNkY2VkNGE1MGI3ZGMwZjA5NDgifQ=="/>
    <w:docVar w:name="KSO_WPS_MARK_KEY" w:val="f63b0542-8059-47e6-bc96-197a3d23cd69"/>
  </w:docVars>
  <w:rsids>
    <w:rsidRoot w:val="00B337C2"/>
    <w:rsid w:val="0002375D"/>
    <w:rsid w:val="00174206"/>
    <w:rsid w:val="001936E8"/>
    <w:rsid w:val="001B3CFC"/>
    <w:rsid w:val="002337C8"/>
    <w:rsid w:val="002B7885"/>
    <w:rsid w:val="003E49C8"/>
    <w:rsid w:val="0046161B"/>
    <w:rsid w:val="004915F5"/>
    <w:rsid w:val="004C0575"/>
    <w:rsid w:val="005158A4"/>
    <w:rsid w:val="00534392"/>
    <w:rsid w:val="00580A84"/>
    <w:rsid w:val="0059579A"/>
    <w:rsid w:val="005966B8"/>
    <w:rsid w:val="00715C54"/>
    <w:rsid w:val="00720F19"/>
    <w:rsid w:val="007829F9"/>
    <w:rsid w:val="008607C5"/>
    <w:rsid w:val="00876F04"/>
    <w:rsid w:val="00932366"/>
    <w:rsid w:val="009776B9"/>
    <w:rsid w:val="00993CFB"/>
    <w:rsid w:val="00A32B88"/>
    <w:rsid w:val="00A51A29"/>
    <w:rsid w:val="00AA0CF3"/>
    <w:rsid w:val="00AB0E36"/>
    <w:rsid w:val="00B00B4A"/>
    <w:rsid w:val="00B337C2"/>
    <w:rsid w:val="00B37A90"/>
    <w:rsid w:val="00B63C73"/>
    <w:rsid w:val="00B82E62"/>
    <w:rsid w:val="00B97641"/>
    <w:rsid w:val="00BC657A"/>
    <w:rsid w:val="00C62225"/>
    <w:rsid w:val="00C92540"/>
    <w:rsid w:val="00CF0E09"/>
    <w:rsid w:val="00D23447"/>
    <w:rsid w:val="00D51040"/>
    <w:rsid w:val="00D8139A"/>
    <w:rsid w:val="00DA6401"/>
    <w:rsid w:val="00DB46A0"/>
    <w:rsid w:val="00DD0E5F"/>
    <w:rsid w:val="00DD30AB"/>
    <w:rsid w:val="00DF38D5"/>
    <w:rsid w:val="00E50310"/>
    <w:rsid w:val="00E50A10"/>
    <w:rsid w:val="00E64FA2"/>
    <w:rsid w:val="00E71A74"/>
    <w:rsid w:val="00EB45F4"/>
    <w:rsid w:val="00ED28BB"/>
    <w:rsid w:val="00EE262E"/>
    <w:rsid w:val="00F51743"/>
    <w:rsid w:val="00F66A3B"/>
    <w:rsid w:val="00FE0DC8"/>
    <w:rsid w:val="19731CF9"/>
    <w:rsid w:val="1DB426DD"/>
    <w:rsid w:val="317634C0"/>
    <w:rsid w:val="47B72FDE"/>
    <w:rsid w:val="66FC6DED"/>
    <w:rsid w:val="78FF2F5B"/>
    <w:rsid w:val="7DDC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无格式表格 41"/>
    <w:basedOn w:val="2"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">
    <w:name w:val="清单表 6 彩色 - 着色 31"/>
    <w:basedOn w:val="2"/>
    <w:qFormat/>
    <w:uiPriority w:val="51"/>
    <w:rPr>
      <w:color w:val="7C7C7C" w:themeColor="accent3" w:themeShade="BF"/>
    </w:rPr>
    <w:tblPr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1712</Characters>
  <Lines>14</Lines>
  <Paragraphs>4</Paragraphs>
  <TotalTime>12</TotalTime>
  <ScaleCrop>false</ScaleCrop>
  <LinksUpToDate>false</LinksUpToDate>
  <CharactersWithSpaces>1924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2023-10-24T19:21:00Z</dcterms:created>
  <dc:creator>Zhipeng Wang</dc:creator>
  <cp:lastModifiedBy>lost in lose</cp:lastModifiedBy>
  <dcterms:modified xsi:type="dcterms:W3CDTF">2024-06-29T15:20:18Z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5E588E3643F84924930DE4C8D702E5F0_13</vt:lpwstr>
  </property>
</Properties>
</file>