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471E" w14:textId="7BB23C70" w:rsidR="00047763" w:rsidRDefault="00000000">
      <w:pPr>
        <w:pStyle w:val="Caption"/>
        <w:jc w:val="center"/>
        <w:rPr>
          <w14:ligatures w14:val="none"/>
        </w:rPr>
      </w:pPr>
      <w:r>
        <w:rPr>
          <w:rFonts w:ascii="Times New Roman" w:hAnsi="Times New Roman" w:cs="Times New Roman"/>
          <w:i w:val="0"/>
          <w:iCs w:val="0"/>
          <w:sz w:val="24"/>
          <w:szCs w:val="24"/>
          <w:lang w:eastAsia="en-ZA"/>
        </w:rPr>
        <w:t>SUPPLEMENTARY FIGURES</w:t>
      </w:r>
      <w:r>
        <w:rPr>
          <w14:ligatures w14:val="none"/>
        </w:rPr>
        <w:t xml:space="preserve"> </w:t>
      </w:r>
    </w:p>
    <w:p w14:paraId="6195071D" w14:textId="03392099" w:rsidR="00047763" w:rsidRPr="00627CD1" w:rsidRDefault="00047763">
      <w:pPr>
        <w:pStyle w:val="Caption"/>
        <w:jc w:val="center"/>
        <w:rPr>
          <w:i w:val="0"/>
          <w:iCs w:val="0"/>
          <w14:ligatures w14:val="none"/>
        </w:rPr>
      </w:pPr>
    </w:p>
    <w:p w14:paraId="2D3ECCBC" w14:textId="4D951B40" w:rsidR="00047763" w:rsidRDefault="00047763">
      <w:pPr>
        <w:pStyle w:val="Caption"/>
        <w:jc w:val="center"/>
        <w:rPr>
          <w:i w:val="0"/>
          <w:iCs w:val="0"/>
          <w14:ligatures w14:val="none"/>
        </w:rPr>
      </w:pPr>
    </w:p>
    <w:p w14:paraId="669EA8BB" w14:textId="1AA9CCE3" w:rsidR="00627CD1" w:rsidRPr="00627CD1" w:rsidRDefault="00627CD1" w:rsidP="00627CD1">
      <w:pPr>
        <w:pStyle w:val="Caption"/>
        <w:jc w:val="center"/>
        <w:rPr>
          <w:rFonts w:ascii="Times New Roman" w:hAnsi="Times New Roman" w:cs="Times New Roman"/>
          <w:i w:val="0"/>
          <w:iCs w:val="0"/>
          <w:sz w:val="24"/>
          <w:szCs w:val="24"/>
          <w:lang w:eastAsia="en-ZA"/>
        </w:rPr>
      </w:pPr>
      <w:r>
        <w:rPr>
          <w:noProof/>
          <w14:ligatures w14:val="none"/>
        </w:rPr>
        <w:drawing>
          <wp:inline distT="0" distB="0" distL="0" distR="0" wp14:anchorId="1626D03A" wp14:editId="73D3AD3C">
            <wp:extent cx="6219825" cy="3498565"/>
            <wp:effectExtent l="0" t="0" r="0" b="6985"/>
            <wp:docPr id="10312522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52261" name=""/>
                    <pic:cNvPicPr/>
                  </pic:nvPicPr>
                  <pic:blipFill>
                    <a:blip r:embed="rId7">
                      <a:extLst>
                        <a:ext uri="{96DAC541-7B7A-43D3-8B79-37D633B846F1}">
                          <asvg:svgBlip xmlns:asvg="http://schemas.microsoft.com/office/drawing/2016/SVG/main" r:embed="rId8"/>
                        </a:ext>
                      </a:extLst>
                    </a:blip>
                    <a:stretch>
                      <a:fillRect/>
                    </a:stretch>
                  </pic:blipFill>
                  <pic:spPr>
                    <a:xfrm>
                      <a:off x="0" y="0"/>
                      <a:ext cx="6226967" cy="3502582"/>
                    </a:xfrm>
                    <a:prstGeom prst="rect">
                      <a:avLst/>
                    </a:prstGeom>
                  </pic:spPr>
                </pic:pic>
              </a:graphicData>
            </a:graphic>
          </wp:inline>
        </w:drawing>
      </w:r>
    </w:p>
    <w:p w14:paraId="26E9E8D6" w14:textId="77777777" w:rsidR="00047763" w:rsidRDefault="00047763">
      <w:pPr>
        <w:rPr>
          <w:lang w:eastAsia="en-ZA"/>
        </w:rPr>
      </w:pPr>
    </w:p>
    <w:p w14:paraId="7696280A" w14:textId="77777777" w:rsidR="00047763" w:rsidRDefault="00000000">
      <w:pPr>
        <w:pStyle w:val="Figures"/>
        <w:jc w:val="both"/>
        <w:rPr>
          <w:b w:val="0"/>
          <w:bCs w:val="0"/>
          <w:sz w:val="18"/>
          <w:szCs w:val="18"/>
        </w:rPr>
      </w:pPr>
      <w:bookmarkStart w:id="0" w:name="_Toc107859250"/>
      <w:r>
        <w:rPr>
          <w:sz w:val="18"/>
          <w:szCs w:val="18"/>
        </w:rPr>
        <w:t>Figure S1: Overview of Sample Types and Assays</w:t>
      </w:r>
      <w:r>
        <w:rPr>
          <w:b w:val="0"/>
          <w:bCs w:val="0"/>
          <w:sz w:val="18"/>
          <w:szCs w:val="18"/>
        </w:rPr>
        <w:t>. After Ethics approval and informed consent blood samples collected from 34 PDAC patients, 6 CP patients, and 6 healthy volunteers were processed into serum for NMR and ROS, plasma for Elisa, lysed whole blood for immunophenotyping and PBMCs for Real-Time Polymerase Chain Reaction Analyses. The same sample was used for all analyses although in varied sample sizes. HC; Healthy controls, CP: Chronic Pancreatitis, RPC: Resectable Pancreatic Ductal Adenocarcinoma, LAPC; Locally Advanced Pancreatic Ductal Adenocarcinoma, MPC; Metastatic Pancreatic Ductal Adenocarcinoma</w:t>
      </w:r>
      <w:bookmarkEnd w:id="0"/>
      <w:r>
        <w:rPr>
          <w:b w:val="0"/>
          <w:bCs w:val="0"/>
          <w:sz w:val="18"/>
          <w:szCs w:val="18"/>
        </w:rPr>
        <w:t>.</w:t>
      </w:r>
    </w:p>
    <w:p w14:paraId="798B00B7" w14:textId="77777777" w:rsidR="00047763" w:rsidRDefault="00047763">
      <w:pPr>
        <w:rPr>
          <w:lang w:eastAsia="en-ZA"/>
        </w:rPr>
      </w:pPr>
    </w:p>
    <w:p w14:paraId="64A75AB3" w14:textId="77777777" w:rsidR="00047763" w:rsidRDefault="00047763">
      <w:pPr>
        <w:rPr>
          <w:lang w:eastAsia="en-ZA"/>
        </w:rPr>
      </w:pPr>
    </w:p>
    <w:p w14:paraId="034F665D" w14:textId="77777777" w:rsidR="00047763" w:rsidRDefault="00047763">
      <w:pPr>
        <w:rPr>
          <w:lang w:eastAsia="en-ZA"/>
        </w:rPr>
      </w:pPr>
    </w:p>
    <w:p w14:paraId="1816AF64" w14:textId="77777777" w:rsidR="00047763" w:rsidRDefault="00047763">
      <w:pPr>
        <w:rPr>
          <w:lang w:eastAsia="en-ZA"/>
        </w:rPr>
      </w:pPr>
    </w:p>
    <w:p w14:paraId="39534C3F" w14:textId="77777777" w:rsidR="00047763" w:rsidRDefault="00047763">
      <w:pPr>
        <w:rPr>
          <w:lang w:eastAsia="en-ZA"/>
        </w:rPr>
      </w:pPr>
    </w:p>
    <w:p w14:paraId="4BA0F137" w14:textId="77777777" w:rsidR="00047763" w:rsidRDefault="00047763">
      <w:pPr>
        <w:rPr>
          <w:lang w:eastAsia="en-ZA"/>
        </w:rPr>
      </w:pPr>
    </w:p>
    <w:p w14:paraId="7852AD22" w14:textId="77777777" w:rsidR="00047763" w:rsidRDefault="00047763">
      <w:pPr>
        <w:rPr>
          <w:lang w:eastAsia="en-ZA"/>
        </w:rPr>
      </w:pPr>
    </w:p>
    <w:p w14:paraId="16C8EF9C" w14:textId="77777777" w:rsidR="00047763" w:rsidRDefault="00047763">
      <w:pPr>
        <w:rPr>
          <w:lang w:eastAsia="en-ZA"/>
        </w:rPr>
      </w:pPr>
    </w:p>
    <w:p w14:paraId="359CE9B2" w14:textId="77777777" w:rsidR="00047763" w:rsidRDefault="00047763">
      <w:pPr>
        <w:rPr>
          <w:lang w:eastAsia="en-ZA"/>
        </w:rPr>
      </w:pPr>
    </w:p>
    <w:p w14:paraId="5FBE2A14" w14:textId="77777777" w:rsidR="00047763" w:rsidRDefault="00047763">
      <w:pPr>
        <w:rPr>
          <w:lang w:eastAsia="en-ZA"/>
        </w:rPr>
      </w:pPr>
    </w:p>
    <w:p w14:paraId="6AC784A2" w14:textId="77777777" w:rsidR="00627CD1" w:rsidRDefault="00627CD1">
      <w:pPr>
        <w:rPr>
          <w:lang w:eastAsia="en-ZA"/>
        </w:rPr>
      </w:pPr>
    </w:p>
    <w:p w14:paraId="1BB202B4" w14:textId="77777777" w:rsidR="00627CD1" w:rsidRDefault="00627CD1">
      <w:pPr>
        <w:rPr>
          <w:lang w:eastAsia="en-ZA"/>
        </w:rPr>
      </w:pPr>
    </w:p>
    <w:p w14:paraId="1D6127FF" w14:textId="0369AA09" w:rsidR="00047763" w:rsidRDefault="00627CD1">
      <w:pPr>
        <w:rPr>
          <w:lang w:eastAsia="en-ZA"/>
        </w:rPr>
      </w:pPr>
      <w:r>
        <w:rPr>
          <w:noProof/>
          <w:lang w:eastAsia="en-ZA"/>
        </w:rPr>
        <w:drawing>
          <wp:anchor distT="0" distB="0" distL="0" distR="0" simplePos="0" relativeHeight="5" behindDoc="0" locked="0" layoutInCell="0" allowOverlap="1" wp14:anchorId="23A920C3" wp14:editId="5A61CDEB">
            <wp:simplePos x="0" y="0"/>
            <wp:positionH relativeFrom="column">
              <wp:posOffset>142875</wp:posOffset>
            </wp:positionH>
            <wp:positionV relativeFrom="paragraph">
              <wp:posOffset>286385</wp:posOffset>
            </wp:positionV>
            <wp:extent cx="5731510" cy="3234690"/>
            <wp:effectExtent l="0" t="0" r="2540" b="381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9"/>
                    <a:stretch>
                      <a:fillRect/>
                    </a:stretch>
                  </pic:blipFill>
                  <pic:spPr bwMode="auto">
                    <a:xfrm>
                      <a:off x="0" y="0"/>
                      <a:ext cx="5731510" cy="3234690"/>
                    </a:xfrm>
                    <a:prstGeom prst="rect">
                      <a:avLst/>
                    </a:prstGeom>
                  </pic:spPr>
                </pic:pic>
              </a:graphicData>
            </a:graphic>
          </wp:anchor>
        </w:drawing>
      </w:r>
    </w:p>
    <w:p w14:paraId="3348163D" w14:textId="51DF6D1C" w:rsidR="00047763" w:rsidRDefault="00047763">
      <w:pPr>
        <w:rPr>
          <w:lang w:eastAsia="en-ZA"/>
        </w:rPr>
      </w:pPr>
    </w:p>
    <w:p w14:paraId="54571BAE" w14:textId="77777777" w:rsidR="004415C3" w:rsidRDefault="004415C3">
      <w:pPr>
        <w:jc w:val="both"/>
        <w:rPr>
          <w:rFonts w:ascii="Times New Roman" w:hAnsi="Times New Roman" w:cs="Times New Roman"/>
          <w:b/>
          <w:bCs/>
          <w:sz w:val="20"/>
          <w:szCs w:val="20"/>
          <w:lang w:val="en-GB"/>
        </w:rPr>
      </w:pPr>
    </w:p>
    <w:p w14:paraId="6F89E944" w14:textId="1DB56E59" w:rsidR="00047763" w:rsidRDefault="00000000">
      <w:pPr>
        <w:jc w:val="both"/>
        <w:rPr>
          <w:rFonts w:ascii="Times New Roman" w:hAnsi="Times New Roman" w:cs="Times New Roman"/>
          <w:sz w:val="20"/>
          <w:szCs w:val="20"/>
        </w:rPr>
      </w:pPr>
      <w:r>
        <w:rPr>
          <w:rFonts w:ascii="Times New Roman" w:hAnsi="Times New Roman" w:cs="Times New Roman"/>
          <w:b/>
          <w:bCs/>
          <w:sz w:val="20"/>
          <w:szCs w:val="20"/>
          <w:lang w:val="en-GB"/>
        </w:rPr>
        <w:t>Figure S2:</w:t>
      </w:r>
      <w:r>
        <w:rPr>
          <w:rFonts w:ascii="Times New Roman" w:hAnsi="Times New Roman" w:cs="Times New Roman"/>
          <w:sz w:val="20"/>
          <w:szCs w:val="20"/>
          <w:lang w:val="en-GB"/>
        </w:rPr>
        <w:t xml:space="preserve"> </w:t>
      </w:r>
      <w:r>
        <w:rPr>
          <w:rFonts w:ascii="Times New Roman" w:hAnsi="Times New Roman" w:cs="Times New Roman"/>
          <w:b/>
          <w:bCs/>
          <w:sz w:val="20"/>
          <w:szCs w:val="20"/>
          <w:shd w:val="clear" w:color="auto" w:fill="FFFFFF"/>
        </w:rPr>
        <w:t xml:space="preserve"> Gating strategy of the immune cell markers populations and subsets using FlowJo.</w:t>
      </w:r>
      <w:r>
        <w:rPr>
          <w:rFonts w:ascii="Times New Roman" w:hAnsi="Times New Roman" w:cs="Times New Roman"/>
          <w:sz w:val="20"/>
          <w:szCs w:val="20"/>
          <w:shd w:val="clear" w:color="auto" w:fill="FFFFFF"/>
        </w:rPr>
        <w:t xml:space="preserve"> </w:t>
      </w:r>
      <w:r>
        <w:rPr>
          <w:rFonts w:ascii="Times New Roman" w:hAnsi="Times New Roman" w:cs="Times New Roman"/>
          <w:b/>
          <w:bCs/>
          <w:sz w:val="20"/>
          <w:szCs w:val="20"/>
          <w:shd w:val="clear" w:color="auto" w:fill="FFFFFF"/>
        </w:rPr>
        <w:t>A</w:t>
      </w:r>
      <w:r>
        <w:rPr>
          <w:rFonts w:ascii="Times New Roman" w:hAnsi="Times New Roman" w:cs="Times New Roman"/>
          <w:sz w:val="20"/>
          <w:szCs w:val="20"/>
          <w:shd w:val="clear" w:color="auto" w:fill="FFFFFF"/>
        </w:rPr>
        <w:t xml:space="preserve">. The total number of cell events collected was 100,000. </w:t>
      </w:r>
      <w:r>
        <w:rPr>
          <w:rFonts w:ascii="Times New Roman" w:hAnsi="Times New Roman" w:cs="Times New Roman"/>
          <w:sz w:val="20"/>
          <w:szCs w:val="20"/>
        </w:rPr>
        <w:t>Cells were gated into Singlets (FSC-A versus FSC-H)</w:t>
      </w:r>
      <w:r>
        <w:rPr>
          <w:rFonts w:ascii="Times New Roman" w:hAnsi="Times New Roman" w:cs="Times New Roman"/>
          <w:b/>
          <w:bCs/>
          <w:sz w:val="20"/>
          <w:szCs w:val="20"/>
        </w:rPr>
        <w:t xml:space="preserve"> </w:t>
      </w:r>
      <w:r>
        <w:rPr>
          <w:rFonts w:ascii="Times New Roman" w:hAnsi="Times New Roman" w:cs="Times New Roman"/>
          <w:sz w:val="20"/>
          <w:szCs w:val="20"/>
        </w:rPr>
        <w:t xml:space="preserve">which were further gated to granulocyte and lymphocyte populations. </w:t>
      </w:r>
      <w:r>
        <w:rPr>
          <w:rFonts w:ascii="Times New Roman" w:hAnsi="Times New Roman" w:cs="Times New Roman"/>
          <w:b/>
          <w:bCs/>
          <w:sz w:val="20"/>
          <w:szCs w:val="20"/>
        </w:rPr>
        <w:t>B.</w:t>
      </w:r>
      <w:r>
        <w:rPr>
          <w:rFonts w:ascii="Times New Roman" w:hAnsi="Times New Roman" w:cs="Times New Roman"/>
          <w:sz w:val="20"/>
          <w:szCs w:val="20"/>
        </w:rPr>
        <w:t xml:space="preserve"> Granulocytes are further gated to Neutrophils (SSC-A versus CD16). </w:t>
      </w:r>
      <w:r>
        <w:rPr>
          <w:rFonts w:ascii="Times New Roman" w:hAnsi="Times New Roman" w:cs="Times New Roman"/>
          <w:b/>
          <w:bCs/>
          <w:sz w:val="20"/>
          <w:szCs w:val="20"/>
        </w:rPr>
        <w:t>C.</w:t>
      </w:r>
      <w:r>
        <w:rPr>
          <w:rFonts w:ascii="Times New Roman" w:hAnsi="Times New Roman" w:cs="Times New Roman"/>
          <w:sz w:val="20"/>
          <w:szCs w:val="20"/>
        </w:rPr>
        <w:t xml:space="preserve"> Lymphocytes were gated to CD3CD56</w:t>
      </w:r>
      <w:r>
        <w:rPr>
          <w:rFonts w:ascii="Times New Roman" w:hAnsi="Times New Roman" w:cs="Times New Roman"/>
          <w:sz w:val="20"/>
          <w:szCs w:val="20"/>
          <w:vertAlign w:val="superscript"/>
        </w:rPr>
        <w:t>+</w:t>
      </w:r>
      <w:r>
        <w:rPr>
          <w:rFonts w:ascii="Times New Roman" w:hAnsi="Times New Roman" w:cs="Times New Roman"/>
          <w:sz w:val="20"/>
          <w:szCs w:val="20"/>
        </w:rPr>
        <w:t xml:space="preserve">, NKT-cells and NK cells (CD3 versus CD56) </w:t>
      </w:r>
      <w:r>
        <w:rPr>
          <w:rFonts w:ascii="Times New Roman" w:hAnsi="Times New Roman" w:cs="Times New Roman"/>
          <w:b/>
          <w:bCs/>
          <w:sz w:val="20"/>
          <w:szCs w:val="20"/>
        </w:rPr>
        <w:t>D and E</w:t>
      </w:r>
      <w:r>
        <w:rPr>
          <w:rFonts w:ascii="Times New Roman" w:hAnsi="Times New Roman" w:cs="Times New Roman"/>
          <w:sz w:val="20"/>
          <w:szCs w:val="20"/>
        </w:rPr>
        <w:t>. NKT cells were further gated into CD16</w:t>
      </w:r>
      <w:r>
        <w:rPr>
          <w:rFonts w:ascii="Times New Roman" w:hAnsi="Times New Roman" w:cs="Times New Roman"/>
          <w:sz w:val="20"/>
          <w:szCs w:val="20"/>
          <w:vertAlign w:val="superscript"/>
        </w:rPr>
        <w:t>+</w:t>
      </w:r>
      <w:r>
        <w:rPr>
          <w:rFonts w:ascii="Times New Roman" w:hAnsi="Times New Roman" w:cs="Times New Roman"/>
          <w:sz w:val="20"/>
          <w:szCs w:val="20"/>
        </w:rPr>
        <w:t>NKTs subsets (CD57 versus CD56) and CD57</w:t>
      </w:r>
      <w:r>
        <w:rPr>
          <w:rFonts w:ascii="Times New Roman" w:hAnsi="Times New Roman" w:cs="Times New Roman"/>
          <w:sz w:val="20"/>
          <w:szCs w:val="20"/>
          <w:vertAlign w:val="superscript"/>
        </w:rPr>
        <w:t>+</w:t>
      </w:r>
      <w:r>
        <w:rPr>
          <w:rFonts w:ascii="Times New Roman" w:hAnsi="Times New Roman" w:cs="Times New Roman"/>
          <w:sz w:val="20"/>
          <w:szCs w:val="20"/>
        </w:rPr>
        <w:t xml:space="preserve">NKTs subsets (CD16 versus CD56) respectively. </w:t>
      </w:r>
      <w:r>
        <w:rPr>
          <w:rFonts w:ascii="Times New Roman" w:hAnsi="Times New Roman" w:cs="Times New Roman"/>
          <w:b/>
          <w:bCs/>
          <w:sz w:val="20"/>
          <w:szCs w:val="20"/>
        </w:rPr>
        <w:t>F and G.</w:t>
      </w:r>
      <w:r>
        <w:rPr>
          <w:rFonts w:ascii="Times New Roman" w:hAnsi="Times New Roman" w:cs="Times New Roman"/>
          <w:sz w:val="20"/>
          <w:szCs w:val="20"/>
        </w:rPr>
        <w:t xml:space="preserve"> NK cells were further gated to CD57</w:t>
      </w:r>
      <w:r>
        <w:rPr>
          <w:rFonts w:ascii="Times New Roman" w:hAnsi="Times New Roman" w:cs="Times New Roman"/>
          <w:sz w:val="20"/>
          <w:szCs w:val="20"/>
          <w:vertAlign w:val="superscript"/>
        </w:rPr>
        <w:t>+</w:t>
      </w:r>
      <w:r>
        <w:rPr>
          <w:rFonts w:ascii="Times New Roman" w:hAnsi="Times New Roman" w:cs="Times New Roman"/>
          <w:sz w:val="20"/>
          <w:szCs w:val="20"/>
        </w:rPr>
        <w:t xml:space="preserve"> NK subsets and CD56</w:t>
      </w:r>
      <w:r>
        <w:rPr>
          <w:rFonts w:ascii="Times New Roman" w:hAnsi="Times New Roman" w:cs="Times New Roman"/>
          <w:sz w:val="20"/>
          <w:szCs w:val="20"/>
          <w:vertAlign w:val="superscript"/>
        </w:rPr>
        <w:t>+</w:t>
      </w:r>
      <w:r>
        <w:rPr>
          <w:rFonts w:ascii="Times New Roman" w:hAnsi="Times New Roman" w:cs="Times New Roman"/>
          <w:sz w:val="20"/>
          <w:szCs w:val="20"/>
        </w:rPr>
        <w:t xml:space="preserve">CD16 NK subsets </w:t>
      </w:r>
      <w:r>
        <w:rPr>
          <w:rFonts w:ascii="Times New Roman" w:hAnsi="Times New Roman" w:cs="Times New Roman"/>
          <w:b/>
          <w:bCs/>
          <w:sz w:val="20"/>
          <w:szCs w:val="20"/>
        </w:rPr>
        <w:t>H.I.and J.</w:t>
      </w:r>
      <w:r>
        <w:rPr>
          <w:rFonts w:ascii="Times New Roman" w:hAnsi="Times New Roman" w:cs="Times New Roman"/>
          <w:sz w:val="20"/>
          <w:szCs w:val="20"/>
        </w:rPr>
        <w:t xml:space="preserve"> CD3</w:t>
      </w:r>
      <w:r>
        <w:rPr>
          <w:rFonts w:ascii="Times New Roman" w:hAnsi="Times New Roman" w:cs="Times New Roman"/>
          <w:sz w:val="20"/>
          <w:szCs w:val="20"/>
          <w:vertAlign w:val="superscript"/>
        </w:rPr>
        <w:t>+</w:t>
      </w:r>
      <w:r>
        <w:rPr>
          <w:rFonts w:ascii="Times New Roman" w:hAnsi="Times New Roman" w:cs="Times New Roman"/>
          <w:sz w:val="20"/>
          <w:szCs w:val="20"/>
        </w:rPr>
        <w:t xml:space="preserve"> T-cells were gated to different subsets; double negative T-cells (CD3</w:t>
      </w:r>
      <w:r>
        <w:rPr>
          <w:rFonts w:ascii="Times New Roman" w:hAnsi="Times New Roman" w:cs="Times New Roman"/>
          <w:sz w:val="20"/>
          <w:szCs w:val="20"/>
          <w:vertAlign w:val="superscript"/>
        </w:rPr>
        <w:t>+</w:t>
      </w:r>
      <w:r>
        <w:rPr>
          <w:rFonts w:ascii="Times New Roman" w:hAnsi="Times New Roman" w:cs="Times New Roman"/>
          <w:sz w:val="20"/>
          <w:szCs w:val="20"/>
        </w:rPr>
        <w:t>CD4</w:t>
      </w:r>
      <w:r>
        <w:rPr>
          <w:rFonts w:ascii="Times New Roman" w:hAnsi="Times New Roman" w:cs="Times New Roman"/>
          <w:sz w:val="20"/>
          <w:szCs w:val="20"/>
          <w:vertAlign w:val="superscript"/>
        </w:rPr>
        <w:t>-</w:t>
      </w:r>
      <w:r>
        <w:rPr>
          <w:rFonts w:ascii="Times New Roman" w:hAnsi="Times New Roman" w:cs="Times New Roman"/>
          <w:sz w:val="20"/>
          <w:szCs w:val="20"/>
        </w:rPr>
        <w:t>CD8</w:t>
      </w:r>
      <w:r>
        <w:rPr>
          <w:rFonts w:ascii="Times New Roman" w:hAnsi="Times New Roman" w:cs="Times New Roman"/>
          <w:sz w:val="20"/>
          <w:szCs w:val="20"/>
          <w:vertAlign w:val="superscript"/>
        </w:rPr>
        <w:t>-</w:t>
      </w:r>
      <w:r>
        <w:rPr>
          <w:rFonts w:ascii="Times New Roman" w:hAnsi="Times New Roman" w:cs="Times New Roman"/>
          <w:sz w:val="20"/>
          <w:szCs w:val="20"/>
        </w:rPr>
        <w:t xml:space="preserve">), T-cytotoxic cells and T-helper cells. </w:t>
      </w:r>
      <w:r>
        <w:rPr>
          <w:rFonts w:ascii="Times New Roman" w:hAnsi="Times New Roman" w:cs="Times New Roman"/>
          <w:b/>
          <w:bCs/>
          <w:sz w:val="20"/>
          <w:szCs w:val="20"/>
        </w:rPr>
        <w:t>K</w:t>
      </w:r>
      <w:r>
        <w:rPr>
          <w:rFonts w:ascii="Times New Roman" w:hAnsi="Times New Roman" w:cs="Times New Roman"/>
          <w:sz w:val="20"/>
          <w:szCs w:val="20"/>
        </w:rPr>
        <w:t>.T-cytotoxic cells were gated into CD8</w:t>
      </w:r>
      <w:r>
        <w:rPr>
          <w:rFonts w:ascii="Times New Roman" w:hAnsi="Times New Roman" w:cs="Times New Roman"/>
          <w:sz w:val="20"/>
          <w:szCs w:val="20"/>
          <w:vertAlign w:val="superscript"/>
        </w:rPr>
        <w:t>+</w:t>
      </w:r>
      <w:r>
        <w:rPr>
          <w:rFonts w:ascii="Times New Roman" w:hAnsi="Times New Roman" w:cs="Times New Roman"/>
          <w:sz w:val="20"/>
          <w:szCs w:val="20"/>
        </w:rPr>
        <w:t>CD57</w:t>
      </w:r>
      <w:r>
        <w:rPr>
          <w:rFonts w:ascii="Times New Roman" w:hAnsi="Times New Roman" w:cs="Times New Roman"/>
          <w:sz w:val="20"/>
          <w:szCs w:val="20"/>
          <w:vertAlign w:val="superscript"/>
        </w:rPr>
        <w:t>+</w:t>
      </w:r>
      <w:r>
        <w:rPr>
          <w:rFonts w:ascii="Times New Roman" w:hAnsi="Times New Roman" w:cs="Times New Roman"/>
          <w:sz w:val="20"/>
          <w:szCs w:val="20"/>
        </w:rPr>
        <w:t xml:space="preserve"> (CD57 versus CD8). </w:t>
      </w:r>
      <w:r>
        <w:rPr>
          <w:rFonts w:ascii="Times New Roman" w:eastAsia="Book Antiqua" w:hAnsi="Times New Roman" w:cs="Times New Roman"/>
          <w:color w:val="000000"/>
          <w:sz w:val="20"/>
          <w:szCs w:val="20"/>
        </w:rPr>
        <w:t>CD3 BD Horizon Brilliant™ Ultraviolet (BUV), CD4 Alexa flour (AF-700) and CD8 Brilliant Violet™ 605 (BV-605), CD56 PE Phycoerythrin Cyanine 7 (PECy7), CD57 (BB515) while the granulocyte population was stained with CD16 PECy5.</w:t>
      </w:r>
    </w:p>
    <w:p w14:paraId="18C6BE02" w14:textId="77777777" w:rsidR="00047763" w:rsidRDefault="00047763">
      <w:pPr>
        <w:rPr>
          <w:lang w:eastAsia="en-ZA"/>
        </w:rPr>
      </w:pPr>
    </w:p>
    <w:p w14:paraId="1B740036" w14:textId="77777777" w:rsidR="00047763" w:rsidRDefault="00047763">
      <w:pPr>
        <w:rPr>
          <w:lang w:eastAsia="en-ZA"/>
        </w:rPr>
      </w:pPr>
    </w:p>
    <w:p w14:paraId="4C38D4E8" w14:textId="0FA80087" w:rsidR="00047763" w:rsidRDefault="00047763">
      <w:pPr>
        <w:rPr>
          <w:lang w:eastAsia="en-ZA"/>
        </w:rPr>
      </w:pPr>
    </w:p>
    <w:p w14:paraId="3B4CB873" w14:textId="26F7FB9A" w:rsidR="00047763" w:rsidRDefault="004C62F8">
      <w:pPr>
        <w:rPr>
          <w:lang w:eastAsia="en-ZA"/>
        </w:rPr>
      </w:pPr>
      <w:r>
        <w:rPr>
          <w:noProof/>
        </w:rPr>
        <w:lastRenderedPageBreak/>
        <w:drawing>
          <wp:inline distT="0" distB="0" distL="0" distR="0" wp14:anchorId="23919932" wp14:editId="67908F33">
            <wp:extent cx="5731510" cy="5015230"/>
            <wp:effectExtent l="0" t="0" r="0" b="0"/>
            <wp:docPr id="312288440"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88440" name="Picture 2" descr="A screenshot of a grap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015230"/>
                    </a:xfrm>
                    <a:prstGeom prst="rect">
                      <a:avLst/>
                    </a:prstGeom>
                    <a:noFill/>
                    <a:ln>
                      <a:noFill/>
                    </a:ln>
                  </pic:spPr>
                </pic:pic>
              </a:graphicData>
            </a:graphic>
          </wp:inline>
        </w:drawing>
      </w:r>
    </w:p>
    <w:p w14:paraId="094CEA66" w14:textId="77777777" w:rsidR="00047763" w:rsidRDefault="00047763">
      <w:pPr>
        <w:rPr>
          <w:lang w:eastAsia="en-ZA"/>
        </w:rPr>
      </w:pPr>
    </w:p>
    <w:p w14:paraId="66C8FDA1" w14:textId="1143577B" w:rsidR="00047763" w:rsidRDefault="00000000">
      <w:pPr>
        <w:pStyle w:val="Figures"/>
        <w:jc w:val="both"/>
        <w:rPr>
          <w:b w:val="0"/>
          <w:bCs w:val="0"/>
        </w:rPr>
      </w:pPr>
      <w:r>
        <w:rPr>
          <w:sz w:val="18"/>
          <w:szCs w:val="18"/>
          <w:shd w:val="clear" w:color="auto" w:fill="FFFFFF"/>
        </w:rPr>
        <w:t xml:space="preserve">Figure S3: </w:t>
      </w:r>
      <w:r>
        <w:rPr>
          <w:shd w:val="clear" w:color="auto" w:fill="FFFFFF"/>
        </w:rPr>
        <w:t xml:space="preserve">Graphical representation of the immune marker by gene expression. </w:t>
      </w:r>
      <w:r>
        <w:rPr>
          <w:b w:val="0"/>
          <w:bCs w:val="0"/>
          <w:shd w:val="clear" w:color="auto" w:fill="FFFFFF"/>
        </w:rPr>
        <w:t>CD8, CD16, and CD56 genes were upregulated in LAPC. HC, RPC, and CP have the highest levels of CD4, CD3, and CD57 genes respectively. Although there was no statistical correlation or differences observed when comparing the PDAC groups with the control groups</w:t>
      </w:r>
      <w:r w:rsidR="0039781B">
        <w:rPr>
          <w:b w:val="0"/>
          <w:bCs w:val="0"/>
          <w:shd w:val="clear" w:color="auto" w:fill="FFFFFF"/>
        </w:rPr>
        <w:t xml:space="preserve">. </w:t>
      </w:r>
      <w:r w:rsidR="0039781B" w:rsidRPr="0039781B">
        <w:rPr>
          <w:b w:val="0"/>
          <w:bCs w:val="0"/>
          <w:szCs w:val="20"/>
        </w:rPr>
        <w:t>CD3, CD4 and CD56 genes were observed to be most upregulated in RPC and CD8 was highest in LAPC</w:t>
      </w:r>
      <w:r w:rsidR="009C4BB8">
        <w:rPr>
          <w:b w:val="0"/>
          <w:bCs w:val="0"/>
          <w:szCs w:val="20"/>
        </w:rPr>
        <w:t>.</w:t>
      </w:r>
    </w:p>
    <w:p w14:paraId="47B6FAA1" w14:textId="77777777" w:rsidR="00047763" w:rsidRDefault="00047763">
      <w:pPr>
        <w:rPr>
          <w:lang w:eastAsia="en-ZA"/>
        </w:rPr>
      </w:pPr>
    </w:p>
    <w:p w14:paraId="51B9D6F7" w14:textId="77777777" w:rsidR="00047763" w:rsidRDefault="00047763">
      <w:pPr>
        <w:rPr>
          <w:lang w:eastAsia="en-ZA"/>
        </w:rPr>
      </w:pPr>
    </w:p>
    <w:p w14:paraId="6178B1D2" w14:textId="77777777" w:rsidR="00047763" w:rsidRDefault="00047763">
      <w:pPr>
        <w:rPr>
          <w:lang w:eastAsia="en-ZA"/>
        </w:rPr>
      </w:pPr>
    </w:p>
    <w:p w14:paraId="6E4ABB4C" w14:textId="77777777" w:rsidR="00047763" w:rsidRDefault="00047763">
      <w:pPr>
        <w:rPr>
          <w:lang w:eastAsia="en-ZA"/>
        </w:rPr>
      </w:pPr>
    </w:p>
    <w:p w14:paraId="44005609" w14:textId="77777777" w:rsidR="00047763" w:rsidRDefault="00047763">
      <w:pPr>
        <w:rPr>
          <w:lang w:eastAsia="en-ZA"/>
        </w:rPr>
      </w:pPr>
    </w:p>
    <w:p w14:paraId="5BF161D2" w14:textId="77777777" w:rsidR="00047763" w:rsidRDefault="00047763">
      <w:pPr>
        <w:rPr>
          <w:lang w:eastAsia="en-ZA"/>
        </w:rPr>
      </w:pPr>
    </w:p>
    <w:p w14:paraId="5642AB3A" w14:textId="77777777" w:rsidR="00047763" w:rsidRDefault="00047763">
      <w:pPr>
        <w:rPr>
          <w:lang w:eastAsia="en-ZA"/>
        </w:rPr>
      </w:pPr>
    </w:p>
    <w:p w14:paraId="56AFA629" w14:textId="77777777" w:rsidR="00047763" w:rsidRDefault="00000000">
      <w:pPr>
        <w:jc w:val="center"/>
        <w:rPr>
          <w:lang w:eastAsia="en-ZA"/>
        </w:rPr>
      </w:pPr>
      <w:r>
        <w:rPr>
          <w:noProof/>
        </w:rPr>
        <w:lastRenderedPageBreak/>
        <w:drawing>
          <wp:inline distT="0" distB="0" distL="0" distR="0" wp14:anchorId="7254713D" wp14:editId="2C89212E">
            <wp:extent cx="6070600" cy="3114675"/>
            <wp:effectExtent l="0" t="0" r="0" b="0"/>
            <wp:docPr id="4" name="Image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screenshot of a graph&#10;&#10;Description automatically generated"/>
                    <pic:cNvPicPr>
                      <a:picLocks noChangeAspect="1" noChangeArrowheads="1"/>
                    </pic:cNvPicPr>
                  </pic:nvPicPr>
                  <pic:blipFill>
                    <a:blip r:embed="rId11"/>
                    <a:stretch>
                      <a:fillRect/>
                    </a:stretch>
                  </pic:blipFill>
                  <pic:spPr bwMode="auto">
                    <a:xfrm>
                      <a:off x="0" y="0"/>
                      <a:ext cx="6070600" cy="3114675"/>
                    </a:xfrm>
                    <a:prstGeom prst="rect">
                      <a:avLst/>
                    </a:prstGeom>
                  </pic:spPr>
                </pic:pic>
              </a:graphicData>
            </a:graphic>
          </wp:inline>
        </w:drawing>
      </w:r>
    </w:p>
    <w:p w14:paraId="2B8667C9" w14:textId="77777777" w:rsidR="00047763" w:rsidRDefault="00047763">
      <w:pPr>
        <w:jc w:val="center"/>
        <w:rPr>
          <w:lang w:eastAsia="en-ZA"/>
        </w:rPr>
      </w:pPr>
    </w:p>
    <w:p w14:paraId="5E484B48" w14:textId="77777777" w:rsidR="00047763" w:rsidRDefault="00047763">
      <w:pPr>
        <w:jc w:val="center"/>
        <w:rPr>
          <w:lang w:eastAsia="en-ZA"/>
        </w:rPr>
      </w:pPr>
    </w:p>
    <w:p w14:paraId="167CEB04" w14:textId="77777777" w:rsidR="00047763" w:rsidRDefault="00000000">
      <w:pPr>
        <w:spacing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b/>
          <w:bCs/>
          <w:sz w:val="20"/>
          <w:szCs w:val="20"/>
        </w:rPr>
        <w:t>Figure S4: Boxplots comparing the immune cell markers in PDAC plasma samples.</w:t>
      </w:r>
      <w:r>
        <w:rPr>
          <w:rFonts w:ascii="Times New Roman" w:hAnsi="Times New Roman" w:cs="Times New Roman"/>
          <w:sz w:val="20"/>
          <w:szCs w:val="20"/>
        </w:rPr>
        <w:t xml:space="preserve"> </w:t>
      </w:r>
      <w:r>
        <w:rPr>
          <w:rFonts w:ascii="Times New Roman" w:hAnsi="Times New Roman" w:cs="Times New Roman"/>
          <w:sz w:val="20"/>
          <w:szCs w:val="20"/>
          <w:lang w:val="en-US"/>
        </w:rPr>
        <w:t>Enzyme</w:t>
      </w:r>
      <w:r>
        <w:rPr>
          <w:rFonts w:ascii="Times New Roman" w:hAnsi="Times New Roman" w:cs="Times New Roman"/>
          <w:b/>
          <w:bCs/>
          <w:sz w:val="20"/>
          <w:szCs w:val="20"/>
          <w:lang w:val="en-US"/>
        </w:rPr>
        <w:t>-</w:t>
      </w:r>
      <w:r>
        <w:rPr>
          <w:rFonts w:ascii="Times New Roman" w:hAnsi="Times New Roman" w:cs="Times New Roman"/>
          <w:sz w:val="20"/>
          <w:szCs w:val="20"/>
          <w:lang w:val="en-US"/>
        </w:rPr>
        <w:t>Linked Immunosorbent Assays (ELISA) technique was implored on the plasma samples. There were statistically significant differences observed between the PDAC groups LAPC and MPC with the control HC.</w:t>
      </w:r>
      <w:r>
        <w:rPr>
          <w:rFonts w:ascii="Times New Roman" w:hAnsi="Times New Roman" w:cs="Times New Roman"/>
          <w:b/>
          <w:bCs/>
          <w:sz w:val="20"/>
          <w:szCs w:val="20"/>
          <w:lang w:val="en-US"/>
        </w:rPr>
        <w:t xml:space="preserve"> </w:t>
      </w:r>
    </w:p>
    <w:p w14:paraId="5150B478" w14:textId="77777777" w:rsidR="00047763" w:rsidRDefault="00047763">
      <w:pPr>
        <w:pStyle w:val="Figures"/>
        <w:jc w:val="both"/>
        <w:rPr>
          <w:b w:val="0"/>
          <w:bCs w:val="0"/>
          <w:sz w:val="18"/>
          <w:szCs w:val="18"/>
        </w:rPr>
      </w:pPr>
    </w:p>
    <w:p w14:paraId="20284C64" w14:textId="77777777" w:rsidR="00047763" w:rsidRDefault="00047763">
      <w:pPr>
        <w:rPr>
          <w:lang w:eastAsia="en-ZA"/>
        </w:rPr>
      </w:pPr>
    </w:p>
    <w:p w14:paraId="45076847" w14:textId="77777777" w:rsidR="00047763" w:rsidRDefault="00047763">
      <w:pPr>
        <w:rPr>
          <w:lang w:eastAsia="en-ZA"/>
        </w:rPr>
      </w:pPr>
    </w:p>
    <w:p w14:paraId="48383E5D" w14:textId="77777777" w:rsidR="00047763" w:rsidRDefault="00047763">
      <w:pPr>
        <w:rPr>
          <w:lang w:eastAsia="en-ZA"/>
        </w:rPr>
      </w:pPr>
    </w:p>
    <w:p w14:paraId="30BD5612" w14:textId="77777777" w:rsidR="00047763" w:rsidRDefault="00047763">
      <w:pPr>
        <w:rPr>
          <w:lang w:eastAsia="en-ZA"/>
        </w:rPr>
      </w:pPr>
    </w:p>
    <w:p w14:paraId="6A9BB3AC" w14:textId="77777777" w:rsidR="00047763" w:rsidRDefault="00047763">
      <w:pPr>
        <w:rPr>
          <w:lang w:eastAsia="en-ZA"/>
        </w:rPr>
      </w:pPr>
    </w:p>
    <w:p w14:paraId="7248C418" w14:textId="77777777" w:rsidR="00047763" w:rsidRDefault="00047763">
      <w:pPr>
        <w:rPr>
          <w:lang w:eastAsia="en-ZA"/>
        </w:rPr>
      </w:pPr>
    </w:p>
    <w:p w14:paraId="6C97BB29" w14:textId="77777777" w:rsidR="00047763" w:rsidRDefault="00047763">
      <w:pPr>
        <w:rPr>
          <w:lang w:eastAsia="en-ZA"/>
        </w:rPr>
      </w:pPr>
    </w:p>
    <w:p w14:paraId="13F40A36" w14:textId="77777777" w:rsidR="00047763" w:rsidRDefault="00047763">
      <w:pPr>
        <w:rPr>
          <w:lang w:eastAsia="en-ZA"/>
        </w:rPr>
      </w:pPr>
    </w:p>
    <w:p w14:paraId="143865E7" w14:textId="77777777" w:rsidR="00047763" w:rsidRDefault="00000000">
      <w:pPr>
        <w:rPr>
          <w:lang w:eastAsia="en-ZA"/>
        </w:rPr>
      </w:pPr>
      <w:r>
        <w:rPr>
          <w:noProof/>
        </w:rPr>
        <w:lastRenderedPageBreak/>
        <w:drawing>
          <wp:inline distT="0" distB="0" distL="0" distR="0" wp14:anchorId="23CAAA78" wp14:editId="30FA7F62">
            <wp:extent cx="5731510" cy="3679825"/>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12"/>
                    <a:stretch>
                      <a:fillRect/>
                    </a:stretch>
                  </pic:blipFill>
                  <pic:spPr bwMode="auto">
                    <a:xfrm>
                      <a:off x="0" y="0"/>
                      <a:ext cx="5731510" cy="3679825"/>
                    </a:xfrm>
                    <a:prstGeom prst="rect">
                      <a:avLst/>
                    </a:prstGeom>
                  </pic:spPr>
                </pic:pic>
              </a:graphicData>
            </a:graphic>
          </wp:inline>
        </w:drawing>
      </w:r>
    </w:p>
    <w:p w14:paraId="52AA0FCE" w14:textId="77777777" w:rsidR="00047763" w:rsidRDefault="00047763">
      <w:pPr>
        <w:rPr>
          <w:lang w:eastAsia="en-ZA"/>
        </w:rPr>
      </w:pPr>
    </w:p>
    <w:p w14:paraId="612D3736" w14:textId="77777777" w:rsidR="00047763" w:rsidRDefault="00000000">
      <w:pPr>
        <w:pStyle w:val="Figures"/>
        <w:jc w:val="both"/>
        <w:rPr>
          <w:b w:val="0"/>
          <w:bCs w:val="0"/>
          <w:sz w:val="18"/>
          <w:szCs w:val="18"/>
        </w:rPr>
        <w:sectPr w:rsidR="00047763" w:rsidSect="006D22AC">
          <w:pgSz w:w="11906" w:h="16838"/>
          <w:pgMar w:top="1440" w:right="1440" w:bottom="1440" w:left="1440" w:header="0" w:footer="0" w:gutter="0"/>
          <w:cols w:space="720"/>
          <w:formProt w:val="0"/>
          <w:docGrid w:linePitch="360" w:charSpace="4096"/>
        </w:sectPr>
      </w:pPr>
      <w:r>
        <w:rPr>
          <w:sz w:val="18"/>
          <w:szCs w:val="18"/>
        </w:rPr>
        <w:t>Figure S5: ROC analysis of the ROS plot</w:t>
      </w:r>
      <w:r>
        <w:rPr>
          <w:b w:val="0"/>
          <w:bCs w:val="0"/>
          <w:sz w:val="18"/>
          <w:szCs w:val="18"/>
        </w:rPr>
        <w:t>. AUC of the plot was 0.91 which indicates an outstanding plot. Hence this confirms that ROS is a good marker of inflammation</w:t>
      </w:r>
    </w:p>
    <w:p w14:paraId="1EAC099B" w14:textId="77777777" w:rsidR="00047763" w:rsidRDefault="00047763"/>
    <w:sectPr w:rsidR="00047763">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yMzUxNzUxNjKysDRU0lEKTi0uzszPAykwrAUAZBPRXywAAAA="/>
  </w:docVars>
  <w:rsids>
    <w:rsidRoot w:val="00047763"/>
    <w:rsid w:val="00047763"/>
    <w:rsid w:val="0039781B"/>
    <w:rsid w:val="004415C3"/>
    <w:rsid w:val="004C62F8"/>
    <w:rsid w:val="0057025B"/>
    <w:rsid w:val="00627CD1"/>
    <w:rsid w:val="006D22AC"/>
    <w:rsid w:val="009C4BB8"/>
    <w:rsid w:val="00B43E2C"/>
    <w:rsid w:val="00D2406E"/>
    <w:rsid w:val="00EC6187"/>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D57AD"/>
  <w15:docId w15:val="{62AA84A1-9C1F-4E69-80F8-8C67726F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844"/>
    <w:pPr>
      <w:spacing w:after="160" w:line="259" w:lineRule="auto"/>
    </w:pPr>
    <w:rPr>
      <w:rFonts w:ascii="Calibri" w:eastAsia="Calibri" w:hAnsi="Calibri"/>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35"/>
    <w:unhideWhenUsed/>
    <w:qFormat/>
    <w:rsid w:val="006C6844"/>
    <w:pPr>
      <w:spacing w:after="200" w:line="240" w:lineRule="auto"/>
    </w:pPr>
    <w:rPr>
      <w:i/>
      <w:iCs/>
      <w:color w:val="44546A" w:themeColor="text2"/>
      <w:sz w:val="18"/>
      <w:szCs w:val="18"/>
    </w:rPr>
  </w:style>
  <w:style w:type="paragraph" w:customStyle="1" w:styleId="Index">
    <w:name w:val="Index"/>
    <w:basedOn w:val="Normal"/>
    <w:qFormat/>
    <w:pPr>
      <w:suppressLineNumbers/>
    </w:pPr>
    <w:rPr>
      <w:rFonts w:cs="Lohit Devanagari"/>
    </w:rPr>
  </w:style>
  <w:style w:type="paragraph" w:customStyle="1" w:styleId="Figures">
    <w:name w:val="Figures"/>
    <w:basedOn w:val="Caption"/>
    <w:next w:val="Caption"/>
    <w:qFormat/>
    <w:rsid w:val="006C6844"/>
    <w:pPr>
      <w:jc w:val="center"/>
    </w:pPr>
    <w:rPr>
      <w:rFonts w:ascii="Times New Roman" w:eastAsia="Times New Roman" w:hAnsi="Times New Roman" w:cs="Times New Roman"/>
      <w:b/>
      <w:bCs/>
      <w:i w:val="0"/>
      <w:color w:val="auto"/>
      <w:kern w:val="0"/>
      <w:sz w:val="20"/>
      <w:szCs w:val="32"/>
      <w:lang w:eastAsia="en-ZA"/>
      <w14:ligatures w14:val="none"/>
    </w:rPr>
  </w:style>
  <w:style w:type="paragraph" w:styleId="CommentText">
    <w:name w:val="annotation text"/>
    <w:basedOn w:val="Normal"/>
    <w:link w:val="CommentTextChar"/>
    <w:uiPriority w:val="99"/>
    <w:rsid w:val="0039781B"/>
    <w:pPr>
      <w:suppressAutoHyphens w:val="0"/>
      <w:spacing w:after="0"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character" w:customStyle="1" w:styleId="CommentTextChar">
    <w:name w:val="Comment Text Char"/>
    <w:basedOn w:val="DefaultParagraphFont"/>
    <w:link w:val="CommentText"/>
    <w:uiPriority w:val="99"/>
    <w:rsid w:val="0039781B"/>
    <w:rPr>
      <w:rFonts w:ascii="Palatino Linotype" w:eastAsia="SimSun" w:hAnsi="Palatino Linotype" w:cs="Times New Roman"/>
      <w:noProof/>
      <w:color w:val="000000"/>
      <w:sz w:val="20"/>
      <w:szCs w:val="20"/>
      <w:lang w:val="en-US" w:eastAsia="zh-CN"/>
    </w:rPr>
  </w:style>
  <w:style w:type="character" w:styleId="CommentReference">
    <w:name w:val="annotation reference"/>
    <w:basedOn w:val="DefaultParagraphFont"/>
    <w:uiPriority w:val="99"/>
    <w:semiHidden/>
    <w:unhideWhenUsed/>
    <w:rsid w:val="0039781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59CEBF9624234A96814EF762CECE4B" ma:contentTypeVersion="17" ma:contentTypeDescription="Create a new document." ma:contentTypeScope="" ma:versionID="49beed1f3aecfd1128e9ea3a2ed727cc">
  <xsd:schema xmlns:xsd="http://www.w3.org/2001/XMLSchema" xmlns:xs="http://www.w3.org/2001/XMLSchema" xmlns:p="http://schemas.microsoft.com/office/2006/metadata/properties" xmlns:ns3="6e6d1cd6-e4d3-4a91-91a0-62e172a7b22f" xmlns:ns4="3d64a71d-860e-49dc-90f7-793e73c391db" targetNamespace="http://schemas.microsoft.com/office/2006/metadata/properties" ma:root="true" ma:fieldsID="a81b0fc9599b7d13b61d53ca5786dc96" ns3:_="" ns4:_="">
    <xsd:import namespace="6e6d1cd6-e4d3-4a91-91a0-62e172a7b22f"/>
    <xsd:import namespace="3d64a71d-860e-49dc-90f7-793e73c391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d1cd6-e4d3-4a91-91a0-62e172a7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64a71d-860e-49dc-90f7-793e73c391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e6d1cd6-e4d3-4a91-91a0-62e172a7b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F213D-5B1B-490A-89E7-EFB5AE690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d1cd6-e4d3-4a91-91a0-62e172a7b22f"/>
    <ds:schemaRef ds:uri="3d64a71d-860e-49dc-90f7-793e73c39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57084-AE55-46B4-A6E1-BEC35F2E72CD}">
  <ds:schemaRefs>
    <ds:schemaRef ds:uri="http://schemas.microsoft.com/office/2006/metadata/properties"/>
    <ds:schemaRef ds:uri="http://schemas.microsoft.com/office/infopath/2007/PartnerControls"/>
    <ds:schemaRef ds:uri="6e6d1cd6-e4d3-4a91-91a0-62e172a7b22f"/>
  </ds:schemaRefs>
</ds:datastoreItem>
</file>

<file path=customXml/itemProps3.xml><?xml version="1.0" encoding="utf-8"?>
<ds:datastoreItem xmlns:ds="http://schemas.openxmlformats.org/officeDocument/2006/customXml" ds:itemID="{587D5F3D-D854-4DB5-9AB7-EC41EFC2C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392</Words>
  <Characters>2194</Characters>
  <Application>Microsoft Office Word</Application>
  <DocSecurity>0</DocSecurity>
  <Lines>74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Ekene Nweke</dc:creator>
  <dc:description/>
  <cp:lastModifiedBy>Nnenna Elebo</cp:lastModifiedBy>
  <cp:revision>3</cp:revision>
  <dcterms:created xsi:type="dcterms:W3CDTF">2024-03-05T14:19:00Z</dcterms:created>
  <dcterms:modified xsi:type="dcterms:W3CDTF">2024-03-07T06:51:00Z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0x0101005A59CEBF9624234A96814EF762CECE4B</vt:lpwstr>
  </property>
  <property fmtid="{D5CDD505-2E9C-101B-9397-08002B2CF9AE}" pid="3" name="GrammarlyDocumentId">
    <vt:lpwstr>fcbc94e8c6af015ba8fa81d4d1189686d77792da5d17659a5fe92a763b3882c4</vt:lpwstr>
  </property>
</Properties>
</file>