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1728"/>
        <w:gridCol w:w="1728"/>
        <w:gridCol w:w="1016"/>
      </w:tblGrid>
      <w:tr>
        <w:trPr>
          <w:cantSplit/>
          <w:tblHeader/>
          <w:jc w:val="center"/>
        </w:trPr>
        <w:tc>
          <w:tcPr>
            <w:tcW w:w="386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72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Low expression of ADH4</w:t>
            </w:r>
          </w:p>
        </w:tc>
        <w:tc>
          <w:tcPr>
            <w:tcW w:w="172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High expression of ADH4</w:t>
            </w:r>
          </w:p>
        </w:tc>
        <w:tc>
          <w:tcPr>
            <w:tcW w:w="1016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82 (22.1%)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101 (27.2%)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48 (12.9%)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47 (12.7%)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49 (13.2%)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31 (8.4%)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 (2.2%)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 (1.3%)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N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N0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134 (51.9%)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120 (46.5%)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N1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 (1.2%)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 (0.4%)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M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143 (52.6%)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125 (46%)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78 (22.3%)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95 (27.1%)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43 (12.3%)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44 (12.6%)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53 (15.1%)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32 (9.1%)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 (0.6%)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 (0.9%)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Tumor status,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0.013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Tumor free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88 (24.8%)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114 (32.1%)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With tumor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88 (24.8%)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65 (18.3%)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75 (20.1%)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46 (12.3%)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112 (29.9%)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141 (37.7%)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Race,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Asian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95 (26.2%)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65 (18%)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Black or African American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 (1.1%)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13 (3.6%)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83 (22.9%)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102 (28.2%)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&lt;=60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98 (26.3%)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79 (21.2%)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&gt;60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88 (23.6%)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108 (29%)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Weight,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0.053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&lt;=70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102 (29.5%)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82 (23.7%)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&gt;70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72 (20.8%)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90 (26%)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Height,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&lt; 170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114 (33.4%)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87 (25.5%)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&gt;=170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57 (16.7%)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83 (24.3%)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BMI,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&lt;=25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97 (28.8%)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80 (23.7%)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&gt;25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72 (21.4%)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88 (26.1%)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Residual tumor,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R0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156 (45.2%)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171 (49.6%)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R1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14 (4.1%)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 (0.9%)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R2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G1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18 (4.9%)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37 (10%)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G2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82 (22.2%)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96 (26%)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G3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77 (20.9%)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47 (12.7%)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G4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 (2.2%)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 (1.1%)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Adjacent hepatic tissue inflammation,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0.272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48 (20.3%)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70 (29.5%)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Mild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50 (21.1%)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51 (21.5%)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6 (2.5%)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12 (5.1%)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AFP (ng/ml),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0.007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&lt;=400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96 (34.3%)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119 (42.5%)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&gt;400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42 (15%)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23 (8.2%)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Albumin(g/dl),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&lt;3.5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33 (11%)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36 (12%)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&gt;=3.5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109 (36.3%)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122 (40.7%)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Prothrombin time,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&lt;=4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107 (36%)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101 (34%)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&gt;4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36 (12.1%)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53 (17.8%)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Child-Pugh grade,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101 (41.9%)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118 (49%)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7 (2.9%)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14 (5.8%)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 (0.4%)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Fibrosis ishak score,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24 (11.2%)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51 (23.7%)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1/2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15 (7%)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16 (7.4%)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15 (7%)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13 (6%)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5/6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38 (17.7%)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43 (20%)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Vascular invasion,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97 (30.5%)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111 (34.9%)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59 (18.6%)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51 (16%)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OS event,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Alive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106 (28.3%)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138 (36.9%)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Dead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81 (21.7%)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49 (13.1%)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62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Age, median (IQR)</w:t>
            </w:r>
          </w:p>
        </w:tc>
        <w:tc>
          <w:tcPr>
            <w:tcW w:w="1728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59.5 (51, 67.75)</w:t>
            </w:r>
          </w:p>
        </w:tc>
        <w:tc>
          <w:tcPr>
            <w:tcW w:w="1728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63 (53, 69)</w:t>
            </w:r>
          </w:p>
        </w:tc>
        <w:tc>
          <w:tcPr>
            <w:tcW w:w="1016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18"/>
                <w:szCs w:val="18"/>
              </w:rPr>
              <w:t>0.061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Verdan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Times New Roman" w:hAnsi="Times New Roman" w:eastAsia="等线" w:cs="Times New Roman"/>
        <w:color w:val="231F20"/>
        <w:sz w:val="18"/>
        <w:szCs w:val="18"/>
      </w:rPr>
    </w:pPr>
    <w:r>
      <w:rPr>
        <w:rFonts w:ascii="Times New Roman" w:hAnsi="Times New Roman" w:eastAsia="等线" w:cs="Times New Roman"/>
        <w:sz w:val="18"/>
        <w:szCs w:val="18"/>
      </w:rPr>
      <w:t xml:space="preserve">TABLE </w:t>
    </w:r>
    <w:r>
      <w:rPr>
        <w:rFonts w:hint="eastAsia" w:ascii="Times New Roman" w:hAnsi="Times New Roman" w:eastAsia="等线" w:cs="Times New Roman"/>
        <w:sz w:val="18"/>
        <w:szCs w:val="18"/>
        <w:lang w:val="en-US" w:eastAsia="zh-CN"/>
      </w:rPr>
      <w:t>2</w:t>
    </w:r>
    <w:r>
      <w:rPr>
        <w:rFonts w:ascii="Times New Roman" w:hAnsi="Times New Roman" w:eastAsia="等线" w:cs="Times New Roman"/>
        <w:sz w:val="18"/>
        <w:szCs w:val="18"/>
      </w:rPr>
      <w:t xml:space="preserve"> | Clinicopathological characteristics in relation to ADH4 expression status in the TCGA cohort.</w:t>
    </w:r>
  </w:p>
  <w:p>
    <w:pPr>
      <w:pStyle w:val="3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mNmExY2E1NzliMDA2NDlmYTc5MjMyNDliZmU0NmUifQ=="/>
  </w:docVars>
  <w:rsids>
    <w:rsidRoot w:val="00000000"/>
    <w:rsid w:val="400E5F72"/>
    <w:rsid w:val="4E650438"/>
    <w:rsid w:val="5483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405</Words>
  <Characters>1664</Characters>
  <Lines>0</Lines>
  <Paragraphs>0</Paragraphs>
  <TotalTime>1</TotalTime>
  <ScaleCrop>false</ScaleCrop>
  <LinksUpToDate>false</LinksUpToDate>
  <CharactersWithSpaces>1854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2023-07-11T15:15:00Z</dcterms:created>
  <dc:creator>Dell</dc:creator>
  <cp:lastModifiedBy>Lee</cp:lastModifiedBy>
  <dcterms:modified xsi:type="dcterms:W3CDTF">2023-11-04T14:05:18Z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C4E1135228454B258BDB41FB3DBB3E4B_12</vt:lpwstr>
  </property>
</Properties>
</file>