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54" w:tblpY="1868"/>
        <w:tblOverlap w:val="never"/>
        <w:tblW w:w="81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2118"/>
        <w:gridCol w:w="21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86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211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Cancer tissue specimen count</w:t>
            </w:r>
          </w:p>
          <w:p>
            <w:pP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(n=30)</w:t>
            </w:r>
          </w:p>
        </w:tc>
        <w:tc>
          <w:tcPr>
            <w:tcW w:w="217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Adjacent non-cancer tissue specimen count</w:t>
            </w:r>
          </w:p>
          <w:p>
            <w:pP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(n=30)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Degree of differentiation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sz w:val="18"/>
                <w:szCs w:val="18"/>
              </w:rPr>
              <w:t>poorly differentiated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2（6.67%）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（6.67%）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sz w:val="18"/>
                <w:szCs w:val="18"/>
              </w:rPr>
              <w:t>low to moderately differentiated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2（6.67%）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2（6.67%）</w:t>
            </w: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sz w:val="18"/>
                <w:szCs w:val="18"/>
              </w:rPr>
              <w:t>moderately differentiated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20（66.7%）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20（66.7%）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sz w:val="18"/>
                <w:szCs w:val="18"/>
              </w:rPr>
              <w:t>well-differentiated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6（20%）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6（20%）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1（3.33%）</w:t>
            </w: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1（3.33%）</w:t>
            </w: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29（96.67%）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29（96.67%）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≥50</w:t>
            </w:r>
          </w:p>
        </w:tc>
        <w:tc>
          <w:tcPr>
            <w:tcW w:w="21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17（56.67%）</w:t>
            </w:r>
          </w:p>
        </w:tc>
        <w:tc>
          <w:tcPr>
            <w:tcW w:w="2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17（56.67%）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62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＜50</w:t>
            </w:r>
          </w:p>
        </w:tc>
        <w:tc>
          <w:tcPr>
            <w:tcW w:w="211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13（43.33%）</w:t>
            </w:r>
          </w:p>
        </w:tc>
        <w:tc>
          <w:tcPr>
            <w:tcW w:w="2170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13（43.33%）</w:t>
            </w:r>
          </w:p>
        </w:tc>
      </w:tr>
    </w:tbl>
    <w:p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5</w:t>
      </w:r>
      <w:bookmarkStart w:id="0" w:name="_GoBack"/>
      <w:bookmarkEnd w:id="0"/>
      <w:r>
        <w:rPr>
          <w:rFonts w:hint="eastAsia"/>
        </w:rPr>
        <w:t xml:space="preserve"> Clinical characteristics of the</w:t>
      </w:r>
      <w:r>
        <w:rPr>
          <w:rFonts w:hint="eastAsia"/>
          <w:lang w:val="en-US" w:eastAsia="zh-CN"/>
        </w:rPr>
        <w:t xml:space="preserve"> HCC</w:t>
      </w:r>
      <w:r>
        <w:rPr>
          <w:rFonts w:hint="eastAsia"/>
        </w:rPr>
        <w:t xml:space="preserve"> patients in </w:t>
      </w:r>
      <w:r>
        <w:rPr>
          <w:rFonts w:hint="eastAsia"/>
          <w:lang w:val="en-US" w:eastAsia="zh-CN"/>
        </w:rPr>
        <w:t xml:space="preserve">IHC </w:t>
      </w:r>
      <w:r>
        <w:rPr>
          <w:rFonts w:hint="eastAsia"/>
        </w:rPr>
        <w:t xml:space="preserve">test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Verdan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mNmExY2E1NzliMDA2NDlmYTc5MjMyNDliZmU0NmUifQ=="/>
  </w:docVars>
  <w:rsids>
    <w:rsidRoot w:val="00000000"/>
    <w:rsid w:val="01A445C8"/>
    <w:rsid w:val="032C7742"/>
    <w:rsid w:val="0CBD4DA7"/>
    <w:rsid w:val="197D5B37"/>
    <w:rsid w:val="211C60E8"/>
    <w:rsid w:val="28221B0A"/>
    <w:rsid w:val="28D64DCE"/>
    <w:rsid w:val="2D19707A"/>
    <w:rsid w:val="2DDA2821"/>
    <w:rsid w:val="359E6C74"/>
    <w:rsid w:val="45971691"/>
    <w:rsid w:val="4C613484"/>
    <w:rsid w:val="54986974"/>
    <w:rsid w:val="57DF1007"/>
    <w:rsid w:val="5A6000EC"/>
    <w:rsid w:val="5C9B0DB8"/>
    <w:rsid w:val="5E2D1741"/>
    <w:rsid w:val="66E83943"/>
    <w:rsid w:val="6EF02D76"/>
    <w:rsid w:val="739F6639"/>
    <w:rsid w:val="7533222E"/>
    <w:rsid w:val="75D33605"/>
    <w:rsid w:val="774A385E"/>
    <w:rsid w:val="7C7E7AD3"/>
    <w:rsid w:val="7CB05F54"/>
    <w:rsid w:val="7DC7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420</Characters>
  <Lines>0</Lines>
  <Paragraphs>0</Paragraphs>
  <TotalTime>4</TotalTime>
  <ScaleCrop>false</ScaleCrop>
  <LinksUpToDate>false</LinksUpToDate>
  <CharactersWithSpaces>450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2023-08-27T14:53:00Z</dcterms:created>
  <dc:creator>Dell</dc:creator>
  <cp:lastModifiedBy>Lee</cp:lastModifiedBy>
  <dcterms:modified xsi:type="dcterms:W3CDTF">2023-09-23T17:38:00Z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6B8FBA14221F46578C413D03AE6AE9C9_12</vt:lpwstr>
  </property>
</Properties>
</file>