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3F236" w14:textId="77777777" w:rsidR="00E9250A" w:rsidRPr="000104DD" w:rsidRDefault="00E9250A" w:rsidP="00E9250A">
      <w:pPr>
        <w:spacing w:before="240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Fonts w:ascii="Times New Roman" w:eastAsiaTheme="majorHAnsi" w:hAnsi="Times New Roman" w:cs="Times New Roman"/>
          <w:noProof/>
          <w:sz w:val="24"/>
          <w:szCs w:val="24"/>
        </w:rPr>
        <w:drawing>
          <wp:inline distT="0" distB="0" distL="0" distR="0" wp14:anchorId="5F7E2857" wp14:editId="05DE8D2B">
            <wp:extent cx="5274310" cy="4654550"/>
            <wp:effectExtent l="0" t="0" r="2540" b="0"/>
            <wp:docPr id="95868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868" name="图片 95868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FC965" w14:textId="550FB8AE" w:rsidR="00E9250A" w:rsidRPr="00780133" w:rsidRDefault="00E9250A" w:rsidP="00E9250A">
      <w:pPr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>Supplementary Fig</w:t>
      </w:r>
      <w:r w:rsidR="00CF59D7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ure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1A4236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6</w:t>
      </w:r>
      <w:r w:rsidRPr="008A5FB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 xml:space="preserve"> </w:t>
      </w:r>
      <w:r w:rsidRPr="000104DD">
        <w:rPr>
          <w:rFonts w:ascii="Times New Roman" w:eastAsiaTheme="majorHAnsi" w:hAnsi="Times New Roman" w:cs="Times New Roman"/>
          <w:b/>
          <w:bCs/>
          <w:sz w:val="24"/>
          <w:szCs w:val="24"/>
        </w:rPr>
        <w:t>IGF2 facilitates EMT in OC through the glycolytic pathway</w:t>
      </w:r>
      <w:r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 xml:space="preserve">. </w:t>
      </w:r>
      <w:r w:rsidRPr="000104DD">
        <w:rPr>
          <w:rFonts w:ascii="Times New Roman" w:hAnsi="Times New Roman" w:cs="Times New Roman"/>
          <w:sz w:val="24"/>
          <w:szCs w:val="24"/>
        </w:rPr>
        <w:t>(</w:t>
      </w:r>
      <w:r w:rsidRPr="008A5FB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04DD">
        <w:rPr>
          <w:rFonts w:ascii="Times New Roman" w:hAnsi="Times New Roman" w:cs="Times New Roman"/>
          <w:sz w:val="24"/>
          <w:szCs w:val="24"/>
        </w:rPr>
        <w:t xml:space="preserve">) 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Western blot analysis was conducted to assess the expression of EMT-related signaling proteins (E-cadherin, N-cadherin, Vimentin, and Snail) in IGF2-overexpressing OC cells, with or without 2-DG treatment (*p &lt; 0.05, **p &lt; 0.01, ***p &lt; 0.001, ****p &lt; 0.0001 in t-test. N = 3).</w:t>
      </w:r>
    </w:p>
    <w:p w14:paraId="382A1040" w14:textId="77777777" w:rsidR="00BD5BCD" w:rsidRDefault="00BD5BCD"/>
    <w:sectPr w:rsidR="00BD5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344CB" w14:textId="77777777" w:rsidR="00DC4957" w:rsidRDefault="00DC4957" w:rsidP="00E9250A">
      <w:r>
        <w:separator/>
      </w:r>
    </w:p>
  </w:endnote>
  <w:endnote w:type="continuationSeparator" w:id="0">
    <w:p w14:paraId="621DBCE9" w14:textId="77777777" w:rsidR="00DC4957" w:rsidRDefault="00DC4957" w:rsidP="00E9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6672B" w14:textId="77777777" w:rsidR="00DC4957" w:rsidRDefault="00DC4957" w:rsidP="00E9250A">
      <w:r>
        <w:separator/>
      </w:r>
    </w:p>
  </w:footnote>
  <w:footnote w:type="continuationSeparator" w:id="0">
    <w:p w14:paraId="2B8CED49" w14:textId="77777777" w:rsidR="00DC4957" w:rsidRDefault="00DC4957" w:rsidP="00E92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CD"/>
    <w:rsid w:val="001A4236"/>
    <w:rsid w:val="004367A8"/>
    <w:rsid w:val="005552B6"/>
    <w:rsid w:val="005F49E0"/>
    <w:rsid w:val="00611994"/>
    <w:rsid w:val="00850485"/>
    <w:rsid w:val="00BD5BCD"/>
    <w:rsid w:val="00CF59D7"/>
    <w:rsid w:val="00DC4957"/>
    <w:rsid w:val="00E0232E"/>
    <w:rsid w:val="00E44581"/>
    <w:rsid w:val="00E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06BA1"/>
  <w15:chartTrackingRefBased/>
  <w15:docId w15:val="{1BDF7222-CF75-4CB8-BE81-C61074C1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5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5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25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2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25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306</Characters>
  <Application>Microsoft Office Word</Application>
  <DocSecurity>0</DocSecurity>
  <Lines>5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俊各 纪</dc:creator>
  <cp:keywords/>
  <dc:description/>
  <cp:lastModifiedBy>俊各 纪</cp:lastModifiedBy>
  <cp:revision>5</cp:revision>
  <dcterms:created xsi:type="dcterms:W3CDTF">2024-04-19T04:59:00Z</dcterms:created>
  <dcterms:modified xsi:type="dcterms:W3CDTF">2024-06-09T11:19:00Z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d9bbdbd3a6eec2add126945d88cba11f75eed6ac0c6f298b4aae8f527ca12364</vt:lpwstr>
  </property>
</Properties>
</file>