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AA43F" w14:textId="4C081C80" w:rsidR="00060AD2" w:rsidRDefault="00060AD2" w:rsidP="00366B7E">
      <w:pPr>
        <w:pStyle w:val="1"/>
        <w:spacing w:before="312" w:after="312"/>
      </w:pPr>
      <w:r>
        <w:rPr>
          <w:rFonts w:hint="eastAsia"/>
        </w:rPr>
        <w:t>S</w:t>
      </w:r>
      <w:r>
        <w:t xml:space="preserve">upplementary File </w:t>
      </w:r>
      <w:r w:rsidR="000A5FD1">
        <w:t>2</w:t>
      </w:r>
      <w:r>
        <w:t xml:space="preserve">. </w:t>
      </w:r>
      <w:r w:rsidRPr="00060AD2">
        <w:t>Supplementary Explanation of</w:t>
      </w:r>
      <w:r>
        <w:t xml:space="preserve"> Patients and Methods</w:t>
      </w:r>
    </w:p>
    <w:p w14:paraId="35EB633D" w14:textId="77777777" w:rsidR="00060AD2" w:rsidRPr="00326295" w:rsidRDefault="00060AD2" w:rsidP="00366B7E">
      <w:pPr>
        <w:pStyle w:val="2"/>
      </w:pPr>
      <w:r w:rsidRPr="00326295">
        <w:t>Participants</w:t>
      </w:r>
    </w:p>
    <w:p w14:paraId="679B80FD" w14:textId="24B4DCC9" w:rsidR="00D93BA2" w:rsidRDefault="00D93BA2" w:rsidP="00366B7E">
      <w:pPr>
        <w:pStyle w:val="3"/>
      </w:pPr>
      <w:r w:rsidRPr="00050D03">
        <w:t>Data source</w:t>
      </w:r>
    </w:p>
    <w:p w14:paraId="2EC77008" w14:textId="25487385" w:rsidR="00D93BA2" w:rsidRPr="00050D03" w:rsidRDefault="00D93BA2" w:rsidP="009D59BB">
      <w:pPr>
        <w:pStyle w:val="paragraphindent"/>
      </w:pPr>
      <w:r w:rsidRPr="00050D03">
        <w:t xml:space="preserve">Raw read counts and transcript per million (TPM) </w:t>
      </w:r>
      <w:r w:rsidR="005F0151" w:rsidRPr="00050D03">
        <w:t>normalized</w:t>
      </w:r>
      <w:r w:rsidRPr="00050D03">
        <w:t xml:space="preserve"> counts of TCGA bladder carcinoma (TCGA-BLCA) patients (platform: Illumina HiSeq 2000), somatic mutation data in mutation annotation format (MAF), gene-level copy number variation</w:t>
      </w:r>
      <w:r w:rsidR="004A7B4A">
        <w:t xml:space="preserve"> (</w:t>
      </w:r>
      <w:r w:rsidR="004A7B4A" w:rsidRPr="00050D03">
        <w:t>CNV</w:t>
      </w:r>
      <w:r w:rsidR="004A7B4A">
        <w:t>)</w:t>
      </w:r>
      <w:r w:rsidRPr="00050D03">
        <w:t xml:space="preserve"> [ Affymetrix single nucleotide polymorphism (SNP) Array 6.0], and the corresponding clinical information were </w:t>
      </w:r>
      <w:r w:rsidR="000A1656">
        <w:t>sourced</w:t>
      </w:r>
      <w:r w:rsidRPr="00050D03">
        <w:t xml:space="preserve"> from the Genomic Data Commons (GDC) Data Portal (</w:t>
      </w:r>
      <w:hyperlink r:id="rId8" w:history="1">
        <w:r w:rsidRPr="009D59BB">
          <w:rPr>
            <w:rStyle w:val="a7"/>
          </w:rPr>
          <w:t>https://portal.gdc.cancer.gov/</w:t>
        </w:r>
      </w:hyperlink>
      <w:r w:rsidRPr="00050D03">
        <w:t xml:space="preserve">). The TCGA cohort, </w:t>
      </w:r>
      <w:r w:rsidR="0094123C">
        <w:t xml:space="preserve">including </w:t>
      </w:r>
      <w:r w:rsidR="005F0151" w:rsidRPr="005F0151">
        <w:t>histologically normal adjacent tumor (NAT)</w:t>
      </w:r>
      <w:r w:rsidR="005F0151">
        <w:t xml:space="preserve"> tissues</w:t>
      </w:r>
      <w:r w:rsidRPr="00050D03">
        <w:t xml:space="preserve">, served as a training cohort for the development of prognostic model. The clinical traits of interest from TCGA were Vital status (Status), OS time, Age at diagnosis (Age), Gender, Race, TNM </w:t>
      </w:r>
      <w:r w:rsidRPr="00050D03">
        <w:rPr>
          <w:rFonts w:hint="eastAsia"/>
        </w:rPr>
        <w:t>sta</w:t>
      </w:r>
      <w:r w:rsidRPr="00050D03">
        <w:t xml:space="preserve">ge, T stage, </w:t>
      </w:r>
      <w:bookmarkStart w:id="0" w:name="_Hlk158552831"/>
      <w:r w:rsidRPr="00050D03">
        <w:t>Lymph node status (inferred from N stage), and Distant metastatic status</w:t>
      </w:r>
      <w:bookmarkEnd w:id="0"/>
      <w:r w:rsidRPr="00050D03">
        <w:t xml:space="preserve"> (inferred from M stage). </w:t>
      </w:r>
      <w:bookmarkStart w:id="1" w:name="_Hlk167893700"/>
      <w:r w:rsidRPr="00050D03">
        <w:t>The segmental CNV data of the TCGA</w:t>
      </w:r>
      <w:r w:rsidR="003C37A3">
        <w:t>-BLCA</w:t>
      </w:r>
      <w:r w:rsidRPr="00050D03">
        <w:t xml:space="preserve"> cohort </w:t>
      </w:r>
      <w:r w:rsidR="00111275">
        <w:t>were</w:t>
      </w:r>
      <w:r w:rsidRPr="00050D03">
        <w:t xml:space="preserve"> </w:t>
      </w:r>
      <w:r w:rsidR="00604C27" w:rsidRPr="00604C27">
        <w:t>simultaneously</w:t>
      </w:r>
      <w:r w:rsidRPr="00050D03">
        <w:t xml:space="preserve"> downloaded from </w:t>
      </w:r>
      <w:bookmarkStart w:id="2" w:name="_Hlk171527308"/>
      <w:r w:rsidRPr="00050D03">
        <w:t xml:space="preserve">the </w:t>
      </w:r>
      <w:r w:rsidR="006719DD" w:rsidRPr="006719DD">
        <w:t>cBioPortal for Cancer Genomics</w:t>
      </w:r>
      <w:r w:rsidR="006719DD">
        <w:t xml:space="preserve"> software platform</w:t>
      </w:r>
      <w:bookmarkStart w:id="3" w:name="_Hlk163754217"/>
      <w:r w:rsidRPr="00050D03">
        <w:t xml:space="preserve"> (</w:t>
      </w:r>
      <w:hyperlink r:id="rId9" w:history="1">
        <w:r w:rsidRPr="009D59BB">
          <w:rPr>
            <w:rStyle w:val="a7"/>
          </w:rPr>
          <w:t>https://www.cbioportal.org/</w:t>
        </w:r>
      </w:hyperlink>
      <w:r w:rsidRPr="00050D03">
        <w:t>)</w:t>
      </w:r>
      <w:bookmarkEnd w:id="3"/>
      <w:r w:rsidR="006719DD">
        <w:t xml:space="preserve"> </w:t>
      </w:r>
      <w:r w:rsidR="006719DD">
        <w:fldChar w:fldCharType="begin"/>
      </w:r>
      <w:r w:rsidR="00F2684F">
        <w:instrText xml:space="preserve"> ADDIN EN.CITE &lt;EndNote&gt;&lt;Cite&gt;&lt;Author&gt;Gao&lt;/Author&gt;&lt;Year&gt;2018&lt;/Year&gt;&lt;RecNum&gt;163&lt;/RecNum&gt;&lt;DisplayText&gt;[1]&lt;/DisplayText&gt;&lt;record&gt;&lt;rec-number&gt;163&lt;/rec-number&gt;&lt;foreign-keys&gt;&lt;key app="EN" db-id="0wetda2xo0eavpe0pt9vxpv0pepfzeefaewp" timestamp="1720606047"&gt;163&lt;/key&gt;&lt;/foreign-keys&gt;&lt;ref-type name="Journal Article"&gt;17&lt;/ref-type&gt;&lt;contributors&gt;&lt;authors&gt;&lt;author&gt;Gao, Jianjiong&lt;/author&gt;&lt;author&gt;Mazor, Tali&lt;/author&gt;&lt;author&gt;Ciftci, Ersin&lt;/author&gt;&lt;author&gt;Raman, Pichai&lt;/author&gt;&lt;author&gt;Lukasse, Pieter&lt;/author&gt;&lt;author&gt;Bahceci, Istemi&lt;/author&gt;&lt;author&gt;Sigaras, Alexandros&lt;/author&gt;&lt;author&gt;Abeshouse, Adam&lt;/author&gt;&lt;author&gt;Bruijn, Ino de&lt;/author&gt;&lt;author&gt;Gross, Benjamin&lt;/author&gt;&lt;/authors&gt;&lt;/contributors&gt;&lt;titles&gt;&lt;title&gt;The cBioPortal for Cancer Genomics: an intuitive open-source platform for exploration, analysis and visualization of cancer genomics data&lt;/title&gt;&lt;secondary-title&gt;Cancer Research&lt;/secondary-title&gt;&lt;alt-title&gt;Cancer Res&lt;/alt-title&gt;&lt;/titles&gt;&lt;pages&gt;923&lt;/pages&gt;&lt;volume&gt;78&lt;/volume&gt;&lt;number&gt;13_Supplement&lt;/number&gt;&lt;dates&gt;&lt;year&gt;2018&lt;/year&gt;&lt;/dates&gt;&lt;isbn&gt;0008-5472&lt;/isbn&gt;&lt;urls&gt;&lt;/urls&gt;&lt;/record&gt;&lt;/Cite&gt;&lt;/EndNote&gt;</w:instrText>
      </w:r>
      <w:r w:rsidR="006719DD">
        <w:fldChar w:fldCharType="separate"/>
      </w:r>
      <w:r w:rsidR="006719DD">
        <w:rPr>
          <w:noProof/>
        </w:rPr>
        <w:t>[1]</w:t>
      </w:r>
      <w:r w:rsidR="006719DD">
        <w:fldChar w:fldCharType="end"/>
      </w:r>
      <w:bookmarkEnd w:id="2"/>
      <w:r w:rsidRPr="00050D03">
        <w:t>.</w:t>
      </w:r>
      <w:bookmarkEnd w:id="1"/>
    </w:p>
    <w:p w14:paraId="3421B2EE" w14:textId="782F8DE7" w:rsidR="00D93BA2" w:rsidRDefault="00D93BA2" w:rsidP="009D59BB">
      <w:pPr>
        <w:pStyle w:val="paragraphindent"/>
      </w:pPr>
      <w:r w:rsidRPr="00050D03">
        <w:t xml:space="preserve">For external validation of the prognostic model established in the TCGA cohort, probe intensity matrix from BLCA patients with clinical information for GSE13507 (primary bladder cancer samples, </w:t>
      </w:r>
      <w:r w:rsidR="005F0151" w:rsidRPr="00050D03">
        <w:t>normalized</w:t>
      </w:r>
      <w:r w:rsidRPr="00050D03">
        <w:t xml:space="preserve"> data, platform: GPL6102, Illumina human-6 v2.0 expression beadchip)</w:t>
      </w:r>
      <w:r w:rsidR="00223D29">
        <w:t xml:space="preserve"> </w:t>
      </w:r>
      <w:r w:rsidR="00223D29">
        <w:fldChar w:fldCharType="begin"/>
      </w:r>
      <w:r w:rsidR="00D91508">
        <w:instrText xml:space="preserve"> ADDIN EN.CITE &lt;EndNote&gt;&lt;Cite&gt;&lt;Author&gt;Kim&lt;/Author&gt;&lt;Year&gt;2010&lt;/Year&gt;&lt;RecNum&gt;180&lt;/RecNum&gt;&lt;DisplayText&gt;[2]&lt;/DisplayText&gt;&lt;record&gt;&lt;rec-number&gt;180&lt;/rec-number&gt;&lt;foreign-keys&gt;&lt;key app="EN" db-id="0wetda2xo0eavpe0pt9vxpv0pepfzeefaewp" timestamp="1720864303"&gt;180&lt;/key&gt;&lt;/foreign-keys&gt;&lt;ref-type name="Journal Article"&gt;17&lt;/ref-type&gt;&lt;contributors&gt;&lt;authors&gt;&lt;author&gt;Kim, Wun Jae&lt;/author&gt;&lt;author&gt;Kim, Eun Jung&lt;/author&gt;&lt;author&gt;Kim, Seon Kyu&lt;/author&gt;&lt;author&gt;Kim, Yong June&lt;/author&gt;&lt;author&gt;Ha, Yun Sok&lt;/author&gt;&lt;author&gt;Jeong, Pildu&lt;/author&gt;&lt;author&gt;Kim, Min Ju&lt;/author&gt;&lt;author&gt;Yun, Seok Joong&lt;/author&gt;&lt;author&gt;Lee, Keon Myung&lt;/author&gt;&lt;author&gt;Moon, Sung Kwon&lt;/author&gt;&lt;author&gt;Lee, Sang Cheol&lt;/author&gt;&lt;author&gt;Cha, Eun Jong&lt;/author&gt;&lt;author&gt;Bae, Suk Chul&lt;/author&gt;&lt;/authors&gt;&lt;/contributors&gt;&lt;titles&gt;&lt;title&gt;Predictive value of progression-related gene classifier in primary non-muscle invasive bladder cancer&lt;/title&gt;&lt;secondary-title&gt;Molecular Cancer&lt;/secondary-title&gt;&lt;alt-title&gt;Mol Cancer&lt;/alt-title&gt;&lt;/titles&gt;&lt;pages&gt;3&lt;/pages&gt;&lt;volume&gt;9&lt;/volume&gt;&lt;number&gt;1&lt;/number&gt;&lt;dates&gt;&lt;year&gt;2010&lt;/year&gt;&lt;pub-dates&gt;&lt;date&gt;2010/01/08&lt;/date&gt;&lt;/pub-dates&gt;&lt;/dates&gt;&lt;isbn&gt;1476-4598&lt;/isbn&gt;&lt;urls&gt;&lt;related-urls&gt;&lt;url&gt;https://doi.org/10.1186/1476-4598-9-3&lt;/url&gt;&lt;/related-urls&gt;&lt;/urls&gt;&lt;electronic-resource-num&gt;10.1186/1476-4598-9-3&lt;/electronic-resource-num&gt;&lt;/record&gt;&lt;/Cite&gt;&lt;/EndNote&gt;</w:instrText>
      </w:r>
      <w:r w:rsidR="00223D29">
        <w:fldChar w:fldCharType="separate"/>
      </w:r>
      <w:r w:rsidR="00223D29">
        <w:rPr>
          <w:noProof/>
        </w:rPr>
        <w:t>[2]</w:t>
      </w:r>
      <w:r w:rsidR="00223D29">
        <w:fldChar w:fldCharType="end"/>
      </w:r>
      <w:r w:rsidRPr="00050D03">
        <w:t xml:space="preserve"> and GSE32894 (urothelial carcinomas</w:t>
      </w:r>
      <w:r w:rsidR="00223D29">
        <w:t xml:space="preserve"> [UCs]</w:t>
      </w:r>
      <w:r w:rsidRPr="00050D03">
        <w:t>, raw data, GPL6947, Illumina HumanHT-12 V3.0 expression beadchip)</w:t>
      </w:r>
      <w:r w:rsidR="0003166C">
        <w:t xml:space="preserve"> </w:t>
      </w:r>
      <w:bookmarkStart w:id="4" w:name="_Hlk171786043"/>
      <w:r w:rsidR="0003166C">
        <w:fldChar w:fldCharType="begin"/>
      </w:r>
      <w:r w:rsidR="00F2684F">
        <w:instrText xml:space="preserve"> ADDIN EN.CITE &lt;EndNote&gt;&lt;Cite&gt;&lt;Author&gt;Sjödahl&lt;/Author&gt;&lt;Year&gt;2012&lt;/Year&gt;&lt;RecNum&gt;181&lt;/RecNum&gt;&lt;DisplayText&gt;[3]&lt;/DisplayText&gt;&lt;record&gt;&lt;rec-number&gt;181&lt;/rec-number&gt;&lt;foreign-keys&gt;&lt;key app="EN" db-id="0wetda2xo0eavpe0pt9vxpv0pepfzeefaewp" timestamp="1720864800"&gt;181&lt;/key&gt;&lt;/foreign-keys&gt;&lt;ref-type name="Journal Article"&gt;17&lt;/ref-type&gt;&lt;contributors&gt;&lt;authors&gt;&lt;author&gt;Sjödahl, Gottfrid&lt;/author&gt;&lt;author&gt;Lauss, Martin&lt;/author&gt;&lt;author&gt;Lövgren, Kristina&lt;/author&gt;&lt;author&gt;Chebil, Gunilla&lt;/author&gt;&lt;author&gt;Gudjonsson, Sigurdur&lt;/author&gt;&lt;author&gt;Veerla, Srinivas&lt;/author&gt;&lt;author&gt;Patschan, Oliver&lt;/author&gt;&lt;author&gt;Aine, Mattias&lt;/author&gt;&lt;author&gt;Fernö, Mårten&lt;/author&gt;&lt;author&gt;Ringnér, Markus&lt;/author&gt;&lt;author&gt;Månsson, Wiking&lt;/author&gt;&lt;author&gt;Liedberg, Fredrik&lt;/author&gt;&lt;author&gt;Lindgren, David&lt;/author&gt;&lt;author&gt;Höglund, Mattias&lt;/author&gt;&lt;/authors&gt;&lt;/contributors&gt;&lt;auth-address&gt;Department of Oncology, Clinical Sciences, Lund University Hospital, Lund University, Lund, Sweden.&lt;/auth-address&gt;&lt;titles&gt;&lt;title&gt;A molecular taxonomy for urothelial carcinoma&lt;/title&gt;&lt;secondary-title&gt;Clinical cancer research : an official journal of the American Association for Cancer Research&lt;/secondary-title&gt;&lt;alt-title&gt;Clin Cancer Res&lt;/alt-title&gt;&lt;/titles&gt;&lt;pages&gt;3377–3386&lt;/pages&gt;&lt;volume&gt;18&lt;/volume&gt;&lt;number&gt;12&lt;/number&gt;&lt;keywords&gt;&lt;keyword&gt;Genetic Markers&lt;/keyword&gt;&lt;/keywords&gt;&lt;dates&gt;&lt;year&gt;2012&lt;/year&gt;&lt;pub-dates&gt;&lt;date&gt;2012/06//&lt;/date&gt;&lt;/pub-dates&gt;&lt;/dates&gt;&lt;isbn&gt;1078-0432&lt;/isbn&gt;&lt;accession-num&gt;22553347&lt;/accession-num&gt;&lt;urls&gt;&lt;related-urls&gt;&lt;url&gt;http://europepmc.org/abstract/MED/22553347&lt;/url&gt;&lt;url&gt;https://clincancerres.aacrjournals.org/content/clincanres/18/12/3377.full.pdf&lt;/url&gt;&lt;url&gt;https://doi.org/10.1158/1078-0432.CCR-12-0077-T&lt;/url&gt;&lt;/related-urls&gt;&lt;/urls&gt;&lt;electronic-resource-num&gt;10.1158/1078-0432.ccr-12-0077-t&lt;/electronic-resource-num&gt;&lt;remote-database-name&gt;PubMed&lt;/remote-database-name&gt;&lt;language&gt;eng&lt;/language&gt;&lt;/record&gt;&lt;/Cite&gt;&lt;/EndNote&gt;</w:instrText>
      </w:r>
      <w:r w:rsidR="0003166C">
        <w:fldChar w:fldCharType="separate"/>
      </w:r>
      <w:r w:rsidR="0003166C">
        <w:rPr>
          <w:noProof/>
        </w:rPr>
        <w:t>[3]</w:t>
      </w:r>
      <w:r w:rsidR="0003166C">
        <w:fldChar w:fldCharType="end"/>
      </w:r>
      <w:bookmarkEnd w:id="4"/>
      <w:r w:rsidRPr="00050D03">
        <w:t xml:space="preserve"> datasets were directly obtained from GEO (</w:t>
      </w:r>
      <w:hyperlink r:id="rId10" w:history="1">
        <w:r w:rsidR="009D59BB" w:rsidRPr="009200E2">
          <w:rPr>
            <w:rStyle w:val="a7"/>
          </w:rPr>
          <w:t>https://www.ncbi.nlm.nih.gov/geo/</w:t>
        </w:r>
      </w:hyperlink>
      <w:r w:rsidRPr="00050D03">
        <w:t>).</w:t>
      </w:r>
      <w:r w:rsidR="009D59BB">
        <w:t xml:space="preserve"> </w:t>
      </w:r>
      <w:r w:rsidR="009D59BB" w:rsidRPr="009D59BB">
        <w:t xml:space="preserve">Due to the small number of </w:t>
      </w:r>
      <w:r w:rsidR="009D59BB">
        <w:rPr>
          <w:rFonts w:hint="eastAsia"/>
        </w:rPr>
        <w:t>pati</w:t>
      </w:r>
      <w:r w:rsidR="009D59BB">
        <w:t>ents</w:t>
      </w:r>
      <w:r w:rsidR="009D59BB" w:rsidRPr="009D59BB">
        <w:t xml:space="preserve"> with T3/4 in </w:t>
      </w:r>
      <w:r w:rsidR="009D59BB" w:rsidRPr="009D59BB">
        <w:lastRenderedPageBreak/>
        <w:t>GSE32894 dataset, the prognostic model was externally validated using GSE13507 only.</w:t>
      </w:r>
    </w:p>
    <w:p w14:paraId="0FB0E836" w14:textId="7276D1E9" w:rsidR="008866F8" w:rsidRPr="00050D03" w:rsidRDefault="008866F8" w:rsidP="009D59BB">
      <w:pPr>
        <w:pStyle w:val="paragraphindent"/>
      </w:pPr>
      <w:r w:rsidRPr="00326295">
        <w:rPr>
          <w:rFonts w:cs="Times New Roman"/>
        </w:rPr>
        <w:t>A total of 581 ferroptosis-related genes (FRGs)</w:t>
      </w:r>
      <w:r w:rsidR="00F2684F">
        <w:rPr>
          <w:rFonts w:cs="Times New Roman"/>
        </w:rPr>
        <w:t xml:space="preserve"> (</w:t>
      </w:r>
      <w:r w:rsidR="00F2684F">
        <w:rPr>
          <w:b/>
          <w:bCs/>
        </w:rPr>
        <w:t>Additional file 3: Table S1</w:t>
      </w:r>
      <w:r w:rsidR="00F2684F" w:rsidRPr="00F2684F">
        <w:t>)</w:t>
      </w:r>
      <w:r w:rsidRPr="00F2684F">
        <w:rPr>
          <w:rFonts w:cs="Times New Roman"/>
        </w:rPr>
        <w:t xml:space="preserve"> </w:t>
      </w:r>
      <w:r w:rsidRPr="00326295">
        <w:rPr>
          <w:rFonts w:cs="Times New Roman"/>
        </w:rPr>
        <w:t>were extracted from the FerrDB V2 database (</w:t>
      </w:r>
      <w:hyperlink r:id="rId11" w:history="1">
        <w:r w:rsidRPr="00326295">
          <w:rPr>
            <w:rStyle w:val="a7"/>
            <w:rFonts w:cs="Times New Roman"/>
          </w:rPr>
          <w:t>http://www.zhounan.org/ferrdb/current/</w:t>
        </w:r>
      </w:hyperlink>
      <w:r w:rsidRPr="00326295">
        <w:rPr>
          <w:rFonts w:cs="Times New Roman"/>
        </w:rPr>
        <w:t xml:space="preserve">) </w:t>
      </w:r>
      <w:r w:rsidRPr="00326295">
        <w:rPr>
          <w:rFonts w:cs="Times New Roman"/>
        </w:rPr>
        <w:fldChar w:fldCharType="begin"/>
      </w:r>
      <w:r w:rsidR="00F2684F">
        <w:rPr>
          <w:rFonts w:cs="Times New Roman"/>
        </w:rPr>
        <w:instrText xml:space="preserve"> ADDIN EN.CITE &lt;EndNote&gt;&lt;Cite&gt;&lt;Author&gt;Zhou&lt;/Author&gt;&lt;Year&gt;2023&lt;/Year&gt;&lt;RecNum&gt;100&lt;/RecNum&gt;&lt;DisplayText&gt;[4]&lt;/DisplayText&gt;&lt;record&gt;&lt;rec-number&gt;100&lt;/rec-number&gt;&lt;foreign-keys&gt;&lt;key app="EN" db-id="0wetda2xo0eavpe0pt9vxpv0pepfzeefaewp" timestamp="1712291716"&gt;100&lt;/key&gt;&lt;/foreign-keys&gt;&lt;ref-type name="Journal Article"&gt;17&lt;/ref-type&gt;&lt;contributors&gt;&lt;authors&gt;&lt;author&gt;Zhou, Nan&lt;/author&gt;&lt;author&gt;Yuan, Xiaoqing&lt;/author&gt;&lt;author&gt;Du, Qingsong&lt;/author&gt;&lt;author&gt;Zhang, Zhiyu&lt;/author&gt;&lt;author&gt;Shi, Xiaolei&lt;/author&gt;&lt;author&gt;Bao, Jinku&lt;/author&gt;&lt;author&gt;Ning, Yuping&lt;/author&gt;&lt;author&gt;Peng, Li&lt;/author&gt;&lt;/authors&gt;&lt;/contributors&gt;&lt;auth-address&gt;Research Institute, The Affiliated Brain Hospital of Guangzhou Medical University, Guangzhou 510370, China.&lt;/auth-address&gt;&lt;titles&gt;&lt;title&gt;FerrDb V2: update of the manually curated database of ferroptosis regulators and ferroptosis-disease associations&lt;/title&gt;&lt;secondary-title&gt;Nucleic acids research&lt;/secondary-title&gt;&lt;alt-title&gt;Nucleic Acids Res&lt;/alt-title&gt;&lt;/titles&gt;&lt;pages&gt;D571–582&lt;/pages&gt;&lt;volume&gt;51&lt;/volume&gt;&lt;number&gt;D1&lt;/number&gt;&lt;keywords&gt;&lt;keyword&gt;Ferroptosis&lt;/keyword&gt;&lt;/keywords&gt;&lt;dates&gt;&lt;year&gt;2023&lt;/year&gt;&lt;pub-dates&gt;&lt;date&gt;2023/01//&lt;/date&gt;&lt;/pub-dates&gt;&lt;/dates&gt;&lt;isbn&gt;0305-1048&lt;/isbn&gt;&lt;accession-num&gt;36305834&lt;/accession-num&gt;&lt;urls&gt;&lt;related-urls&gt;&lt;url&gt;http://europepmc.org/abstract/MED/36305834&lt;/url&gt;&lt;url&gt;https://academic.oup.com/nar/article-pdf/51/D1/D571/48441766/gkac935.pdf&lt;/url&gt;&lt;url&gt;https://doi.org/10.1093/nar/gkac935&lt;/url&gt;&lt;url&gt;https://europepmc.org/articles/PMC9825716&lt;/url&gt;&lt;url&gt;https://europepmc.org/articles/PMC9825716?pdf=render&lt;/url&gt;&lt;/related-urls&gt;&lt;/urls&gt;&lt;electronic-resource-num&gt;10.1093/nar/gkac935&lt;/electronic-resource-num&gt;&lt;remote-database-name&gt;PubMed&lt;/remote-database-name&gt;&lt;language&gt;eng&lt;/language&gt;&lt;/record&gt;&lt;/Cite&gt;&lt;/EndNote&gt;</w:instrText>
      </w:r>
      <w:r w:rsidRPr="00326295">
        <w:rPr>
          <w:rFonts w:cs="Times New Roman"/>
        </w:rPr>
        <w:fldChar w:fldCharType="separate"/>
      </w:r>
      <w:r w:rsidR="0003166C">
        <w:rPr>
          <w:rFonts w:cs="Times New Roman"/>
          <w:noProof/>
        </w:rPr>
        <w:t>[4]</w:t>
      </w:r>
      <w:r w:rsidRPr="00326295">
        <w:rPr>
          <w:rFonts w:cs="Times New Roman"/>
        </w:rPr>
        <w:fldChar w:fldCharType="end"/>
      </w:r>
      <w:r w:rsidRPr="00326295">
        <w:rPr>
          <w:rFonts w:cs="Times New Roman"/>
        </w:rPr>
        <w:t xml:space="preserve">. Additionally, the Gene Ontology (GO) term (GOBP: ferroptosis), the Wikipathway pathway (WP: ferroptosis), and the Kyoto Encyclopedia of Genes and Genomes (KEGG, https://www.kegg.jp/) </w:t>
      </w:r>
      <w:r w:rsidRPr="00326295">
        <w:rPr>
          <w:rFonts w:cs="Times New Roman"/>
        </w:rPr>
        <w:fldChar w:fldCharType="begin"/>
      </w:r>
      <w:r w:rsidR="00F2684F">
        <w:rPr>
          <w:rFonts w:cs="Times New Roman"/>
        </w:rPr>
        <w:instrText xml:space="preserve"> ADDIN EN.CITE &lt;EndNote&gt;&lt;Cite&gt;&lt;Author&gt;Kanehisa&lt;/Author&gt;&lt;Year&gt;2000&lt;/Year&gt;&lt;RecNum&gt;149&lt;/RecNum&gt;&lt;DisplayText&gt;[5]&lt;/DisplayText&gt;&lt;record&gt;&lt;rec-number&gt;149&lt;/rec-number&gt;&lt;foreign-keys&gt;&lt;key app="EN" db-id="0wetda2xo0eavpe0pt9vxpv0pepfzeefaewp" timestamp="1712385762"&gt;149&lt;/key&gt;&lt;/foreign-keys&gt;&lt;ref-type name="Journal Article"&gt;17&lt;/ref-type&gt;&lt;contributors&gt;&lt;authors&gt;&lt;author&gt;Kanehisa, M.&lt;/author&gt;&lt;author&gt;Goto, S.&lt;/author&gt;&lt;/authors&gt;&lt;/contributors&gt;&lt;auth-address&gt;Institute for Chemical Research, Kyoto University, Uji, Kyoto 611-0011, Japan. kanehisa@kuicr.kyoto-u.ac.jp&lt;/auth-address&gt;&lt;titles&gt;&lt;title&gt;KEGG: Kyoto Encyclopedia of Genes and Genomes&lt;/title&gt;&lt;secondary-title&gt;Nucleic acids research&lt;/secondary-title&gt;&lt;alt-title&gt;Nucleic Acids Res&lt;/alt-title&gt;&lt;/titles&gt;&lt;pages&gt;27–30&lt;/pages&gt;&lt;volume&gt;28&lt;/volume&gt;&lt;number&gt;1&lt;/number&gt;&lt;keywords&gt;&lt;keyword&gt;Genome&lt;/keyword&gt;&lt;keyword&gt;Databases, Factual&lt;/keyword&gt;&lt;/keywords&gt;&lt;dates&gt;&lt;year&gt;2000&lt;/year&gt;&lt;pub-dates&gt;&lt;date&gt;2000/01//&lt;/date&gt;&lt;/pub-dates&gt;&lt;/dates&gt;&lt;isbn&gt;0305-1048&lt;/isbn&gt;&lt;accession-num&gt;10592173&lt;/accession-num&gt;&lt;urls&gt;&lt;related-urls&gt;&lt;url&gt;http://europepmc.org/abstract/MED/10592173&lt;/url&gt;&lt;url&gt;https://academic.oup.com/nar/article-pdf/28/1/27/9895154/280027.pdf&lt;/url&gt;&lt;url&gt;https://doi.org/10.1093/nar/28.1.27&lt;/url&gt;&lt;url&gt;https://europepmc.org/articles/PMC102409&lt;/url&gt;&lt;url&gt;https://europepmc.org/articles/PMC102409?pdf=render&lt;/url&gt;&lt;/related-urls&gt;&lt;/urls&gt;&lt;electronic-resource-num&gt;10.1093/nar/28.1.27&lt;/electronic-resource-num&gt;&lt;remote-database-name&gt;PubMed&lt;/remote-database-name&gt;&lt;language&gt;eng&lt;/language&gt;&lt;/record&gt;&lt;/Cite&gt;&lt;/EndNote&gt;</w:instrText>
      </w:r>
      <w:r w:rsidRPr="00326295">
        <w:rPr>
          <w:rFonts w:cs="Times New Roman"/>
        </w:rPr>
        <w:fldChar w:fldCharType="separate"/>
      </w:r>
      <w:r w:rsidR="0003166C">
        <w:rPr>
          <w:rFonts w:cs="Times New Roman"/>
          <w:noProof/>
        </w:rPr>
        <w:t>[5]</w:t>
      </w:r>
      <w:r w:rsidRPr="00326295">
        <w:rPr>
          <w:rFonts w:cs="Times New Roman"/>
        </w:rPr>
        <w:fldChar w:fldCharType="end"/>
      </w:r>
      <w:r w:rsidRPr="00326295">
        <w:rPr>
          <w:rFonts w:cs="Times New Roman"/>
        </w:rPr>
        <w:t xml:space="preserve"> pathway (KEGG pathway: Ferroptosis [hsa04216]) relevant to ferroptosis (human genes only)</w:t>
      </w:r>
      <w:r>
        <w:rPr>
          <w:rFonts w:cs="Times New Roman"/>
        </w:rPr>
        <w:t xml:space="preserve"> were also included</w:t>
      </w:r>
      <w:r w:rsidRPr="00326295">
        <w:rPr>
          <w:rFonts w:cs="Times New Roman"/>
        </w:rPr>
        <w:t>. The gene sets for the GO, Wikipathway</w:t>
      </w:r>
      <w:r w:rsidR="009363AA">
        <w:rPr>
          <w:rFonts w:cs="Times New Roman"/>
        </w:rPr>
        <w:t>, and Hallmark</w:t>
      </w:r>
      <w:r w:rsidRPr="00326295">
        <w:rPr>
          <w:rFonts w:cs="Times New Roman"/>
        </w:rPr>
        <w:t xml:space="preserve"> were sourced from the </w:t>
      </w:r>
      <w:r w:rsidR="009363AA" w:rsidRPr="009363AA">
        <w:rPr>
          <w:rFonts w:cs="Times New Roman"/>
        </w:rPr>
        <w:t>Molecular signatures database (MSigDB)</w:t>
      </w:r>
      <w:r w:rsidRPr="00326295">
        <w:rPr>
          <w:rFonts w:cs="Times New Roman"/>
        </w:rPr>
        <w:t xml:space="preserve"> </w:t>
      </w:r>
      <w:r w:rsidRPr="00326295">
        <w:t>(</w:t>
      </w:r>
      <w:hyperlink r:id="rId12" w:history="1">
        <w:r w:rsidR="009363AA" w:rsidRPr="00FB70FF">
          <w:rPr>
            <w:rStyle w:val="a7"/>
          </w:rPr>
          <w:t>https://www.gsea-msigdb.org/gsea/msigdb</w:t>
        </w:r>
      </w:hyperlink>
      <w:r w:rsidRPr="00326295">
        <w:t>)</w:t>
      </w:r>
      <w:r w:rsidR="0042049F">
        <w:t xml:space="preserve"> </w:t>
      </w:r>
      <w:r w:rsidR="0042049F">
        <w:fldChar w:fldCharType="begin"/>
      </w:r>
      <w:r w:rsidR="00F2684F">
        <w:instrText xml:space="preserve"> ADDIN EN.CITE &lt;EndNote&gt;&lt;Cite&gt;&lt;Author&gt;Liberzon&lt;/Author&gt;&lt;Year&gt;2011&lt;/Year&gt;&lt;RecNum&gt;178&lt;/RecNum&gt;&lt;DisplayText&gt;[6]&lt;/DisplayText&gt;&lt;record&gt;&lt;rec-number&gt;178&lt;/rec-number&gt;&lt;foreign-keys&gt;&lt;key app="EN" db-id="0wetda2xo0eavpe0pt9vxpv0pepfzeefaewp" timestamp="1720783662"&gt;178&lt;/key&gt;&lt;/foreign-keys&gt;&lt;ref-type name="Journal Article"&gt;17&lt;/ref-type&gt;&lt;contributors&gt;&lt;authors&gt;&lt;author&gt;Liberzon, Arthur&lt;/author&gt;&lt;author&gt;Subramanian, Aravind&lt;/author&gt;&lt;author&gt;Pinchback, Reid&lt;/author&gt;&lt;author&gt;Thorvaldsdóttir, Helga&lt;/author&gt;&lt;author&gt;Tamayo, Pablo&lt;/author&gt;&lt;author&gt;Mesirov, Jill P.&lt;/author&gt;&lt;/authors&gt;&lt;/contributors&gt;&lt;titles&gt;&lt;title&gt;Molecular signatures database (MSigDB) 3.0&lt;/title&gt;&lt;secondary-title&gt;Bioinformatics&lt;/secondary-title&gt;&lt;alt-title&gt;Bioinformatics&lt;/alt-title&gt;&lt;/titles&gt;&lt;pages&gt;1739–1740&lt;/pages&gt;&lt;volume&gt;27&lt;/volume&gt;&lt;number&gt;12&lt;/number&gt;&lt;dates&gt;&lt;year&gt;2011&lt;/year&gt;&lt;/dates&gt;&lt;isbn&gt;1367-4803&lt;/isbn&gt;&lt;urls&gt;&lt;related-urls&gt;&lt;url&gt;https://doi.org/10.1093/bioinformatics/btr260&lt;/url&gt;&lt;/related-urls&gt;&lt;/urls&gt;&lt;electronic-resource-num&gt;10.1093/bioinformatics/btr260&lt;/electronic-resource-num&gt;&lt;access-date&gt;7/12/2024&lt;/access-date&gt;&lt;/record&gt;&lt;/Cite&gt;&lt;/EndNote&gt;</w:instrText>
      </w:r>
      <w:r w:rsidR="0042049F">
        <w:fldChar w:fldCharType="separate"/>
      </w:r>
      <w:r w:rsidR="0003166C">
        <w:rPr>
          <w:noProof/>
        </w:rPr>
        <w:t>[6]</w:t>
      </w:r>
      <w:r w:rsidR="0042049F">
        <w:fldChar w:fldCharType="end"/>
      </w:r>
      <w:r w:rsidRPr="00326295">
        <w:rPr>
          <w:rFonts w:cs="Times New Roman"/>
        </w:rPr>
        <w:t xml:space="preserve">. Simultaneously, a total of 85 cuproptosis-related genes (CRGs) </w:t>
      </w:r>
      <w:r w:rsidR="00F2684F">
        <w:rPr>
          <w:rFonts w:cs="Times New Roman"/>
        </w:rPr>
        <w:t>(</w:t>
      </w:r>
      <w:r w:rsidR="00F2684F">
        <w:rPr>
          <w:b/>
          <w:bCs/>
        </w:rPr>
        <w:t>Additional file 3: Table S2</w:t>
      </w:r>
      <w:r w:rsidR="00F2684F" w:rsidRPr="00F2684F">
        <w:t>)</w:t>
      </w:r>
      <w:r w:rsidR="00F2684F">
        <w:t xml:space="preserve"> </w:t>
      </w:r>
      <w:r w:rsidRPr="00326295">
        <w:rPr>
          <w:rFonts w:cs="Times New Roman"/>
        </w:rPr>
        <w:t>were identified through a comprehensive review of previous studies</w:t>
      </w:r>
      <w:r w:rsidR="009363AA">
        <w:rPr>
          <w:rFonts w:cs="Times New Roman"/>
        </w:rPr>
        <w:t xml:space="preserve"> </w:t>
      </w:r>
      <w:r w:rsidR="009363AA">
        <w:rPr>
          <w:rFonts w:cs="Times New Roman"/>
        </w:rPr>
        <w:fldChar w:fldCharType="begin">
          <w:fldData xml:space="preserve">PEVuZE5vdGU+PENpdGU+PEF1dGhvcj5MdW88L0F1dGhvcj48WWVhcj4yMDIyPC9ZZWFyPjxSZWNO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</w:fldData>
        </w:fldChar>
      </w:r>
      <w:r w:rsidR="00F2684F">
        <w:rPr>
          <w:rFonts w:cs="Times New Roman"/>
        </w:rPr>
        <w:instrText xml:space="preserve"> ADDIN EN.CITE </w:instrText>
      </w:r>
      <w:r w:rsidR="00F2684F">
        <w:rPr>
          <w:rFonts w:cs="Times New Roman"/>
        </w:rPr>
        <w:fldChar w:fldCharType="begin">
          <w:fldData xml:space="preserve">PEVuZE5vdGU+PENpdGU+PEF1dGhvcj5MdW88L0F1dGhvcj48WWVhcj4yMDIyPC9ZZWFyPjxSZWNO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</w:fldData>
        </w:fldChar>
      </w:r>
      <w:r w:rsidR="00F2684F">
        <w:rPr>
          <w:rFonts w:cs="Times New Roman"/>
        </w:rPr>
        <w:instrText xml:space="preserve"> ADDIN EN.CITE.DATA </w:instrText>
      </w:r>
      <w:r w:rsidR="00F2684F">
        <w:rPr>
          <w:rFonts w:cs="Times New Roman"/>
        </w:rPr>
      </w:r>
      <w:r w:rsidR="00F2684F">
        <w:rPr>
          <w:rFonts w:cs="Times New Roman"/>
        </w:rPr>
        <w:fldChar w:fldCharType="end"/>
      </w:r>
      <w:r w:rsidR="009363AA">
        <w:rPr>
          <w:rFonts w:cs="Times New Roman"/>
        </w:rPr>
      </w:r>
      <w:r w:rsidR="009363AA">
        <w:rPr>
          <w:rFonts w:cs="Times New Roman"/>
        </w:rPr>
        <w:fldChar w:fldCharType="separate"/>
      </w:r>
      <w:r w:rsidR="0003166C">
        <w:rPr>
          <w:rFonts w:cs="Times New Roman"/>
          <w:noProof/>
        </w:rPr>
        <w:t>[7-13]</w:t>
      </w:r>
      <w:r w:rsidR="009363AA">
        <w:rPr>
          <w:rFonts w:cs="Times New Roman"/>
        </w:rPr>
        <w:fldChar w:fldCharType="end"/>
      </w:r>
      <w:r w:rsidRPr="00326295">
        <w:rPr>
          <w:rFonts w:cs="Times New Roman"/>
        </w:rPr>
        <w:t>.</w:t>
      </w:r>
    </w:p>
    <w:p w14:paraId="0BDA2E01" w14:textId="4611BD8E" w:rsidR="00D93BA2" w:rsidRPr="00050D03" w:rsidRDefault="00D365F9" w:rsidP="00D93BA2">
      <w:pPr>
        <w:pStyle w:val="3"/>
        <w:rPr>
          <w:color w:val="000000" w:themeColor="text1"/>
        </w:rPr>
      </w:pPr>
      <w:r w:rsidRPr="00050D03">
        <w:rPr>
          <w:color w:val="000000" w:themeColor="text1"/>
        </w:rPr>
        <w:t>Inclusion and exclusion criteria</w:t>
      </w:r>
    </w:p>
    <w:p w14:paraId="4C239229" w14:textId="78D4FB4B" w:rsidR="00D93BA2" w:rsidRPr="00050D03" w:rsidRDefault="00D93BA2" w:rsidP="00D93BA2">
      <w:pPr>
        <w:pStyle w:val="paragraphindent"/>
        <w:rPr>
          <w:color w:val="000000" w:themeColor="text1"/>
        </w:rPr>
      </w:pPr>
      <w:r w:rsidRPr="00050D03">
        <w:rPr>
          <w:color w:val="000000" w:themeColor="text1"/>
        </w:rPr>
        <w:t xml:space="preserve">Patients </w:t>
      </w:r>
      <w:r w:rsidR="00111275">
        <w:rPr>
          <w:color w:val="000000" w:themeColor="text1"/>
        </w:rPr>
        <w:t>were</w:t>
      </w:r>
      <w:r w:rsidRPr="00050D03">
        <w:rPr>
          <w:color w:val="000000" w:themeColor="text1"/>
        </w:rPr>
        <w:t xml:space="preserve"> eligible to be included in the study only if they met all of the following criteria:</w:t>
      </w:r>
    </w:p>
    <w:p w14:paraId="0BAB18C6" w14:textId="5F6C2661" w:rsidR="00D93BA2" w:rsidRPr="00050D03" w:rsidRDefault="00D93BA2" w:rsidP="00D93BA2">
      <w:pPr>
        <w:pStyle w:val="paragraphindent"/>
        <w:numPr>
          <w:ilvl w:val="0"/>
          <w:numId w:val="2"/>
        </w:numPr>
        <w:rPr>
          <w:color w:val="000000" w:themeColor="text1"/>
        </w:rPr>
      </w:pPr>
      <w:r w:rsidRPr="00050D03">
        <w:rPr>
          <w:color w:val="000000" w:themeColor="text1"/>
        </w:rPr>
        <w:t>Patients with complete survival status records and an OS time of more than</w:t>
      </w:r>
      <w:r w:rsidR="00D91508">
        <w:rPr>
          <w:color w:val="000000" w:themeColor="text1"/>
        </w:rPr>
        <w:t xml:space="preserve"> </w:t>
      </w:r>
      <w:r w:rsidRPr="00050D03">
        <w:rPr>
          <w:color w:val="000000" w:themeColor="text1"/>
        </w:rPr>
        <w:t>1 month (30 days).</w:t>
      </w:r>
    </w:p>
    <w:p w14:paraId="3DE20A4B" w14:textId="77777777" w:rsidR="00D93BA2" w:rsidRPr="00050D03" w:rsidRDefault="00D93BA2" w:rsidP="00D93BA2">
      <w:pPr>
        <w:pStyle w:val="paragraphindent"/>
        <w:numPr>
          <w:ilvl w:val="0"/>
          <w:numId w:val="2"/>
        </w:numPr>
        <w:rPr>
          <w:color w:val="000000" w:themeColor="text1"/>
        </w:rPr>
      </w:pPr>
      <w:r w:rsidRPr="00050D03">
        <w:rPr>
          <w:color w:val="000000" w:themeColor="text1"/>
        </w:rPr>
        <w:t>Patients whose histological type was “Muscle Invasive Urothelial Carcinoma (PT2 or above)” (for the TCGA cohort only).</w:t>
      </w:r>
    </w:p>
    <w:p w14:paraId="23B1B916" w14:textId="77777777" w:rsidR="00D93BA2" w:rsidRPr="00050D03" w:rsidRDefault="00D93BA2" w:rsidP="00D93BA2">
      <w:pPr>
        <w:pStyle w:val="Para"/>
        <w:ind w:firstLine="480"/>
        <w:rPr>
          <w:color w:val="000000" w:themeColor="text1"/>
        </w:rPr>
      </w:pPr>
      <w:r w:rsidRPr="00050D03">
        <w:rPr>
          <w:color w:val="000000" w:themeColor="text1"/>
        </w:rPr>
        <w:t>Patients will be excluded from the study if they met any of the following criteria:</w:t>
      </w:r>
    </w:p>
    <w:p w14:paraId="741652A9" w14:textId="77777777" w:rsidR="00D93BA2" w:rsidRPr="00050D03" w:rsidRDefault="00D93BA2" w:rsidP="00D93BA2">
      <w:pPr>
        <w:pStyle w:val="a8"/>
        <w:numPr>
          <w:ilvl w:val="0"/>
          <w:numId w:val="1"/>
        </w:numPr>
        <w:ind w:firstLineChars="0"/>
        <w:rPr>
          <w:color w:val="000000" w:themeColor="text1"/>
        </w:rPr>
      </w:pPr>
      <w:r w:rsidRPr="00050D03">
        <w:rPr>
          <w:color w:val="000000" w:themeColor="text1"/>
        </w:rPr>
        <w:t>Patients whose cancer tissue of origin were not located at bladder.</w:t>
      </w:r>
    </w:p>
    <w:p w14:paraId="176E1D26" w14:textId="173E18E4" w:rsidR="00D93BA2" w:rsidRPr="00050D03" w:rsidRDefault="00D93BA2" w:rsidP="00D93BA2">
      <w:pPr>
        <w:pStyle w:val="a8"/>
        <w:numPr>
          <w:ilvl w:val="0"/>
          <w:numId w:val="1"/>
        </w:numPr>
        <w:ind w:firstLineChars="0"/>
        <w:rPr>
          <w:color w:val="000000" w:themeColor="text1"/>
        </w:rPr>
      </w:pPr>
      <w:r w:rsidRPr="00050D03">
        <w:rPr>
          <w:color w:val="000000" w:themeColor="text1"/>
        </w:rPr>
        <w:t xml:space="preserve">Patients with unknown TNM </w:t>
      </w:r>
      <w:r w:rsidR="00103549">
        <w:rPr>
          <w:color w:val="000000" w:themeColor="text1"/>
        </w:rPr>
        <w:t>s</w:t>
      </w:r>
      <w:r w:rsidRPr="00050D03">
        <w:rPr>
          <w:color w:val="000000" w:themeColor="text1"/>
        </w:rPr>
        <w:t>tage.</w:t>
      </w:r>
    </w:p>
    <w:p w14:paraId="7661091A" w14:textId="0F7944C3" w:rsidR="00D93BA2" w:rsidRDefault="00D93BA2" w:rsidP="00D93BA2">
      <w:pPr>
        <w:pStyle w:val="a8"/>
        <w:numPr>
          <w:ilvl w:val="0"/>
          <w:numId w:val="1"/>
        </w:numPr>
        <w:ind w:firstLineChars="0"/>
        <w:rPr>
          <w:color w:val="000000" w:themeColor="text1"/>
        </w:rPr>
      </w:pPr>
      <w:r w:rsidRPr="00050D03">
        <w:rPr>
          <w:color w:val="000000" w:themeColor="text1"/>
        </w:rPr>
        <w:t xml:space="preserve">Patients with unknown </w:t>
      </w:r>
      <w:r w:rsidR="00103549">
        <w:rPr>
          <w:color w:val="000000" w:themeColor="text1"/>
        </w:rPr>
        <w:t>g</w:t>
      </w:r>
      <w:r w:rsidRPr="00050D03">
        <w:rPr>
          <w:color w:val="000000" w:themeColor="text1"/>
        </w:rPr>
        <w:t>rade.</w:t>
      </w:r>
    </w:p>
    <w:p w14:paraId="3A4FA0D7" w14:textId="600DB4EF" w:rsidR="0094123C" w:rsidRPr="0094123C" w:rsidRDefault="0094123C" w:rsidP="0094123C">
      <w:pPr>
        <w:pStyle w:val="Para"/>
        <w:ind w:firstLine="480"/>
        <w:rPr>
          <w:rFonts w:cs="Times New Roman"/>
          <w:color w:val="000000" w:themeColor="text1"/>
        </w:rPr>
      </w:pPr>
      <w:r w:rsidRPr="00050D03">
        <w:rPr>
          <w:rFonts w:cs="Times New Roman"/>
          <w:color w:val="000000" w:themeColor="text1"/>
        </w:rPr>
        <w:lastRenderedPageBreak/>
        <w:t>The final training cohort included a total of 384 tumour samples</w:t>
      </w:r>
      <w:r>
        <w:rPr>
          <w:rFonts w:cs="Times New Roman"/>
          <w:color w:val="000000" w:themeColor="text1"/>
        </w:rPr>
        <w:t xml:space="preserve"> (</w:t>
      </w:r>
      <w:r w:rsidR="004A7B4A">
        <w:rPr>
          <w:rFonts w:cs="Times New Roman"/>
          <w:color w:val="000000" w:themeColor="text1"/>
        </w:rPr>
        <w:t xml:space="preserve">segmental </w:t>
      </w:r>
      <w:r>
        <w:rPr>
          <w:rFonts w:cs="Times New Roman"/>
          <w:color w:val="000000" w:themeColor="text1"/>
        </w:rPr>
        <w:t>CNV profiles: 380 tumour samples)</w:t>
      </w:r>
      <w:r w:rsidRPr="00050D03">
        <w:rPr>
          <w:rFonts w:cs="Times New Roman"/>
          <w:color w:val="000000" w:themeColor="text1"/>
        </w:rPr>
        <w:t xml:space="preserve"> and 17 NAT tissues </w:t>
      </w:r>
      <w:r>
        <w:rPr>
          <w:rFonts w:cs="Times New Roman"/>
          <w:color w:val="000000" w:themeColor="text1"/>
        </w:rPr>
        <w:t>from</w:t>
      </w:r>
      <w:r w:rsidRPr="00050D03">
        <w:rPr>
          <w:rFonts w:cs="Times New Roman"/>
          <w:color w:val="000000" w:themeColor="text1"/>
        </w:rPr>
        <w:t xml:space="preserve"> the TCGA project. </w:t>
      </w:r>
      <w:r w:rsidRPr="00197542">
        <w:rPr>
          <w:rFonts w:cs="Times New Roman"/>
          <w:color w:val="000000" w:themeColor="text1"/>
        </w:rPr>
        <w:t xml:space="preserve">GSE13507 dataset comprised 165 </w:t>
      </w:r>
      <w:r>
        <w:rPr>
          <w:rFonts w:cs="Times New Roman"/>
          <w:color w:val="000000" w:themeColor="text1"/>
        </w:rPr>
        <w:t xml:space="preserve">primary </w:t>
      </w:r>
      <w:r w:rsidRPr="00197542">
        <w:rPr>
          <w:rFonts w:cs="Times New Roman" w:hint="eastAsia"/>
          <w:color w:val="000000" w:themeColor="text1"/>
        </w:rPr>
        <w:t>b</w:t>
      </w:r>
      <w:r w:rsidRPr="00197542">
        <w:rPr>
          <w:rFonts w:cs="Times New Roman"/>
          <w:color w:val="000000" w:themeColor="text1"/>
        </w:rPr>
        <w:t>ladder cancer patients</w:t>
      </w:r>
      <w:r>
        <w:rPr>
          <w:rFonts w:cs="Times New Roman"/>
          <w:color w:val="000000" w:themeColor="text1"/>
        </w:rPr>
        <w:t>,</w:t>
      </w:r>
      <w:r w:rsidRPr="00197542">
        <w:rPr>
          <w:rFonts w:cs="Times New Roman"/>
          <w:color w:val="000000" w:themeColor="text1"/>
        </w:rPr>
        <w:t xml:space="preserve"> and GSE32894 dataset consisted of 224 </w:t>
      </w:r>
      <w:r w:rsidR="00223D29">
        <w:rPr>
          <w:rFonts w:cs="Times New Roman"/>
          <w:color w:val="000000" w:themeColor="text1"/>
        </w:rPr>
        <w:t xml:space="preserve">UC </w:t>
      </w:r>
      <w:r w:rsidRPr="00197542">
        <w:rPr>
          <w:rFonts w:cs="Times New Roman"/>
          <w:color w:val="000000" w:themeColor="text1"/>
        </w:rPr>
        <w:t>cases.</w:t>
      </w:r>
    </w:p>
    <w:p w14:paraId="43485150" w14:textId="77777777" w:rsidR="00D93BA2" w:rsidRPr="00050D03" w:rsidRDefault="00D93BA2" w:rsidP="00D93BA2">
      <w:pPr>
        <w:pStyle w:val="3"/>
        <w:rPr>
          <w:color w:val="000000" w:themeColor="text1"/>
        </w:rPr>
      </w:pPr>
      <w:r w:rsidRPr="00050D03">
        <w:rPr>
          <w:color w:val="000000" w:themeColor="text1"/>
        </w:rPr>
        <w:t>Data processing</w:t>
      </w:r>
    </w:p>
    <w:p w14:paraId="4864477F" w14:textId="4B9079C0" w:rsidR="00D93BA2" w:rsidRPr="00050D03" w:rsidRDefault="00D93BA2" w:rsidP="00D93BA2">
      <w:pPr>
        <w:pStyle w:val="Para"/>
        <w:ind w:firstLine="480"/>
        <w:rPr>
          <w:rFonts w:cs="Times New Roman"/>
          <w:color w:val="000000" w:themeColor="text1"/>
        </w:rPr>
      </w:pPr>
      <w:bookmarkStart w:id="5" w:name="_Hlk157783792"/>
      <w:r w:rsidRPr="00050D03">
        <w:rPr>
          <w:rFonts w:cs="Times New Roman"/>
          <w:color w:val="000000" w:themeColor="text1"/>
        </w:rPr>
        <w:t xml:space="preserve">The duplicate ensembles/probes mapping to the same gene symbol were averaged by the “avereps” function from the “limma” package </w:t>
      </w:r>
      <w:r w:rsidRPr="00050D03">
        <w:rPr>
          <w:rFonts w:cs="Times New Roman"/>
          <w:color w:val="000000" w:themeColor="text1"/>
        </w:rPr>
        <w:fldChar w:fldCharType="begin"/>
      </w:r>
      <w:r w:rsidR="00D91508">
        <w:rPr>
          <w:rFonts w:cs="Times New Roman"/>
          <w:color w:val="000000" w:themeColor="text1"/>
        </w:rPr>
        <w:instrText xml:space="preserve"> ADDIN EN.CITE &lt;EndNote&gt;&lt;Cite&gt;&lt;Author&gt;Ritchie&lt;/Author&gt;&lt;Year&gt;2015&lt;/Year&gt;&lt;RecNum&gt;150&lt;/RecNum&gt;&lt;DisplayText&gt;[14]&lt;/DisplayText&gt;&lt;record&gt;&lt;rec-number&gt;150&lt;/rec-number&gt;&lt;foreign-keys&gt;&lt;key app="EN" db-id="0wetda2xo0eavpe0pt9vxpv0pepfzeefaewp" timestamp="1712385762"&gt;150&lt;/key&gt;&lt;/foreign-keys&gt;&lt;ref-type name="Journal Article"&gt;17&lt;/ref-type&gt;&lt;contributors&gt;&lt;authors&gt;&lt;author&gt;Ritchie, Matthew E.&lt;/author&gt;&lt;author&gt;Phipson, Belinda&lt;/author&gt;&lt;author&gt;Wu, Di&lt;/author&gt;&lt;author&gt;Hu, Yifang&lt;/author&gt;&lt;author&gt;Law, Charity W.&lt;/author&gt;&lt;author&gt;Shi, Wei&lt;/author&gt;&lt;author&gt;Smyth, Gordon K.&lt;/author&gt;&lt;/authors&gt;&lt;/contributors&gt;&lt;auth-address&gt;Molecular Medicine Division, The Walter and Eliza Hall Institute of Medical Research, 1G Royal Parade, Parkville, Victoria 3052, Australia Department of Mathematics and Statistics, The University of Melbourne, Parkville, Victoria 3010, Australia.&lt;/auth-address&gt;&lt;titles&gt;&lt;title&gt;&lt;style face="italic" font="default" size="100%"&gt;limma&lt;/style&gt;&lt;style face="normal" font="default" size="100%"&gt; powers differential expression analyses for RNA-sequencing and microarray studies&lt;/style&gt;&lt;/title&gt;&lt;secondary-title&gt;Nucleic acids research&lt;/secondary-title&gt;&lt;alt-title&gt;Nucleic Acids Res&lt;/alt-title&gt;&lt;/titles&gt;&lt;pages&gt;e47&lt;/pages&gt;&lt;volume&gt;43&lt;/volume&gt;&lt;number&gt;7&lt;/number&gt;&lt;keywords&gt;&lt;keyword&gt;Oligonucleotide Array Sequence Analysis&lt;/keyword&gt;&lt;keyword&gt;Sequence Analysis, RNA&lt;/keyword&gt;&lt;keyword&gt;Gene Expression Regulation&lt;/keyword&gt;&lt;keyword&gt;Software&lt;/keyword&gt;&lt;/keywords&gt;&lt;dates&gt;&lt;year&gt;2015&lt;/year&gt;&lt;pub-dates&gt;&lt;date&gt;2015/04//&lt;/date&gt;&lt;/pub-dates&gt;&lt;/dates&gt;&lt;isbn&gt;0305-1048&lt;/isbn&gt;&lt;accession-num&gt;25605792&lt;/accession-num&gt;&lt;urls&gt;&lt;related-urls&gt;&lt;url&gt;http://europepmc.org/abstract/MED/25605792&lt;/url&gt;&lt;url&gt;https://doi.org/10.1093/nar/gkv007&lt;/url&gt;&lt;url&gt;https://europepmc.org/articles/PMC4402510&lt;/url&gt;&lt;url&gt;https://europepmc.org/articles/PMC4402510?pdf=render&lt;/url&gt;&lt;/related-urls&gt;&lt;/urls&gt;&lt;electronic-resource-num&gt;10.1093/nar/gkv007&lt;/electronic-resource-num&gt;&lt;remote-database-name&gt;PubMed&lt;/remote-database-name&gt;&lt;language&gt;eng&lt;/language&gt;&lt;/record&gt;&lt;/Cite&gt;&lt;/EndNote&gt;</w:instrText>
      </w:r>
      <w:r w:rsidRPr="00050D03">
        <w:rPr>
          <w:rFonts w:cs="Times New Roman"/>
          <w:color w:val="000000" w:themeColor="text1"/>
        </w:rPr>
        <w:fldChar w:fldCharType="separate"/>
      </w:r>
      <w:r w:rsidR="0003166C">
        <w:rPr>
          <w:rFonts w:cs="Times New Roman"/>
          <w:noProof/>
          <w:color w:val="000000" w:themeColor="text1"/>
        </w:rPr>
        <w:t>[14]</w:t>
      </w:r>
      <w:r w:rsidRPr="00050D03">
        <w:rPr>
          <w:rFonts w:cs="Times New Roman"/>
          <w:color w:val="000000" w:themeColor="text1"/>
        </w:rPr>
        <w:fldChar w:fldCharType="end"/>
      </w:r>
      <w:r w:rsidRPr="00050D03">
        <w:rPr>
          <w:rFonts w:cs="Times New Roman"/>
          <w:color w:val="000000" w:themeColor="text1"/>
        </w:rPr>
        <w:t>.</w:t>
      </w:r>
      <w:r w:rsidRPr="00050D03">
        <w:rPr>
          <w:color w:val="000000" w:themeColor="text1"/>
        </w:rPr>
        <w:t xml:space="preserve"> If multiple samples exist within the TCGA cohort, retain the one with a sample code that comes earliest in ascending order. </w:t>
      </w:r>
      <w:bookmarkStart w:id="6" w:name="_Hlk143521581"/>
      <w:bookmarkStart w:id="7" w:name="_Hlk171966356"/>
      <w:r w:rsidRPr="00050D03">
        <w:rPr>
          <w:rFonts w:cs="Times New Roman"/>
          <w:color w:val="000000" w:themeColor="text1"/>
        </w:rPr>
        <w:t>log</w:t>
      </w:r>
      <w:r w:rsidRPr="00050D03">
        <w:rPr>
          <w:rFonts w:cs="Times New Roman"/>
          <w:color w:val="000000" w:themeColor="text1"/>
          <w:vertAlign w:val="subscript"/>
        </w:rPr>
        <w:t>2</w:t>
      </w:r>
      <w:r w:rsidR="00111275">
        <w:rPr>
          <w:rFonts w:cs="Times New Roman"/>
          <w:color w:val="000000" w:themeColor="text1"/>
        </w:rPr>
        <w:t xml:space="preserve"> </w:t>
      </w:r>
      <w:r w:rsidRPr="00050D03">
        <w:rPr>
          <w:rFonts w:cs="Times New Roman"/>
          <w:color w:val="000000" w:themeColor="text1"/>
        </w:rPr>
        <w:t>ratio</w:t>
      </w:r>
      <w:r w:rsidR="00111275">
        <w:rPr>
          <w:rFonts w:cs="Times New Roman"/>
          <w:color w:val="000000" w:themeColor="text1"/>
        </w:rPr>
        <w:t>-</w:t>
      </w:r>
      <w:r w:rsidRPr="00050D03">
        <w:rPr>
          <w:rFonts w:cs="Times New Roman"/>
          <w:color w:val="000000" w:themeColor="text1"/>
        </w:rPr>
        <w:t>transformed</w:t>
      </w:r>
      <w:bookmarkEnd w:id="6"/>
      <w:r w:rsidRPr="00050D03">
        <w:rPr>
          <w:rFonts w:cs="Times New Roman"/>
          <w:color w:val="000000" w:themeColor="text1"/>
        </w:rPr>
        <w:t xml:space="preserve"> </w:t>
      </w:r>
      <w:bookmarkEnd w:id="7"/>
      <w:r w:rsidRPr="00050D03">
        <w:rPr>
          <w:rFonts w:cs="Times New Roman"/>
          <w:color w:val="000000" w:themeColor="text1"/>
        </w:rPr>
        <w:t xml:space="preserve">TPM matrix of the TCGA samples were subjected to quantile </w:t>
      </w:r>
      <w:r w:rsidR="005F0151" w:rsidRPr="00050D03">
        <w:rPr>
          <w:rFonts w:cs="Times New Roman"/>
          <w:color w:val="000000" w:themeColor="text1"/>
        </w:rPr>
        <w:t>normalization</w:t>
      </w:r>
      <w:r w:rsidRPr="00050D03">
        <w:rPr>
          <w:rFonts w:cs="Times New Roman"/>
          <w:color w:val="000000" w:themeColor="text1"/>
        </w:rPr>
        <w:t xml:space="preserve"> using the “normali</w:t>
      </w:r>
      <w:r w:rsidRPr="00050D03">
        <w:rPr>
          <w:rFonts w:cs="Times New Roman" w:hint="eastAsia"/>
          <w:color w:val="000000" w:themeColor="text1"/>
        </w:rPr>
        <w:t>z</w:t>
      </w:r>
      <w:r w:rsidRPr="00050D03">
        <w:rPr>
          <w:rFonts w:cs="Times New Roman"/>
          <w:color w:val="000000" w:themeColor="text1"/>
        </w:rPr>
        <w:t xml:space="preserve">eBetweenArrays” function from the “limma” package </w:t>
      </w:r>
      <w:r w:rsidRPr="00050D03">
        <w:rPr>
          <w:rFonts w:cs="Times New Roman"/>
          <w:color w:val="000000" w:themeColor="text1"/>
        </w:rPr>
        <w:fldChar w:fldCharType="begin"/>
      </w:r>
      <w:r w:rsidR="00D91508">
        <w:rPr>
          <w:rFonts w:cs="Times New Roman"/>
          <w:color w:val="000000" w:themeColor="text1"/>
        </w:rPr>
        <w:instrText xml:space="preserve"> ADDIN EN.CITE &lt;EndNote&gt;&lt;Cite&gt;&lt;Author&gt;Ritchie&lt;/Author&gt;&lt;Year&gt;2015&lt;/Year&gt;&lt;RecNum&gt;150&lt;/RecNum&gt;&lt;DisplayText&gt;[14]&lt;/DisplayText&gt;&lt;record&gt;&lt;rec-number&gt;150&lt;/rec-number&gt;&lt;foreign-keys&gt;&lt;key app="EN" db-id="0wetda2xo0eavpe0pt9vxpv0pepfzeefaewp" timestamp="1712385762"&gt;150&lt;/key&gt;&lt;/foreign-keys&gt;&lt;ref-type name="Journal Article"&gt;17&lt;/ref-type&gt;&lt;contributors&gt;&lt;authors&gt;&lt;author&gt;Ritchie, Matthew E.&lt;/author&gt;&lt;author&gt;Phipson, Belinda&lt;/author&gt;&lt;author&gt;Wu, Di&lt;/author&gt;&lt;author&gt;Hu, Yifang&lt;/author&gt;&lt;author&gt;Law, Charity W.&lt;/author&gt;&lt;author&gt;Shi, Wei&lt;/author&gt;&lt;author&gt;Smyth, Gordon K.&lt;/author&gt;&lt;/authors&gt;&lt;/contributors&gt;&lt;auth-address&gt;Molecular Medicine Division, The Walter and Eliza Hall Institute of Medical Research, 1G Royal Parade, Parkville, Victoria 3052, Australia Department of Mathematics and Statistics, The University of Melbourne, Parkville, Victoria 3010, Australia.&lt;/auth-address&gt;&lt;titles&gt;&lt;title&gt;&lt;style face="italic" font="default" size="100%"&gt;limma&lt;/style&gt;&lt;style face="normal" font="default" size="100%"&gt; powers differential expression analyses for RNA-sequencing and microarray studies&lt;/style&gt;&lt;/title&gt;&lt;secondary-title&gt;Nucleic acids research&lt;/secondary-title&gt;&lt;alt-title&gt;Nucleic Acids Res&lt;/alt-title&gt;&lt;/titles&gt;&lt;pages&gt;e47&lt;/pages&gt;&lt;volume&gt;43&lt;/volume&gt;&lt;number&gt;7&lt;/number&gt;&lt;keywords&gt;&lt;keyword&gt;Oligonucleotide Array Sequence Analysis&lt;/keyword&gt;&lt;keyword&gt;Sequence Analysis, RNA&lt;/keyword&gt;&lt;keyword&gt;Gene Expression Regulation&lt;/keyword&gt;&lt;keyword&gt;Software&lt;/keyword&gt;&lt;/keywords&gt;&lt;dates&gt;&lt;year&gt;2015&lt;/year&gt;&lt;pub-dates&gt;&lt;date&gt;2015/04//&lt;/date&gt;&lt;/pub-dates&gt;&lt;/dates&gt;&lt;isbn&gt;0305-1048&lt;/isbn&gt;&lt;accession-num&gt;25605792&lt;/accession-num&gt;&lt;urls&gt;&lt;related-urls&gt;&lt;url&gt;http://europepmc.org/abstract/MED/25605792&lt;/url&gt;&lt;url&gt;https://doi.org/10.1093/nar/gkv007&lt;/url&gt;&lt;url&gt;https://europepmc.org/articles/PMC4402510&lt;/url&gt;&lt;url&gt;https://europepmc.org/articles/PMC4402510?pdf=render&lt;/url&gt;&lt;/related-urls&gt;&lt;/urls&gt;&lt;electronic-resource-num&gt;10.1093/nar/gkv007&lt;/electronic-resource-num&gt;&lt;remote-database-name&gt;PubMed&lt;/remote-database-name&gt;&lt;language&gt;eng&lt;/language&gt;&lt;/record&gt;&lt;/Cite&gt;&lt;/EndNote&gt;</w:instrText>
      </w:r>
      <w:r w:rsidRPr="00050D03">
        <w:rPr>
          <w:rFonts w:cs="Times New Roman"/>
          <w:color w:val="000000" w:themeColor="text1"/>
        </w:rPr>
        <w:fldChar w:fldCharType="separate"/>
      </w:r>
      <w:r w:rsidR="0003166C">
        <w:rPr>
          <w:rFonts w:cs="Times New Roman"/>
          <w:noProof/>
          <w:color w:val="000000" w:themeColor="text1"/>
        </w:rPr>
        <w:t>[14]</w:t>
      </w:r>
      <w:r w:rsidRPr="00050D03">
        <w:rPr>
          <w:rFonts w:cs="Times New Roman"/>
          <w:color w:val="000000" w:themeColor="text1"/>
        </w:rPr>
        <w:fldChar w:fldCharType="end"/>
      </w:r>
      <w:r w:rsidRPr="00050D03">
        <w:rPr>
          <w:rFonts w:cs="Times New Roman"/>
          <w:color w:val="000000" w:themeColor="text1"/>
        </w:rPr>
        <w:t xml:space="preserve">. </w:t>
      </w:r>
      <w:bookmarkEnd w:id="5"/>
      <w:r w:rsidRPr="00050D03">
        <w:rPr>
          <w:rFonts w:cs="Times New Roman"/>
          <w:color w:val="000000" w:themeColor="text1"/>
        </w:rPr>
        <w:t>For GSE32894 dataset, the “lumi” package</w:t>
      </w:r>
      <w:r w:rsidR="00DB577B" w:rsidRPr="00050D03">
        <w:rPr>
          <w:rFonts w:cs="Times New Roman"/>
          <w:color w:val="000000" w:themeColor="text1"/>
        </w:rPr>
        <w:t xml:space="preserve"> </w:t>
      </w:r>
      <w:r w:rsidR="00DB577B" w:rsidRPr="00050D03">
        <w:rPr>
          <w:rFonts w:cs="Times New Roman"/>
          <w:color w:val="000000" w:themeColor="text1"/>
        </w:rPr>
        <w:fldChar w:fldCharType="begin"/>
      </w:r>
      <w:r w:rsidR="00F2684F">
        <w:rPr>
          <w:rFonts w:cs="Times New Roman"/>
          <w:color w:val="000000" w:themeColor="text1"/>
        </w:rPr>
        <w:instrText xml:space="preserve"> ADDIN EN.CITE &lt;EndNote&gt;&lt;Cite&gt;&lt;Author&gt;Du&lt;/Author&gt;&lt;Year&gt;2008&lt;/Year&gt;&lt;RecNum&gt;156&lt;/RecNum&gt;&lt;DisplayText&gt;[15]&lt;/DisplayText&gt;&lt;record&gt;&lt;rec-number&gt;156&lt;/rec-number&gt;&lt;foreign-keys&gt;&lt;key app="EN" db-id="0wetda2xo0eavpe0pt9vxpv0pepfzeefaewp" timestamp="1713070710"&gt;156&lt;/key&gt;&lt;/foreign-keys&gt;&lt;ref-type name="Journal Article"&gt;17&lt;/ref-type&gt;&lt;contributors&gt;&lt;authors&gt;&lt;author&gt;Du, Pan&lt;/author&gt;&lt;author&gt;Kibbe, Warren A.&lt;/author&gt;&lt;author&gt;Lin, Simon M.&lt;/author&gt;&lt;/authors&gt;&lt;/contributors&gt;&lt;auth-address&gt;Robert H. Lurie Comprehensive Cancer Center, Northwestern University, Chicago, IL 60611, USA. dupan@northwestern.edu&lt;/auth-address&gt;&lt;titles&gt;&lt;title&gt;&lt;style face="italic" font="default" size="100%"&gt;lumi&lt;/style&gt;&lt;style face="normal" font="default" size="100%"&gt;: a pipeline for processing Illumina microarray&lt;/style&gt;&lt;/title&gt;&lt;secondary-title&gt;Bioinformatics (Oxford, England)&lt;/secondary-title&gt;&lt;alt-title&gt;Bioinformatics&lt;/alt-title&gt;&lt;/titles&gt;&lt;pages&gt;1547–1548&lt;/pages&gt;&lt;volume&gt;24&lt;/volume&gt;&lt;number&gt;13&lt;/number&gt;&lt;keywords&gt;&lt;keyword&gt;Algorithms&lt;/keyword&gt;&lt;keyword&gt;Software&lt;/keyword&gt;&lt;keyword&gt;Database Management Systems&lt;/keyword&gt;&lt;keyword&gt;Databases, Genetic&lt;/keyword&gt;&lt;/keywords&gt;&lt;dates&gt;&lt;year&gt;2008&lt;/year&gt;&lt;pub-dates&gt;&lt;date&gt;2008/07//&lt;/date&gt;&lt;/pub-dates&gt;&lt;/dates&gt;&lt;isbn&gt;1367-4803&lt;/isbn&gt;&lt;accession-num&gt;18467348&lt;/accession-num&gt;&lt;urls&gt;&lt;related-urls&gt;&lt;url&gt;http://europepmc.org/abstract/MED/18467348&lt;/url&gt;&lt;url&gt;https://academic.oup.com/bioinformatics/article-pdf/24/13/1547/49052190/bioinformatics_24_13_1547.pdf&lt;/url&gt;&lt;url&gt;http://bioinformatics.oxfordjournals.org/cgi/content/abstract/24/13/1547&lt;/url&gt;&lt;url&gt;http://bioinformatics.oxfordjournals.org/cgi/content/full/24/13/1547&lt;/url&gt;&lt;url&gt;https://doi.org/10.1093/bioinformatics/btn224&lt;/url&gt;&lt;/related-urls&gt;&lt;/urls&gt;&lt;electronic-resource-num&gt;10.1093/bioinformatics/btn224&lt;/electronic-resource-num&gt;&lt;remote-database-name&gt;PubMed&lt;/remote-database-name&gt;&lt;language&gt;eng&lt;/language&gt;&lt;/record&gt;&lt;/Cite&gt;&lt;/EndNote&gt;</w:instrText>
      </w:r>
      <w:r w:rsidR="00DB577B" w:rsidRPr="00050D03">
        <w:rPr>
          <w:rFonts w:cs="Times New Roman"/>
          <w:color w:val="000000" w:themeColor="text1"/>
        </w:rPr>
        <w:fldChar w:fldCharType="separate"/>
      </w:r>
      <w:r w:rsidR="0003166C">
        <w:rPr>
          <w:rFonts w:cs="Times New Roman"/>
          <w:noProof/>
          <w:color w:val="000000" w:themeColor="text1"/>
        </w:rPr>
        <w:t>[15]</w:t>
      </w:r>
      <w:r w:rsidR="00DB577B" w:rsidRPr="00050D03">
        <w:rPr>
          <w:rFonts w:cs="Times New Roman"/>
          <w:color w:val="000000" w:themeColor="text1"/>
        </w:rPr>
        <w:fldChar w:fldCharType="end"/>
      </w:r>
      <w:r w:rsidRPr="00050D03">
        <w:rPr>
          <w:rFonts w:cs="Times New Roman"/>
          <w:color w:val="000000" w:themeColor="text1"/>
        </w:rPr>
        <w:t xml:space="preserve"> was used to carry out basic preprocessing of the raw probe intensity data, including background correcting and </w:t>
      </w:r>
      <w:r w:rsidR="005F0151" w:rsidRPr="00050D03">
        <w:rPr>
          <w:rFonts w:cs="Times New Roman"/>
          <w:color w:val="000000" w:themeColor="text1"/>
        </w:rPr>
        <w:t>normalizing</w:t>
      </w:r>
      <w:r w:rsidRPr="00050D03">
        <w:rPr>
          <w:rFonts w:cs="Times New Roman"/>
          <w:color w:val="000000" w:themeColor="text1"/>
        </w:rPr>
        <w:t>.</w:t>
      </w:r>
    </w:p>
    <w:p w14:paraId="3792008F" w14:textId="77777777" w:rsidR="00D93BA2" w:rsidRPr="00050D03" w:rsidRDefault="00D93BA2" w:rsidP="00D93BA2">
      <w:pPr>
        <w:pStyle w:val="2"/>
        <w:rPr>
          <w:color w:val="000000" w:themeColor="text1"/>
        </w:rPr>
      </w:pPr>
      <w:bookmarkStart w:id="8" w:name="_Hlk163990126"/>
      <w:r w:rsidRPr="00050D03">
        <w:rPr>
          <w:color w:val="000000" w:themeColor="text1"/>
        </w:rPr>
        <w:t>Statistical analysis</w:t>
      </w:r>
    </w:p>
    <w:p w14:paraId="772C3A00" w14:textId="77777777" w:rsidR="00D93BA2" w:rsidRPr="00050D03" w:rsidRDefault="00D93BA2" w:rsidP="00D93BA2">
      <w:pPr>
        <w:pStyle w:val="Para"/>
        <w:ind w:firstLine="480"/>
        <w:rPr>
          <w:rFonts w:cs="Times New Roman"/>
          <w:color w:val="000000" w:themeColor="text1"/>
        </w:rPr>
      </w:pPr>
      <w:r w:rsidRPr="00050D03">
        <w:rPr>
          <w:rFonts w:cs="Times New Roman"/>
          <w:color w:val="000000" w:themeColor="text1"/>
        </w:rPr>
        <w:t xml:space="preserve">The </w:t>
      </w:r>
      <w:bookmarkStart w:id="9" w:name="_Hlk160289005"/>
      <w:r w:rsidRPr="00050D03">
        <w:rPr>
          <w:rFonts w:cs="Times New Roman"/>
          <w:color w:val="000000" w:themeColor="text1"/>
        </w:rPr>
        <w:t>Kaplan–Meier</w:t>
      </w:r>
      <w:bookmarkEnd w:id="9"/>
      <w:r w:rsidRPr="00050D03">
        <w:rPr>
          <w:rFonts w:cs="Times New Roman"/>
          <w:color w:val="000000" w:themeColor="text1"/>
        </w:rPr>
        <w:t xml:space="preserve"> (K–M) plot of survival and the Cox’s proportional hazards (PH) regression model are widely used to identify factors associated with a time-to-event response variable. The primary endpoint was overall survival (OS), defined as the time from diagnosis to death from any cause. Hazard ratio values from </w:t>
      </w:r>
      <w:bookmarkStart w:id="10" w:name="_Hlk129472595"/>
      <w:r w:rsidRPr="00050D03">
        <w:rPr>
          <w:rFonts w:cs="Times New Roman"/>
          <w:color w:val="000000" w:themeColor="text1"/>
        </w:rPr>
        <w:t>K–M</w:t>
      </w:r>
      <w:bookmarkEnd w:id="10"/>
      <w:r w:rsidRPr="00050D03">
        <w:rPr>
          <w:rFonts w:cs="Times New Roman"/>
          <w:color w:val="000000" w:themeColor="text1"/>
        </w:rPr>
        <w:t xml:space="preserve"> survival curves or Cox’s PH model were used to represent the relative difference between the exposed group and the reference group. An HR value greater than 1 suggests a higher risk, while an HR value less than 1 implies a reduced risk.</w:t>
      </w:r>
    </w:p>
    <w:p w14:paraId="1F36EEEF" w14:textId="0B262479" w:rsidR="00DB577B" w:rsidRDefault="00D93BA2" w:rsidP="00D93BA2">
      <w:pPr>
        <w:pStyle w:val="Para"/>
        <w:ind w:firstLine="480"/>
        <w:rPr>
          <w:rFonts w:cs="Times New Roman"/>
          <w:color w:val="000000" w:themeColor="text1"/>
        </w:rPr>
      </w:pPr>
      <w:r w:rsidRPr="00050D03">
        <w:rPr>
          <w:rFonts w:cs="Times New Roman"/>
          <w:color w:val="000000" w:themeColor="text1"/>
        </w:rPr>
        <w:t>Quantitative variables are presented using the mean and the standard deviation (SD) if they are normally distributed or the median and the interquartile range (IQR) if they follow a non-normal distribution. Shapiro–Wilk test was used for testing normality. Cox’s</w:t>
      </w:r>
      <w:r w:rsidRPr="00050D03">
        <w:rPr>
          <w:color w:val="000000" w:themeColor="text1"/>
        </w:rPr>
        <w:t xml:space="preserve"> </w:t>
      </w:r>
      <w:r w:rsidRPr="00050D03">
        <w:rPr>
          <w:rFonts w:cs="Times New Roman"/>
          <w:color w:val="000000" w:themeColor="text1"/>
        </w:rPr>
        <w:t xml:space="preserve">PH analyses </w:t>
      </w:r>
      <w:r w:rsidRPr="00050D03">
        <w:rPr>
          <w:rFonts w:cs="Times New Roman"/>
          <w:color w:val="000000" w:themeColor="text1"/>
        </w:rPr>
        <w:lastRenderedPageBreak/>
        <w:t>were used to estimate the hazard ratio (HR) and their 95% confidence interval (CI) of death. The area under the curve (AUC) values of the receiver-operating characteristics (ROC) curve or concordance index (C-index) values and their 95% CI were used to display the discriminative power of the corresponding Cox’s PH model.</w:t>
      </w:r>
      <w:bookmarkEnd w:id="8"/>
    </w:p>
    <w:p w14:paraId="4CCE8C02" w14:textId="77777777" w:rsidR="008866F8" w:rsidRPr="00326295" w:rsidRDefault="008866F8" w:rsidP="008866F8">
      <w:pPr>
        <w:pStyle w:val="3"/>
        <w:rPr>
          <w:rFonts w:cs="Times New Roman"/>
        </w:rPr>
      </w:pPr>
      <w:bookmarkStart w:id="11" w:name="_Hlk123846032"/>
      <w:r>
        <w:rPr>
          <w:rFonts w:cs="Times New Roman"/>
        </w:rPr>
        <w:t>S</w:t>
      </w:r>
      <w:r w:rsidRPr="00D91A9D">
        <w:rPr>
          <w:rFonts w:cs="Times New Roman"/>
        </w:rPr>
        <w:t>creening of genetic features</w:t>
      </w:r>
    </w:p>
    <w:p w14:paraId="278FF881" w14:textId="5B72AE08" w:rsidR="00772B2D" w:rsidRPr="00836AE0" w:rsidRDefault="00772B2D" w:rsidP="00772B2D">
      <w:pPr>
        <w:pStyle w:val="paragraphindent"/>
        <w:rPr>
          <w:color w:val="000000" w:themeColor="text1"/>
        </w:rPr>
      </w:pPr>
      <w:r w:rsidRPr="004626A1">
        <w:rPr>
          <w:color w:val="000000" w:themeColor="text1"/>
        </w:rPr>
        <w:t xml:space="preserve">To </w:t>
      </w:r>
      <w:r>
        <w:rPr>
          <w:color w:val="000000" w:themeColor="text1"/>
        </w:rPr>
        <w:t>screen hub genetic features</w:t>
      </w:r>
      <w:r w:rsidRPr="004626A1">
        <w:rPr>
          <w:color w:val="000000" w:themeColor="text1"/>
        </w:rPr>
        <w:t>, several</w:t>
      </w:r>
      <w:r>
        <w:rPr>
          <w:color w:val="000000" w:themeColor="text1"/>
        </w:rPr>
        <w:t xml:space="preserve"> regression and</w:t>
      </w:r>
      <w:r w:rsidRPr="004626A1">
        <w:rPr>
          <w:color w:val="000000" w:themeColor="text1"/>
        </w:rPr>
        <w:t xml:space="preserve"> machine learning (ML) methods were employed to analy</w:t>
      </w:r>
      <w:r>
        <w:rPr>
          <w:color w:val="000000" w:themeColor="text1"/>
        </w:rPr>
        <w:t>s</w:t>
      </w:r>
      <w:r w:rsidRPr="004626A1">
        <w:rPr>
          <w:color w:val="000000" w:themeColor="text1"/>
        </w:rPr>
        <w:t>e the</w:t>
      </w:r>
      <w:r>
        <w:rPr>
          <w:color w:val="000000" w:themeColor="text1"/>
        </w:rPr>
        <w:t xml:space="preserve"> </w:t>
      </w:r>
      <w:r w:rsidR="005F0151">
        <w:rPr>
          <w:color w:val="000000" w:themeColor="text1"/>
        </w:rPr>
        <w:t>normalized</w:t>
      </w:r>
      <w:r w:rsidRPr="004626A1">
        <w:rPr>
          <w:color w:val="000000" w:themeColor="text1"/>
        </w:rPr>
        <w:t xml:space="preserve"> TPM expression matrix through a rigorous selection process. Univariate Cox</w:t>
      </w:r>
      <w:r>
        <w:rPr>
          <w:color w:val="000000" w:themeColor="text1"/>
        </w:rPr>
        <w:t>’</w:t>
      </w:r>
      <w:r w:rsidRPr="004626A1">
        <w:rPr>
          <w:color w:val="000000" w:themeColor="text1"/>
        </w:rPr>
        <w:t xml:space="preserve">s </w:t>
      </w:r>
      <w:r w:rsidR="0003166C">
        <w:rPr>
          <w:color w:val="000000" w:themeColor="text1"/>
        </w:rPr>
        <w:t>PH</w:t>
      </w:r>
      <w:r w:rsidRPr="004626A1">
        <w:rPr>
          <w:color w:val="000000" w:themeColor="text1"/>
        </w:rPr>
        <w:t xml:space="preserve"> regression analyses were</w:t>
      </w:r>
      <w:r>
        <w:rPr>
          <w:color w:val="000000" w:themeColor="text1"/>
        </w:rPr>
        <w:t xml:space="preserve"> performed </w:t>
      </w:r>
      <w:r w:rsidRPr="00836AE0">
        <w:rPr>
          <w:color w:val="000000" w:themeColor="text1"/>
        </w:rPr>
        <w:fldChar w:fldCharType="begin"/>
      </w:r>
      <w:r w:rsidR="00D91508">
        <w:rPr>
          <w:color w:val="000000" w:themeColor="text1"/>
        </w:rPr>
        <w:instrText xml:space="preserve"> ADDIN EN.CITE &lt;EndNote&gt;&lt;Cite&gt;&lt;Author&gt;Therneau&lt;/Author&gt;&lt;Year&gt;2000&lt;/Year&gt;&lt;RecNum&gt;146&lt;/RecNum&gt;&lt;DisplayText&gt;[16]&lt;/DisplayText&gt;&lt;record&gt;&lt;rec-number&gt;146&lt;/rec-number&gt;&lt;foreign-keys&gt;&lt;key app="EN" db-id="0wetda2xo0eavpe0pt9vxpv0pepfzeefaewp" timestamp="1712385762"&gt;146&lt;/key&gt;&lt;/foreign-keys&gt;&lt;ref-type name="Book Section"&gt;5&lt;/ref-type&gt;&lt;contributors&gt;&lt;authors&gt;&lt;author&gt;Therneau, Terry M.&lt;/author&gt;&lt;author&gt;Grambsch, Patricia M.&lt;/author&gt;&lt;/authors&gt;&lt;/contributors&gt;&lt;titles&gt;&lt;title&gt;The Cox model&lt;/title&gt;&lt;secondary-title&gt;Modeling survival data: extending the Cox model&lt;/secondary-title&gt;&lt;/titles&gt;&lt;pages&gt;39–77&lt;/pages&gt;&lt;dates&gt;&lt;year&gt;2000&lt;/year&gt;&lt;pub-dates&gt;&lt;date&gt;2000//&lt;/date&gt;&lt;/pub-dates&gt;&lt;/dates&gt;&lt;pub-location&gt;New York, NY&lt;/pub-location&gt;&lt;publisher&gt;Springer New York&lt;/publisher&gt;&lt;isbn&gt;978-1-4757-3294-8&lt;/isbn&gt;&lt;urls&gt;&lt;related-urls&gt;&lt;url&gt;https://doi.org/10.1007/978-1-4757-3294-8_3&lt;/url&gt;&lt;/related-urls&gt;&lt;/urls&gt;&lt;electronic-resource-num&gt;10.1007/978-1-4757-3294-8_3&lt;/electronic-resource-num&gt;&lt;/record&gt;&lt;/Cite&gt;&lt;/EndNote&gt;</w:instrText>
      </w:r>
      <w:r w:rsidRPr="00836AE0">
        <w:rPr>
          <w:color w:val="000000" w:themeColor="text1"/>
        </w:rPr>
        <w:fldChar w:fldCharType="separate"/>
      </w:r>
      <w:r w:rsidR="0003166C">
        <w:rPr>
          <w:noProof/>
          <w:color w:val="000000" w:themeColor="text1"/>
        </w:rPr>
        <w:t>[16]</w:t>
      </w:r>
      <w:r w:rsidRPr="00836AE0">
        <w:rPr>
          <w:color w:val="000000" w:themeColor="text1"/>
        </w:rPr>
        <w:fldChar w:fldCharType="end"/>
      </w:r>
      <w:r w:rsidRPr="004626A1">
        <w:rPr>
          <w:color w:val="000000" w:themeColor="text1"/>
        </w:rPr>
        <w:t>. Genetic features demonstrating significant criteria (</w:t>
      </w:r>
      <w:r w:rsidRPr="00EA5EA5">
        <w:rPr>
          <w:i/>
          <w:iCs/>
          <w:color w:val="000000" w:themeColor="text1"/>
        </w:rPr>
        <w:t>p</w:t>
      </w:r>
      <w:r w:rsidRPr="004626A1">
        <w:rPr>
          <w:color w:val="000000" w:themeColor="text1"/>
        </w:rPr>
        <w:t>-value &lt; 0.05 and C-index &gt; 0.5) in the univariate analysis were further subjected to advanced regression modeling. This included both a least absolute shrinkage and selection operator-penalized (LASSO-</w:t>
      </w:r>
      <w:r w:rsidR="005F0151" w:rsidRPr="004626A1">
        <w:rPr>
          <w:color w:val="000000" w:themeColor="text1"/>
        </w:rPr>
        <w:t>penali</w:t>
      </w:r>
      <w:r w:rsidR="005F0151">
        <w:rPr>
          <w:color w:val="000000" w:themeColor="text1"/>
        </w:rPr>
        <w:t>z</w:t>
      </w:r>
      <w:r w:rsidR="005F0151" w:rsidRPr="004626A1">
        <w:rPr>
          <w:color w:val="000000" w:themeColor="text1"/>
        </w:rPr>
        <w:t>ed</w:t>
      </w:r>
      <w:r w:rsidRPr="004626A1">
        <w:rPr>
          <w:color w:val="000000" w:themeColor="text1"/>
        </w:rPr>
        <w:t>) Cox’s PH regression model and a linear support vector machine (SVM) with recursive feature elimination (SVM-RFE).</w:t>
      </w:r>
      <w:r>
        <w:rPr>
          <w:color w:val="000000" w:themeColor="text1"/>
        </w:rPr>
        <w:t xml:space="preserve"> </w:t>
      </w:r>
      <w:r w:rsidRPr="004626A1">
        <w:rPr>
          <w:color w:val="000000" w:themeColor="text1"/>
        </w:rPr>
        <w:t xml:space="preserve">To </w:t>
      </w:r>
      <w:r w:rsidR="005F0151" w:rsidRPr="004626A1">
        <w:rPr>
          <w:color w:val="000000" w:themeColor="text1"/>
        </w:rPr>
        <w:t>optimi</w:t>
      </w:r>
      <w:r w:rsidR="005F0151">
        <w:rPr>
          <w:color w:val="000000" w:themeColor="text1"/>
        </w:rPr>
        <w:t>z</w:t>
      </w:r>
      <w:r w:rsidR="005F0151" w:rsidRPr="004626A1">
        <w:rPr>
          <w:color w:val="000000" w:themeColor="text1"/>
        </w:rPr>
        <w:t>e</w:t>
      </w:r>
      <w:r w:rsidRPr="004626A1">
        <w:rPr>
          <w:color w:val="000000" w:themeColor="text1"/>
        </w:rPr>
        <w:t xml:space="preserve"> these models, a nested resampling cross-validation (CV) strategy was implemented, consisting of a 5-fold inner loop for hyperparameter tuning and a 5-fold outer loop for unbiased performance evaluation. Cox</w:t>
      </w:r>
      <w:r>
        <w:rPr>
          <w:color w:val="000000" w:themeColor="text1"/>
        </w:rPr>
        <w:t>’</w:t>
      </w:r>
      <w:r w:rsidRPr="004626A1">
        <w:rPr>
          <w:color w:val="000000" w:themeColor="text1"/>
        </w:rPr>
        <w:t>s regression analyses</w:t>
      </w:r>
      <w:r>
        <w:rPr>
          <w:color w:val="000000" w:themeColor="text1"/>
        </w:rPr>
        <w:t xml:space="preserve">, including calculation of </w:t>
      </w:r>
      <w:r w:rsidRPr="004626A1">
        <w:rPr>
          <w:color w:val="000000" w:themeColor="text1"/>
        </w:rPr>
        <w:t>the C-index</w:t>
      </w:r>
      <w:r>
        <w:rPr>
          <w:color w:val="000000" w:themeColor="text1"/>
        </w:rPr>
        <w:t xml:space="preserve">, </w:t>
      </w:r>
      <w:r w:rsidRPr="004626A1">
        <w:rPr>
          <w:color w:val="000000" w:themeColor="text1"/>
        </w:rPr>
        <w:t xml:space="preserve">were conducted using the </w:t>
      </w:r>
      <w:r>
        <w:rPr>
          <w:color w:val="000000" w:themeColor="text1"/>
        </w:rPr>
        <w:t>“</w:t>
      </w:r>
      <w:r w:rsidRPr="004626A1">
        <w:rPr>
          <w:color w:val="000000" w:themeColor="text1"/>
        </w:rPr>
        <w:t>survival</w:t>
      </w:r>
      <w:r>
        <w:rPr>
          <w:color w:val="000000" w:themeColor="text1"/>
        </w:rPr>
        <w:t>”</w:t>
      </w:r>
      <w:r w:rsidRPr="004626A1">
        <w:rPr>
          <w:color w:val="000000" w:themeColor="text1"/>
        </w:rPr>
        <w:t xml:space="preserve"> package</w:t>
      </w:r>
      <w:r w:rsidRPr="00836AE0">
        <w:rPr>
          <w:color w:val="000000" w:themeColor="text1"/>
        </w:rPr>
        <w:t xml:space="preserve"> </w:t>
      </w:r>
      <w:r w:rsidRPr="00836AE0">
        <w:rPr>
          <w:color w:val="000000" w:themeColor="text1"/>
        </w:rPr>
        <w:fldChar w:fldCharType="begin"/>
      </w:r>
      <w:r w:rsidR="00D91508">
        <w:rPr>
          <w:color w:val="000000" w:themeColor="text1"/>
        </w:rPr>
        <w:instrText xml:space="preserve"> ADDIN EN.CITE &lt;EndNote&gt;&lt;Cite&gt;&lt;Author&gt;Therneau&lt;/Author&gt;&lt;Year&gt;2000&lt;/Year&gt;&lt;RecNum&gt;146&lt;/RecNum&gt;&lt;DisplayText&gt;[16]&lt;/DisplayText&gt;&lt;record&gt;&lt;rec-number&gt;146&lt;/rec-number&gt;&lt;foreign-keys&gt;&lt;key app="EN" db-id="0wetda2xo0eavpe0pt9vxpv0pepfzeefaewp" timestamp="1712385762"&gt;146&lt;/key&gt;&lt;/foreign-keys&gt;&lt;ref-type name="Book Section"&gt;5&lt;/ref-type&gt;&lt;contributors&gt;&lt;authors&gt;&lt;author&gt;Therneau, Terry M.&lt;/author&gt;&lt;author&gt;Grambsch, Patricia M.&lt;/author&gt;&lt;/authors&gt;&lt;/contributors&gt;&lt;titles&gt;&lt;title&gt;The Cox model&lt;/title&gt;&lt;secondary-title&gt;Modeling survival data: extending the Cox model&lt;/secondary-title&gt;&lt;/titles&gt;&lt;pages&gt;39–77&lt;/pages&gt;&lt;dates&gt;&lt;year&gt;2000&lt;/year&gt;&lt;pub-dates&gt;&lt;date&gt;2000//&lt;/date&gt;&lt;/pub-dates&gt;&lt;/dates&gt;&lt;pub-location&gt;New York, NY&lt;/pub-location&gt;&lt;publisher&gt;Springer New York&lt;/publisher&gt;&lt;isbn&gt;978-1-4757-3294-8&lt;/isbn&gt;&lt;urls&gt;&lt;related-urls&gt;&lt;url&gt;https://doi.org/10.1007/978-1-4757-3294-8_3&lt;/url&gt;&lt;/related-urls&gt;&lt;/urls&gt;&lt;electronic-resource-num&gt;10.1007/978-1-4757-3294-8_3&lt;/electronic-resource-num&gt;&lt;/record&gt;&lt;/Cite&gt;&lt;/EndNote&gt;</w:instrText>
      </w:r>
      <w:r w:rsidRPr="00836AE0">
        <w:rPr>
          <w:color w:val="000000" w:themeColor="text1"/>
        </w:rPr>
        <w:fldChar w:fldCharType="separate"/>
      </w:r>
      <w:r w:rsidR="0003166C">
        <w:rPr>
          <w:noProof/>
          <w:color w:val="000000" w:themeColor="text1"/>
        </w:rPr>
        <w:t>[16]</w:t>
      </w:r>
      <w:r w:rsidRPr="00836AE0">
        <w:rPr>
          <w:color w:val="000000" w:themeColor="text1"/>
        </w:rPr>
        <w:fldChar w:fldCharType="end"/>
      </w:r>
      <w:r w:rsidRPr="004626A1">
        <w:rPr>
          <w:color w:val="000000" w:themeColor="text1"/>
        </w:rPr>
        <w:t>.</w:t>
      </w:r>
      <w:r>
        <w:rPr>
          <w:color w:val="000000" w:themeColor="text1"/>
        </w:rPr>
        <w:t xml:space="preserve"> ML </w:t>
      </w:r>
      <w:r w:rsidRPr="004626A1">
        <w:rPr>
          <w:color w:val="000000" w:themeColor="text1"/>
        </w:rPr>
        <w:t xml:space="preserve">methodologies were executed using various packages, including </w:t>
      </w:r>
      <w:r w:rsidRPr="00836AE0">
        <w:rPr>
          <w:color w:val="000000" w:themeColor="text1"/>
        </w:rPr>
        <w:t xml:space="preserve">“mlr3” </w:t>
      </w:r>
      <w:r w:rsidRPr="00836AE0">
        <w:rPr>
          <w:color w:val="000000" w:themeColor="text1"/>
        </w:rPr>
        <w:fldChar w:fldCharType="begin"/>
      </w:r>
      <w:r w:rsidR="0003166C">
        <w:rPr>
          <w:color w:val="000000" w:themeColor="text1"/>
        </w:rPr>
        <w:instrText xml:space="preserve"> ADDIN EN.CITE &lt;EndNote&gt;&lt;Cite&gt;&lt;Author&gt;Lang&lt;/Author&gt;&lt;Year&gt;2019&lt;/Year&gt;&lt;RecNum&gt;48&lt;/RecNum&gt;&lt;DisplayText&gt;[17]&lt;/DisplayText&gt;&lt;record&gt;&lt;rec-number&gt;48&lt;/rec-number&gt;&lt;foreign-keys&gt;&lt;key app="EN" db-id="5ezs99zr5vfe2ie2zz2vpxenevwzfdt252r2" timestamp="1701422560"&gt;48&lt;/key&gt;&lt;/foreign-keys&gt;&lt;ref-type name="Journal Article"&gt;17&lt;/ref-type&gt;&lt;contributors&gt;&lt;authors&gt;&lt;author&gt;Lang, Michel&lt;/author&gt;&lt;author&gt;Binder, Martin&lt;/author&gt;&lt;author&gt;Richter, Jakob&lt;/author&gt;&lt;author&gt;Schratz, Patrick&lt;/author&gt;&lt;author&gt;Pfisterer, Florian&lt;/author&gt;&lt;author&gt;Coors, Stefan&lt;/author&gt;&lt;author&gt;Au, Quay&lt;/author&gt;&lt;author&gt;Casalicchio, Giuseppe&lt;/author&gt;&lt;author&gt;Kotthoff, Lars&lt;/author&gt;&lt;author&gt;Bischl, Bernd&lt;/author&gt;&lt;/authors&gt;&lt;/contributors&gt;&lt;titles&gt;&lt;title&gt;mlr3: a modern object-oriented machine learning framework in R&lt;/title&gt;&lt;secondary-title&gt;Journal of Open Source Software&lt;/secondary-title&gt;&lt;alt-title&gt;J. Open Source Softw.&lt;/alt-title&gt;&lt;/titles&gt;&lt;periodical&gt;&lt;full-title&gt;Journal of Open Source Software&lt;/full-title&gt;&lt;abbr-1&gt;J. Open Source Softw.&lt;/abbr-1&gt;&lt;/periodical&gt;&lt;alt-periodical&gt;&lt;full-title&gt;Journal of Open Source Software&lt;/full-title&gt;&lt;abbr-1&gt;J. Open Source Softw.&lt;/abbr-1&gt;&lt;/alt-periodical&gt;&lt;pages&gt;1903&lt;/pages&gt;&lt;volume&gt;4&lt;/volume&gt;&lt;number&gt;44&lt;/number&gt;&lt;dates&gt;&lt;year&gt;2019&lt;/year&gt;&lt;/dates&gt;&lt;isbn&gt;2475-9066&lt;/isbn&gt;&lt;urls&gt;&lt;/urls&gt;&lt;electronic-resource-num&gt;10.21105/joss.01903&lt;/electronic-resource-num&gt;&lt;/record&gt;&lt;/Cite&gt;&lt;/EndNote&gt;</w:instrText>
      </w:r>
      <w:r w:rsidRPr="00836AE0">
        <w:rPr>
          <w:color w:val="000000" w:themeColor="text1"/>
        </w:rPr>
        <w:fldChar w:fldCharType="separate"/>
      </w:r>
      <w:r w:rsidR="0003166C">
        <w:rPr>
          <w:noProof/>
          <w:color w:val="000000" w:themeColor="text1"/>
        </w:rPr>
        <w:t>[17]</w:t>
      </w:r>
      <w:r w:rsidRPr="00836AE0">
        <w:rPr>
          <w:color w:val="000000" w:themeColor="text1"/>
        </w:rPr>
        <w:fldChar w:fldCharType="end"/>
      </w:r>
      <w:r w:rsidRPr="00836AE0">
        <w:rPr>
          <w:color w:val="000000" w:themeColor="text1"/>
        </w:rPr>
        <w:t xml:space="preserve">, “mlr3proba” </w:t>
      </w:r>
      <w:r w:rsidRPr="00836AE0">
        <w:rPr>
          <w:color w:val="000000" w:themeColor="text1"/>
        </w:rPr>
        <w:fldChar w:fldCharType="begin"/>
      </w:r>
      <w:r w:rsidR="0003166C">
        <w:rPr>
          <w:color w:val="000000" w:themeColor="text1"/>
        </w:rPr>
        <w:instrText xml:space="preserve"> ADDIN EN.CITE &lt;EndNote&gt;&lt;Cite&gt;&lt;Author&gt;Sonabend&lt;/Author&gt;&lt;Year&gt;2021&lt;/Year&gt;&lt;RecNum&gt;49&lt;/RecNum&gt;&lt;DisplayText&gt;[18]&lt;/DisplayText&gt;&lt;record&gt;&lt;rec-number&gt;49&lt;/rec-number&gt;&lt;foreign-keys&gt;&lt;key app="EN" db-id="5ezs99zr5vfe2ie2zz2vpxenevwzfdt252r2" timestamp="1701422560"&gt;49&lt;/key&gt;&lt;/foreign-keys&gt;&lt;ref-type name="Journal Article"&gt;17&lt;/ref-type&gt;&lt;contributors&gt;&lt;authors&gt;&lt;author&gt;Sonabend, Raphael&lt;/author&gt;&lt;author&gt;Király, Franz J&lt;/author&gt;&lt;author&gt;Bender, Andreas&lt;/author&gt;&lt;author&gt;Bischl, Bernd&lt;/author&gt;&lt;author&gt;Lang, Michel&lt;/author&gt;&lt;/authors&gt;&lt;/contributors&gt;&lt;titles&gt;&lt;title&gt;mlr3proba: an R package for machine learning in survival analysis&lt;/title&gt;&lt;secondary-title&gt;Bioinformatics&lt;/secondary-title&gt;&lt;alt-title&gt;Bioinformatics&lt;/alt-title&gt;&lt;/titles&gt;&lt;periodical&gt;&lt;full-title&gt;Bioinformatics (Oxford, England)&lt;/full-title&gt;&lt;abbr-1&gt;Bioinformatics&lt;/abbr-1&gt;&lt;/periodical&gt;&lt;alt-periodical&gt;&lt;full-title&gt;Bioinformatics (Oxford, England)&lt;/full-title&gt;&lt;abbr-1&gt;Bioinformatics&lt;/abbr-1&gt;&lt;/alt-periodical&gt;&lt;pages&gt;2789–2791&lt;/pages&gt;&lt;volume&gt;37&lt;/volume&gt;&lt;number&gt;17&lt;/number&gt;&lt;dates&gt;&lt;year&gt;2021&lt;/year&gt;&lt;/dates&gt;&lt;isbn&gt;1367-4803&lt;/isbn&gt;&lt;urls&gt;&lt;/urls&gt;&lt;/record&gt;&lt;/Cite&gt;&lt;/EndNote&gt;</w:instrText>
      </w:r>
      <w:r w:rsidRPr="00836AE0">
        <w:rPr>
          <w:color w:val="000000" w:themeColor="text1"/>
        </w:rPr>
        <w:fldChar w:fldCharType="separate"/>
      </w:r>
      <w:r w:rsidR="0003166C">
        <w:rPr>
          <w:noProof/>
          <w:color w:val="000000" w:themeColor="text1"/>
        </w:rPr>
        <w:t>[18]</w:t>
      </w:r>
      <w:r w:rsidRPr="00836AE0">
        <w:rPr>
          <w:color w:val="000000" w:themeColor="text1"/>
        </w:rPr>
        <w:fldChar w:fldCharType="end"/>
      </w:r>
      <w:r w:rsidRPr="00836AE0">
        <w:rPr>
          <w:color w:val="000000" w:themeColor="text1"/>
        </w:rPr>
        <w:t xml:space="preserve">, “mlr3verse” </w:t>
      </w:r>
      <w:r w:rsidRPr="00836AE0">
        <w:rPr>
          <w:color w:val="000000" w:themeColor="text1"/>
        </w:rPr>
        <w:fldChar w:fldCharType="begin"/>
      </w:r>
      <w:r w:rsidR="0003166C">
        <w:rPr>
          <w:color w:val="000000" w:themeColor="text1"/>
        </w:rPr>
        <w:instrText xml:space="preserve"> ADDIN EN.CITE &lt;EndNote&gt;&lt;Cite&gt;&lt;Author&gt;Lang&lt;/Author&gt;&lt;Year&gt;2023&lt;/Year&gt;&lt;RecNum&gt;136&lt;/RecNum&gt;&lt;DisplayText&gt;[19]&lt;/DisplayText&gt;&lt;record&gt;&lt;rec-number&gt;136&lt;/rec-number&gt;&lt;foreign-keys&gt;&lt;key app="EN" db-id="0wetda2xo0eavpe0pt9vxpv0pepfzeefaewp" timestamp="1712385762"&gt;136&lt;/key&gt;&lt;/foreign-keys&gt;&lt;ref-type name="Web Page"&gt;12&lt;/ref-type&gt;&lt;contributors&gt;&lt;authors&gt;&lt;author&gt;Michel Lang&lt;/author&gt;&lt;author&gt;Patrick Schratz&lt;/author&gt;&lt;/authors&gt;&lt;/contributors&gt;&lt;titles&gt;&lt;title&gt;mlr3verse: easily install and load the ‘mlr3’ package family&lt;/title&gt;&lt;/titles&gt;&lt;volume&gt;2023&lt;/volume&gt;&lt;number&gt;July 15&lt;/number&gt;&lt;dates&gt;&lt;year&gt;2023&lt;/year&gt;&lt;/dates&gt;&lt;publisher&gt;github&lt;/publisher&gt;&lt;urls&gt;&lt;related-urls&gt;&lt;url&gt;https://github.com/mlr-org/mlr3verse&lt;/url&gt;&lt;/related-urls&gt;&lt;/urls&gt;&lt;/record&gt;&lt;/Cite&gt;&lt;/EndNote&gt;</w:instrText>
      </w:r>
      <w:r w:rsidRPr="00836AE0">
        <w:rPr>
          <w:color w:val="000000" w:themeColor="text1"/>
        </w:rPr>
        <w:fldChar w:fldCharType="separate"/>
      </w:r>
      <w:r w:rsidR="0003166C">
        <w:rPr>
          <w:noProof/>
          <w:color w:val="000000" w:themeColor="text1"/>
        </w:rPr>
        <w:t>[19]</w:t>
      </w:r>
      <w:r w:rsidRPr="00836AE0">
        <w:rPr>
          <w:color w:val="000000" w:themeColor="text1"/>
        </w:rPr>
        <w:fldChar w:fldCharType="end"/>
      </w:r>
      <w:r w:rsidRPr="00836AE0">
        <w:rPr>
          <w:color w:val="000000" w:themeColor="text1"/>
        </w:rPr>
        <w:t xml:space="preserve">, and “mlr3extralearners” </w:t>
      </w:r>
      <w:r w:rsidRPr="00836AE0">
        <w:rPr>
          <w:color w:val="000000" w:themeColor="text1"/>
        </w:rPr>
        <w:fldChar w:fldCharType="begin"/>
      </w:r>
      <w:r w:rsidR="0003166C">
        <w:rPr>
          <w:color w:val="000000" w:themeColor="text1"/>
        </w:rPr>
        <w:instrText xml:space="preserve"> ADDIN EN.CITE &lt;EndNote&gt;&lt;Cite&gt;&lt;Author&gt;Sonabend&lt;/Author&gt;&lt;Year&gt;2023&lt;/Year&gt;&lt;RecNum&gt;139&lt;/RecNum&gt;&lt;DisplayText&gt;[20]&lt;/DisplayText&gt;&lt;record&gt;&lt;rec-number&gt;139&lt;/rec-number&gt;&lt;foreign-keys&gt;&lt;key app="EN" db-id="0wetda2xo0eavpe0pt9vxpv0pepfzeefaewp" timestamp="1712385762"&gt;139&lt;/key&gt;&lt;/foreign-keys&gt;&lt;ref-type name="Web Page"&gt;12&lt;/ref-type&gt;&lt;contributors&gt;&lt;authors&gt;&lt;author&gt;Raphael Sonabend&lt;/author&gt;&lt;author&gt;Patrick Schratz&lt;/author&gt;&lt;author&gt;Sebastian Fischer&lt;/author&gt;&lt;/authors&gt;&lt;/contributors&gt;&lt;titles&gt;&lt;title&gt;mlr3extralearners&lt;/title&gt;&lt;/titles&gt;&lt;volume&gt;2023&lt;/volume&gt;&lt;number&gt;July 15&lt;/number&gt;&lt;dates&gt;&lt;year&gt;2023&lt;/year&gt;&lt;/dates&gt;&lt;publisher&gt;github&lt;/publisher&gt;&lt;urls&gt;&lt;related-urls&gt;&lt;url&gt;https://github.com/mlr-org/mlr3extralearners&lt;/url&gt;&lt;/related-urls&gt;&lt;/urls&gt;&lt;/record&gt;&lt;/Cite&gt;&lt;/EndNote&gt;</w:instrText>
      </w:r>
      <w:r w:rsidRPr="00836AE0">
        <w:rPr>
          <w:color w:val="000000" w:themeColor="text1"/>
        </w:rPr>
        <w:fldChar w:fldCharType="separate"/>
      </w:r>
      <w:r w:rsidR="0003166C">
        <w:rPr>
          <w:noProof/>
          <w:color w:val="000000" w:themeColor="text1"/>
        </w:rPr>
        <w:t>[20]</w:t>
      </w:r>
      <w:r w:rsidRPr="00836AE0">
        <w:rPr>
          <w:color w:val="000000" w:themeColor="text1"/>
        </w:rPr>
        <w:fldChar w:fldCharType="end"/>
      </w:r>
      <w:r w:rsidRPr="004626A1">
        <w:rPr>
          <w:color w:val="000000" w:themeColor="text1"/>
        </w:rPr>
        <w:t>.</w:t>
      </w:r>
    </w:p>
    <w:p w14:paraId="593D2FD9" w14:textId="6C9773CB" w:rsidR="00772B2D" w:rsidRPr="008866F8" w:rsidRDefault="00772B2D" w:rsidP="00772B2D">
      <w:pPr>
        <w:pStyle w:val="paragraphindent"/>
        <w:rPr>
          <w:color w:val="000000" w:themeColor="text1"/>
        </w:rPr>
      </w:pPr>
      <w:r w:rsidRPr="00772B2D">
        <w:rPr>
          <w:color w:val="000000" w:themeColor="text1"/>
        </w:rPr>
        <w:t>The intersection</w:t>
      </w:r>
      <w:r>
        <w:rPr>
          <w:color w:val="000000" w:themeColor="text1"/>
        </w:rPr>
        <w:t xml:space="preserve"> subset</w:t>
      </w:r>
      <w:r w:rsidRPr="00772B2D">
        <w:rPr>
          <w:color w:val="000000" w:themeColor="text1"/>
        </w:rPr>
        <w:t xml:space="preserve"> of </w:t>
      </w:r>
      <w:r>
        <w:rPr>
          <w:color w:val="000000" w:themeColor="text1"/>
        </w:rPr>
        <w:t>features</w:t>
      </w:r>
      <w:r w:rsidRPr="00772B2D">
        <w:rPr>
          <w:color w:val="000000" w:themeColor="text1"/>
        </w:rPr>
        <w:t xml:space="preserve"> selected by two </w:t>
      </w:r>
      <w:r>
        <w:rPr>
          <w:color w:val="000000" w:themeColor="text1"/>
        </w:rPr>
        <w:t>ML</w:t>
      </w:r>
      <w:r w:rsidRPr="00772B2D">
        <w:rPr>
          <w:color w:val="000000" w:themeColor="text1"/>
        </w:rPr>
        <w:t xml:space="preserve"> algorithms </w:t>
      </w:r>
      <w:r>
        <w:rPr>
          <w:color w:val="000000" w:themeColor="text1"/>
        </w:rPr>
        <w:t>was</w:t>
      </w:r>
      <w:r w:rsidRPr="00772B2D">
        <w:rPr>
          <w:color w:val="000000" w:themeColor="text1"/>
        </w:rPr>
        <w:t xml:space="preserve"> further dimensionally </w:t>
      </w:r>
      <w:r w:rsidR="008E6719" w:rsidRPr="008E6719">
        <w:rPr>
          <w:color w:val="000000" w:themeColor="text1"/>
        </w:rPr>
        <w:t>eliminate</w:t>
      </w:r>
      <w:r w:rsidRPr="00772B2D">
        <w:rPr>
          <w:color w:val="000000" w:themeColor="text1"/>
        </w:rPr>
        <w:t xml:space="preserve">d using stepwise regression. </w:t>
      </w:r>
      <w:r w:rsidRPr="00836AE0">
        <w:rPr>
          <w:color w:val="000000" w:themeColor="text1"/>
        </w:rPr>
        <w:t xml:space="preserve">“Cox’s.zph” function from the “survival” package </w:t>
      </w:r>
      <w:r w:rsidRPr="00836AE0">
        <w:rPr>
          <w:color w:val="000000" w:themeColor="text1"/>
        </w:rPr>
        <w:fldChar w:fldCharType="begin"/>
      </w:r>
      <w:r w:rsidR="00D91508">
        <w:rPr>
          <w:color w:val="000000" w:themeColor="text1"/>
        </w:rPr>
        <w:instrText xml:space="preserve"> ADDIN EN.CITE &lt;EndNote&gt;&lt;Cite&gt;&lt;Author&gt;Therneau&lt;/Author&gt;&lt;Year&gt;2000&lt;/Year&gt;&lt;RecNum&gt;146&lt;/RecNum&gt;&lt;DisplayText&gt;[16]&lt;/DisplayText&gt;&lt;record&gt;&lt;rec-number&gt;146&lt;/rec-number&gt;&lt;foreign-keys&gt;&lt;key app="EN" db-id="0wetda2xo0eavpe0pt9vxpv0pepfzeefaewp" timestamp="1712385762"&gt;146&lt;/key&gt;&lt;/foreign-keys&gt;&lt;ref-type name="Book Section"&gt;5&lt;/ref-type&gt;&lt;contributors&gt;&lt;authors&gt;&lt;author&gt;Therneau, Terry M.&lt;/author&gt;&lt;author&gt;Grambsch, Patricia M.&lt;/author&gt;&lt;/authors&gt;&lt;/contributors&gt;&lt;titles&gt;&lt;title&gt;The Cox model&lt;/title&gt;&lt;secondary-title&gt;Modeling survival data: extending the Cox model&lt;/secondary-title&gt;&lt;/titles&gt;&lt;pages&gt;39–77&lt;/pages&gt;&lt;dates&gt;&lt;year&gt;2000&lt;/year&gt;&lt;pub-dates&gt;&lt;date&gt;2000//&lt;/date&gt;&lt;/pub-dates&gt;&lt;/dates&gt;&lt;pub-location&gt;New York, NY&lt;/pub-location&gt;&lt;publisher&gt;Springer New York&lt;/publisher&gt;&lt;isbn&gt;978-1-4757-3294-8&lt;/isbn&gt;&lt;urls&gt;&lt;related-urls&gt;&lt;url&gt;https://doi.org/10.1007/978-1-4757-3294-8_3&lt;/url&gt;&lt;/related-urls&gt;&lt;/urls&gt;&lt;electronic-resource-num&gt;10.1007/978-1-4757-3294-8_3&lt;/electronic-resource-num&gt;&lt;/record&gt;&lt;/Cite&gt;&lt;/EndNote&gt;</w:instrText>
      </w:r>
      <w:r w:rsidRPr="00836AE0">
        <w:rPr>
          <w:color w:val="000000" w:themeColor="text1"/>
        </w:rPr>
        <w:fldChar w:fldCharType="separate"/>
      </w:r>
      <w:r w:rsidR="0003166C">
        <w:rPr>
          <w:noProof/>
          <w:color w:val="000000" w:themeColor="text1"/>
        </w:rPr>
        <w:t>[16]</w:t>
      </w:r>
      <w:r w:rsidRPr="00836AE0">
        <w:rPr>
          <w:color w:val="000000" w:themeColor="text1"/>
        </w:rPr>
        <w:fldChar w:fldCharType="end"/>
      </w:r>
      <w:r>
        <w:rPr>
          <w:color w:val="000000" w:themeColor="text1"/>
        </w:rPr>
        <w:t xml:space="preserve"> was used to check PH</w:t>
      </w:r>
      <w:r w:rsidRPr="00836AE0">
        <w:rPr>
          <w:color w:val="000000" w:themeColor="text1"/>
        </w:rPr>
        <w:t xml:space="preserve"> assumption</w:t>
      </w:r>
      <w:r>
        <w:rPr>
          <w:color w:val="000000" w:themeColor="text1"/>
        </w:rPr>
        <w:t xml:space="preserve"> </w:t>
      </w:r>
      <w:r w:rsidRPr="005E6576">
        <w:rPr>
          <w:color w:val="000000" w:themeColor="text1"/>
        </w:rPr>
        <w:t>of Cox’s model</w:t>
      </w:r>
      <w:r>
        <w:rPr>
          <w:color w:val="000000" w:themeColor="text1"/>
        </w:rPr>
        <w:t xml:space="preserve">. Genetic features </w:t>
      </w:r>
      <w:r w:rsidRPr="00836AE0">
        <w:rPr>
          <w:color w:val="000000" w:themeColor="text1"/>
        </w:rPr>
        <w:t xml:space="preserve">violated </w:t>
      </w:r>
      <w:r>
        <w:rPr>
          <w:color w:val="000000" w:themeColor="text1"/>
        </w:rPr>
        <w:t>PH</w:t>
      </w:r>
      <w:r w:rsidRPr="00836AE0">
        <w:rPr>
          <w:color w:val="000000" w:themeColor="text1"/>
        </w:rPr>
        <w:t xml:space="preserve"> assumption</w:t>
      </w:r>
      <w:r>
        <w:rPr>
          <w:color w:val="000000" w:themeColor="text1"/>
        </w:rPr>
        <w:t>, if any, were excluded</w:t>
      </w:r>
      <w:r w:rsidRPr="00836AE0">
        <w:rPr>
          <w:color w:val="000000" w:themeColor="text1"/>
        </w:rPr>
        <w:t xml:space="preserve">. A bi-directional stepwise procedure that combined forward </w:t>
      </w:r>
      <w:r w:rsidRPr="00836AE0">
        <w:rPr>
          <w:color w:val="000000" w:themeColor="text1"/>
        </w:rPr>
        <w:lastRenderedPageBreak/>
        <w:t xml:space="preserve">selection and backward elimination was </w:t>
      </w:r>
      <w:r w:rsidR="005F0151" w:rsidRPr="00836AE0">
        <w:rPr>
          <w:color w:val="000000" w:themeColor="text1"/>
        </w:rPr>
        <w:t>utili</w:t>
      </w:r>
      <w:r w:rsidR="005F0151">
        <w:rPr>
          <w:color w:val="000000" w:themeColor="text1"/>
        </w:rPr>
        <w:t>z</w:t>
      </w:r>
      <w:r w:rsidR="005F0151" w:rsidRPr="00836AE0">
        <w:rPr>
          <w:color w:val="000000" w:themeColor="text1"/>
        </w:rPr>
        <w:t>ed</w:t>
      </w:r>
      <w:r w:rsidRPr="00836AE0">
        <w:rPr>
          <w:color w:val="000000" w:themeColor="text1"/>
        </w:rPr>
        <w:t xml:space="preserve"> to refine the multivariate Cox’s PH regression analysis further, employing the “StepReg” package </w:t>
      </w:r>
      <w:r w:rsidRPr="00836AE0">
        <w:rPr>
          <w:color w:val="000000" w:themeColor="text1"/>
        </w:rPr>
        <w:fldChar w:fldCharType="begin"/>
      </w:r>
      <w:r w:rsidR="00D91508">
        <w:rPr>
          <w:color w:val="000000" w:themeColor="text1"/>
        </w:rPr>
        <w:instrText xml:space="preserve"> ADDIN EN.CITE &lt;EndNote&gt;&lt;Cite&gt;&lt;Author&gt;Li&lt;/Author&gt;&lt;Year&gt;2022&lt;/Year&gt;&lt;RecNum&gt;137&lt;/RecNum&gt;&lt;DisplayText&gt;[21]&lt;/DisplayText&gt;&lt;record&gt;&lt;rec-number&gt;137&lt;/rec-number&gt;&lt;foreign-keys&gt;&lt;key app="EN" db-id="0wetda2xo0eavpe0pt9vxpv0pepfzeefaewp" timestamp="1712385762"&gt;137&lt;/key&gt;&lt;/foreign-keys&gt;&lt;ref-type name="Report"&gt;27&lt;/ref-type&gt;&lt;contributors&gt;&lt;authors&gt;&lt;author&gt;Junhui Li&lt;/author&gt;&lt;author&gt;Xiaohuan Lu&lt;/author&gt;&lt;author&gt;Kun Cheng&lt;/author&gt;&lt;author&gt;Wenxin Liu&lt;/author&gt;&lt;/authors&gt;&lt;/contributors&gt;&lt;titles&gt;&lt;title&gt;Package ‘StepReg’&lt;/title&gt;&lt;/titles&gt;&lt;dates&gt;&lt;year&gt;2022&lt;/year&gt;&lt;/dates&gt;&lt;pub-location&gt;Boston, MA&lt;/pub-location&gt;&lt;publisher&gt;CRAN&lt;/publisher&gt;&lt;urls&gt;&lt;related-urls&gt;&lt;url&gt;https://cran.r-project.org/web/packages/StepReg/StepReg.pdf&lt;/url&gt;&lt;/related-urls&gt;&lt;/urls&gt;&lt;access-date&gt;June 15, 2023&lt;/access-date&gt;&lt;/record&gt;&lt;/Cite&gt;&lt;/EndNote&gt;</w:instrText>
      </w:r>
      <w:r w:rsidRPr="00836AE0">
        <w:rPr>
          <w:color w:val="000000" w:themeColor="text1"/>
        </w:rPr>
        <w:fldChar w:fldCharType="separate"/>
      </w:r>
      <w:r w:rsidR="0003166C">
        <w:rPr>
          <w:noProof/>
          <w:color w:val="000000" w:themeColor="text1"/>
        </w:rPr>
        <w:t>[21]</w:t>
      </w:r>
      <w:r w:rsidRPr="00836AE0">
        <w:rPr>
          <w:color w:val="000000" w:themeColor="text1"/>
        </w:rPr>
        <w:fldChar w:fldCharType="end"/>
      </w:r>
      <w:r w:rsidRPr="00836AE0">
        <w:rPr>
          <w:color w:val="000000" w:themeColor="text1"/>
        </w:rPr>
        <w:t>. This procedure iteratively adjusted the model based on the Akaike information criteria (AIC) to identify the final hub genes, thereby ensuring the selection was both statistically rigorous and relevant to the biological phenomena under study.</w:t>
      </w:r>
    </w:p>
    <w:bookmarkEnd w:id="11"/>
    <w:p w14:paraId="1C66D118" w14:textId="759FC860" w:rsidR="00940040" w:rsidRPr="00050D03" w:rsidRDefault="00940040" w:rsidP="00366B7E">
      <w:pPr>
        <w:pStyle w:val="3"/>
      </w:pPr>
      <w:r w:rsidRPr="00050D03">
        <w:t>Internal and external v</w:t>
      </w:r>
      <w:r w:rsidRPr="00050D03">
        <w:rPr>
          <w:rFonts w:hint="eastAsia"/>
        </w:rPr>
        <w:t>al</w:t>
      </w:r>
      <w:r w:rsidRPr="00050D03">
        <w:t>idation of ferroptosis</w:t>
      </w:r>
      <w:r w:rsidR="00FE03B7">
        <w:t>/</w:t>
      </w:r>
      <w:r w:rsidR="00FE03B7" w:rsidRPr="00050D03">
        <w:t>cuproptosis</w:t>
      </w:r>
      <w:r w:rsidRPr="00050D03">
        <w:t>-related signature</w:t>
      </w:r>
    </w:p>
    <w:p w14:paraId="293461AA" w14:textId="19B2A8BE" w:rsidR="00940040" w:rsidRPr="00050D03" w:rsidRDefault="00940040" w:rsidP="00940040">
      <w:pPr>
        <w:pStyle w:val="paragraph"/>
        <w:rPr>
          <w:color w:val="000000" w:themeColor="text1"/>
        </w:rPr>
      </w:pPr>
      <w:r w:rsidRPr="00050D03">
        <w:rPr>
          <w:color w:val="000000" w:themeColor="text1"/>
        </w:rPr>
        <w:t xml:space="preserve">To further explore the clinical utility of the risk score, survival analyses were conducted. Independent </w:t>
      </w:r>
      <w:r w:rsidRPr="00050D03">
        <w:rPr>
          <w:i/>
          <w:iCs/>
          <w:color w:val="000000" w:themeColor="text1"/>
        </w:rPr>
        <w:t>t</w:t>
      </w:r>
      <w:r w:rsidRPr="00050D03">
        <w:rPr>
          <w:color w:val="000000" w:themeColor="text1"/>
        </w:rPr>
        <w:t>-tests compared the expression levels of hub genes across risk groups, with survival outcomes compared via Kaplan–Meier</w:t>
      </w:r>
      <w:r w:rsidR="007A5F5C">
        <w:rPr>
          <w:color w:val="000000" w:themeColor="text1"/>
        </w:rPr>
        <w:t xml:space="preserve"> (K–M)</w:t>
      </w:r>
      <w:r w:rsidRPr="00050D03">
        <w:rPr>
          <w:color w:val="000000" w:themeColor="text1"/>
        </w:rPr>
        <w:t xml:space="preserve"> analysis and the log-rank test, facilitated by the “coin” package </w:t>
      </w:r>
      <w:r w:rsidRPr="00050D03">
        <w:rPr>
          <w:color w:val="000000" w:themeColor="text1"/>
        </w:rPr>
        <w:fldChar w:fldCharType="begin"/>
      </w:r>
      <w:r w:rsidR="00F2684F">
        <w:rPr>
          <w:color w:val="000000" w:themeColor="text1"/>
        </w:rPr>
        <w:instrText xml:space="preserve"> ADDIN EN.CITE &lt;EndNote&gt;&lt;Cite&gt;&lt;Author&gt;Hothorn&lt;/Author&gt;&lt;Year&gt;2008&lt;/Year&gt;&lt;RecNum&gt;143&lt;/RecNum&gt;&lt;DisplayText&gt;[22]&lt;/DisplayText&gt;&lt;record&gt;&lt;rec-number&gt;143&lt;/rec-number&gt;&lt;foreign-keys&gt;&lt;key app="EN" db-id="0wetda2xo0eavpe0pt9vxpv0pepfzeefaewp" timestamp="1712385762"&gt;143&lt;/key&gt;&lt;/foreign-keys&gt;&lt;ref-type name="Journal Article"&gt;17&lt;/ref-type&gt;&lt;contributors&gt;&lt;authors&gt;&lt;author&gt;Hothorn, Torsten&lt;/author&gt;&lt;author&gt;Hornik, Kurt&lt;/author&gt;&lt;author&gt;Van De Wiel, Mark A&lt;/author&gt;&lt;author&gt;Zeileis, Achim&lt;/author&gt;&lt;/authors&gt;&lt;/contributors&gt;&lt;titles&gt;&lt;title&gt;Implementing a class of permutation tests: the coin package&lt;/title&gt;&lt;secondary-title&gt;Journal of Statistical Software&lt;/secondary-title&gt;&lt;alt-title&gt;J. Stat. Softw.&lt;/alt-title&gt;&lt;/titles&gt;&lt;pages&gt;1–23&lt;/pages&gt;&lt;volume&gt;28&lt;/volume&gt;&lt;number&gt;8&lt;/number&gt;&lt;dates&gt;&lt;year&gt;2008&lt;/year&gt;&lt;/dates&gt;&lt;isbn&gt;1548-7660&lt;/isbn&gt;&lt;urls&gt;&lt;/urls&gt;&lt;electronic-resource-num&gt;10.18637/jss.v028.i08&lt;/electronic-resource-num&gt;&lt;/record&gt;&lt;/Cite&gt;&lt;/EndNote&gt;</w:instrText>
      </w:r>
      <w:r w:rsidRPr="00050D03">
        <w:rPr>
          <w:color w:val="000000" w:themeColor="text1"/>
        </w:rPr>
        <w:fldChar w:fldCharType="separate"/>
      </w:r>
      <w:r w:rsidR="0003166C">
        <w:rPr>
          <w:noProof/>
          <w:color w:val="000000" w:themeColor="text1"/>
        </w:rPr>
        <w:t>[22]</w:t>
      </w:r>
      <w:r w:rsidRPr="00050D03">
        <w:rPr>
          <w:color w:val="000000" w:themeColor="text1"/>
        </w:rPr>
        <w:fldChar w:fldCharType="end"/>
      </w:r>
      <w:r w:rsidRPr="00050D03">
        <w:rPr>
          <w:color w:val="000000" w:themeColor="text1"/>
        </w:rPr>
        <w:t>. The predictive accuracy of the risk score was validated both internally within the TCGA cohort and externally, assessing its performance through area under the curve (AUC) values from time-dependent receiver operating characteristic (ROC) analyses for 1, 3, and 5 years, using the “timeROC” package</w:t>
      </w:r>
      <w:bookmarkStart w:id="12" w:name="_Hlk157709503"/>
      <w:r w:rsidRPr="00050D03">
        <w:rPr>
          <w:color w:val="000000" w:themeColor="text1"/>
          <w:szCs w:val="20"/>
        </w:rPr>
        <w:t xml:space="preserve"> </w:t>
      </w:r>
      <w:r w:rsidRPr="00050D03">
        <w:rPr>
          <w:color w:val="000000" w:themeColor="text1"/>
          <w:szCs w:val="20"/>
        </w:rPr>
        <w:fldChar w:fldCharType="begin"/>
      </w:r>
      <w:r w:rsidR="00D91508">
        <w:rPr>
          <w:color w:val="000000" w:themeColor="text1"/>
          <w:szCs w:val="20"/>
        </w:rPr>
        <w:instrText xml:space="preserve"> ADDIN EN.CITE &lt;EndNote&gt;&lt;Cite&gt;&lt;Author&gt;Blanche&lt;/Author&gt;&lt;Year&gt;2013&lt;/Year&gt;&lt;RecNum&gt;153&lt;/RecNum&gt;&lt;DisplayText&gt;[23]&lt;/DisplayText&gt;&lt;record&gt;&lt;rec-number&gt;153&lt;/rec-number&gt;&lt;foreign-keys&gt;&lt;key app="EN" db-id="0wetda2xo0eavpe0pt9vxpv0pepfzeefaewp" timestamp="1712385762"&gt;153&lt;/key&gt;&lt;/foreign-keys&gt;&lt;ref-type name="Journal Article"&gt;17&lt;/ref-type&gt;&lt;contributors&gt;&lt;authors&gt;&lt;author&gt;Blanche, Paul&lt;/author&gt;&lt;author&gt;Dartigues, Jean-François&lt;/author&gt;&lt;author&gt;Jacqmin-Gadda, Hélène&lt;/author&gt;&lt;/authors&gt;&lt;/contributors&gt;&lt;titles&gt;&lt;title&gt;Estimating and comparing time-dependent areas under receiver operating characteristic curves for censored event times with competing risks&lt;/title&gt;&lt;secondary-title&gt;Statistics in Medicine&lt;/secondary-title&gt;&lt;alt-title&gt;Stat. Med.&lt;/alt-title&gt;&lt;/titles&gt;&lt;pages&gt;5381–5397&lt;/pages&gt;&lt;volume&gt;32&lt;/volume&gt;&lt;number&gt;30&lt;/number&gt;&lt;dates&gt;&lt;year&gt;2013&lt;/year&gt;&lt;/dates&gt;&lt;isbn&gt;0277-6715&lt;/isbn&gt;&lt;urls&gt;&lt;related-urls&gt;&lt;url&gt;https://onlinelibrary.wiley.com/doi/abs/10.1002/sim.5958&lt;/url&gt;&lt;/related-urls&gt;&lt;/urls&gt;&lt;electronic-resource-num&gt;10.1002/sim.5958&lt;/electronic-resource-num&gt;&lt;/record&gt;&lt;/Cite&gt;&lt;/EndNote&gt;</w:instrText>
      </w:r>
      <w:r w:rsidRPr="00050D03">
        <w:rPr>
          <w:color w:val="000000" w:themeColor="text1"/>
          <w:szCs w:val="20"/>
        </w:rPr>
        <w:fldChar w:fldCharType="separate"/>
      </w:r>
      <w:r w:rsidR="0003166C">
        <w:rPr>
          <w:noProof/>
          <w:color w:val="000000" w:themeColor="text1"/>
          <w:szCs w:val="20"/>
        </w:rPr>
        <w:t>[23]</w:t>
      </w:r>
      <w:r w:rsidRPr="00050D03">
        <w:rPr>
          <w:color w:val="000000" w:themeColor="text1"/>
          <w:szCs w:val="20"/>
        </w:rPr>
        <w:fldChar w:fldCharType="end"/>
      </w:r>
      <w:bookmarkEnd w:id="12"/>
      <w:r w:rsidRPr="00050D03">
        <w:rPr>
          <w:color w:val="000000" w:themeColor="text1"/>
        </w:rPr>
        <w:t xml:space="preserve">. Signatures with an ROC AUC above 0.6 and survival analysis </w:t>
      </w:r>
      <w:r w:rsidRPr="00050D03">
        <w:rPr>
          <w:i/>
          <w:iCs/>
          <w:color w:val="000000" w:themeColor="text1"/>
        </w:rPr>
        <w:t>p</w:t>
      </w:r>
      <w:r w:rsidRPr="00050D03">
        <w:rPr>
          <w:color w:val="000000" w:themeColor="text1"/>
        </w:rPr>
        <w:t>-value below 0.05 were deemed predictive. Additionally, the risk score’s efficacy in predicting OS across subgroups defined by demographic characteristics (gender and age) was evaluated to display its potential as a robust prognostic tool.</w:t>
      </w:r>
    </w:p>
    <w:p w14:paraId="2DC809BE" w14:textId="38AB7869" w:rsidR="00940040" w:rsidRPr="00050D03" w:rsidRDefault="00940040" w:rsidP="00366B7E">
      <w:pPr>
        <w:pStyle w:val="3"/>
      </w:pPr>
      <w:r w:rsidRPr="00050D03">
        <w:t>Validation of nomogram-based prognostic model</w:t>
      </w:r>
    </w:p>
    <w:p w14:paraId="5ACF2F54" w14:textId="3F7952AC" w:rsidR="00940040" w:rsidRPr="00050D03" w:rsidRDefault="00940040" w:rsidP="00366B7E">
      <w:pPr>
        <w:pStyle w:val="paragraph"/>
        <w:rPr>
          <w:rFonts w:cs="Times New Roman"/>
          <w:color w:val="000000" w:themeColor="text1"/>
        </w:rPr>
      </w:pPr>
      <w:bookmarkStart w:id="13" w:name="_Hlk163993120"/>
      <w:bookmarkStart w:id="14" w:name="_Hlk158730941"/>
      <w:r w:rsidRPr="00050D03">
        <w:rPr>
          <w:color w:val="000000" w:themeColor="text1"/>
        </w:rPr>
        <w:t xml:space="preserve">The performance of the nomogram-based predictive model was assessed through various metrics including the C-index for discrimination, </w:t>
      </w:r>
      <w:r w:rsidR="00FA6A7A" w:rsidRPr="00050D03">
        <w:rPr>
          <w:color w:val="000000" w:themeColor="text1"/>
        </w:rPr>
        <w:t>i</w:t>
      </w:r>
      <w:r w:rsidRPr="00050D03">
        <w:rPr>
          <w:color w:val="000000" w:themeColor="text1"/>
        </w:rPr>
        <w:t xml:space="preserve">ntegrated Brier </w:t>
      </w:r>
      <w:r w:rsidR="00FA6A7A" w:rsidRPr="00050D03">
        <w:rPr>
          <w:color w:val="000000" w:themeColor="text1"/>
        </w:rPr>
        <w:t>s</w:t>
      </w:r>
      <w:r w:rsidRPr="00050D03">
        <w:rPr>
          <w:color w:val="000000" w:themeColor="text1"/>
        </w:rPr>
        <w:t>core (IBS) for prediction accuracy, and calibration curves</w:t>
      </w:r>
      <w:r w:rsidR="00FA6A7A" w:rsidRPr="00050D03">
        <w:rPr>
          <w:color w:val="000000" w:themeColor="text1"/>
        </w:rPr>
        <w:t xml:space="preserve"> for model calibration</w:t>
      </w:r>
      <w:r w:rsidRPr="00050D03">
        <w:rPr>
          <w:color w:val="000000" w:themeColor="text1"/>
        </w:rPr>
        <w:t xml:space="preserve">. </w:t>
      </w:r>
      <w:bookmarkEnd w:id="13"/>
      <w:r w:rsidR="000A5FD1" w:rsidRPr="006D1038">
        <w:rPr>
          <w:color w:val="000000" w:themeColor="text1"/>
        </w:rPr>
        <w:t>Additionally, decision curve analysis (DCA)</w:t>
      </w:r>
      <w:bookmarkStart w:id="15" w:name="_Hlk171868219"/>
      <w:r w:rsidR="000A5FD1" w:rsidRPr="006D1038">
        <w:rPr>
          <w:color w:val="000000" w:themeColor="text1"/>
        </w:rPr>
        <w:t xml:space="preserve"> </w:t>
      </w:r>
      <w:r w:rsidR="004A3A12">
        <w:rPr>
          <w:color w:val="000000" w:themeColor="text1"/>
        </w:rPr>
        <w:fldChar w:fldCharType="begin"/>
      </w:r>
      <w:r w:rsidR="004A3A12">
        <w:rPr>
          <w:color w:val="000000" w:themeColor="text1"/>
        </w:rPr>
        <w:instrText xml:space="preserve"> ADDIN EN.CITE &lt;EndNote&gt;&lt;Cite&gt;&lt;Author&gt;Vickers&lt;/Author&gt;&lt;Year&gt;2006&lt;/Year&gt;&lt;RecNum&gt;81&lt;/RecNum&gt;&lt;DisplayText&gt;[24]&lt;/DisplayText&gt;&lt;record&gt;&lt;rec-number&gt;81&lt;/rec-number&gt;&lt;foreign-keys&gt;&lt;key app="EN" db-id="0wetda2xo0eavpe0pt9vxpv0pepfzeefaewp" timestamp="1695393060"&gt;81&lt;/key&gt;&lt;/foreign-keys&gt;&lt;ref-type name="Journal Article"&gt;17&lt;/ref-type&gt;&lt;contributors&gt;&lt;authors&gt;&lt;author&gt;Vickers, Andrew J&lt;/author&gt;&lt;author&gt;Elkin, Elena B&lt;/author&gt;&lt;/authors&gt;&lt;/contributors&gt;&lt;titles&gt;&lt;title&gt;Decision curve analysis: a novel method for evaluating prediction models&lt;/title&gt;&lt;secondary-title&gt;Medical Decision Making&lt;/secondary-title&gt;&lt;alt-title&gt;Med Decis Making&lt;/alt-title&gt;&lt;/titles&gt;&lt;pages&gt;565–574&lt;/pages&gt;&lt;volume&gt;26&lt;/volume&gt;&lt;number&gt;6&lt;/number&gt;&lt;dates&gt;&lt;year&gt;2006&lt;/year&gt;&lt;/dates&gt;&lt;isbn&gt;0272-989X&lt;/isbn&gt;&lt;urls&gt;&lt;/urls&gt;&lt;electronic-resource-num&gt;10.1177/0272989X0629536&lt;/electronic-resource-num&gt;&lt;/record&gt;&lt;/Cite&gt;&lt;/EndNote&gt;</w:instrText>
      </w:r>
      <w:r w:rsidR="004A3A12">
        <w:rPr>
          <w:color w:val="000000" w:themeColor="text1"/>
        </w:rPr>
        <w:fldChar w:fldCharType="separate"/>
      </w:r>
      <w:r w:rsidR="004A3A12">
        <w:rPr>
          <w:noProof/>
          <w:color w:val="000000" w:themeColor="text1"/>
        </w:rPr>
        <w:t>[24]</w:t>
      </w:r>
      <w:r w:rsidR="004A3A12">
        <w:rPr>
          <w:color w:val="000000" w:themeColor="text1"/>
        </w:rPr>
        <w:fldChar w:fldCharType="end"/>
      </w:r>
      <w:bookmarkEnd w:id="15"/>
      <w:r w:rsidR="000A5FD1" w:rsidRPr="006D1038">
        <w:rPr>
          <w:color w:val="000000" w:themeColor="text1"/>
        </w:rPr>
        <w:t xml:space="preserve"> was used to evaluate utility of</w:t>
      </w:r>
      <w:r w:rsidR="000A5FD1">
        <w:rPr>
          <w:color w:val="000000" w:themeColor="text1"/>
        </w:rPr>
        <w:t xml:space="preserve"> models</w:t>
      </w:r>
      <w:r w:rsidR="000A5FD1" w:rsidRPr="006D1038">
        <w:rPr>
          <w:color w:val="000000" w:themeColor="text1"/>
        </w:rPr>
        <w:t>.</w:t>
      </w:r>
      <w:r w:rsidR="000A5FD1">
        <w:rPr>
          <w:color w:val="000000" w:themeColor="text1"/>
        </w:rPr>
        <w:t xml:space="preserve"> </w:t>
      </w:r>
      <w:r w:rsidRPr="00050D03">
        <w:rPr>
          <w:color w:val="000000" w:themeColor="text1"/>
        </w:rPr>
        <w:t xml:space="preserve">The discrimination </w:t>
      </w:r>
      <w:r w:rsidRPr="00050D03">
        <w:rPr>
          <w:rFonts w:hint="eastAsia"/>
          <w:color w:val="000000" w:themeColor="text1"/>
        </w:rPr>
        <w:t>and</w:t>
      </w:r>
      <w:r w:rsidRPr="00050D03">
        <w:rPr>
          <w:color w:val="000000" w:themeColor="text1"/>
        </w:rPr>
        <w:t xml:space="preserve"> overall </w:t>
      </w:r>
      <w:r w:rsidRPr="00050D03">
        <w:rPr>
          <w:color w:val="000000" w:themeColor="text1"/>
        </w:rPr>
        <w:lastRenderedPageBreak/>
        <w:t>performance of the nomogram was evaluated on the training cohort and then validated on the validation set.</w:t>
      </w:r>
      <w:bookmarkEnd w:id="14"/>
      <w:r w:rsidRPr="00050D03">
        <w:rPr>
          <w:color w:val="000000" w:themeColor="text1"/>
        </w:rPr>
        <w:t xml:space="preserve"> IBS of the Nomogram model was computed using the “ipred” package </w:t>
      </w:r>
      <w:r w:rsidRPr="00050D03">
        <w:rPr>
          <w:color w:val="000000" w:themeColor="text1"/>
        </w:rPr>
        <w:fldChar w:fldCharType="begin"/>
      </w:r>
      <w:r w:rsidR="004A3A12">
        <w:rPr>
          <w:color w:val="000000" w:themeColor="text1"/>
        </w:rPr>
        <w:instrText xml:space="preserve"> ADDIN EN.CITE &lt;EndNote&gt;&lt;Cite&gt;&lt;Author&gt;Peters&lt;/Author&gt;&lt;Year&gt;2002&lt;/Year&gt;&lt;RecNum&gt;152&lt;/RecNum&gt;&lt;DisplayText&gt;[25]&lt;/DisplayText&gt;&lt;record&gt;&lt;rec-number&gt;152&lt;/rec-number&gt;&lt;foreign-keys&gt;&lt;key app="EN" db-id="0wetda2xo0eavpe0pt9vxpv0pepfzeefaewp" timestamp="1712385762"&gt;152&lt;/key&gt;&lt;/foreign-keys&gt;&lt;ref-type name="Journal Article"&gt;17&lt;/ref-type&gt;&lt;contributors&gt;&lt;authors&gt;&lt;author&gt;Peters, Andrea&lt;/author&gt;&lt;author&gt;Hothorn, Torsten&lt;/author&gt;&lt;author&gt;Lausen, Berthold&lt;/author&gt;&lt;/authors&gt;&lt;/contributors&gt;&lt;titles&gt;&lt;title&gt;ipred: Improved predictors&lt;/title&gt;&lt;secondary-title&gt;R news&lt;/secondary-title&gt;&lt;alt-title&gt;R News&lt;/alt-title&gt;&lt;/titles&gt;&lt;pages&gt;33–36&lt;/pages&gt;&lt;volume&gt;2&lt;/volume&gt;&lt;number&gt;2&lt;/number&gt;&lt;dates&gt;&lt;year&gt;2002&lt;/year&gt;&lt;/dates&gt;&lt;urls&gt;&lt;/urls&gt;&lt;/record&gt;&lt;/Cite&gt;&lt;/EndNote&gt;</w:instrText>
      </w:r>
      <w:r w:rsidRPr="00050D03">
        <w:rPr>
          <w:color w:val="000000" w:themeColor="text1"/>
        </w:rPr>
        <w:fldChar w:fldCharType="separate"/>
      </w:r>
      <w:r w:rsidR="004A3A12">
        <w:rPr>
          <w:noProof/>
          <w:color w:val="000000" w:themeColor="text1"/>
        </w:rPr>
        <w:t>[25]</w:t>
      </w:r>
      <w:r w:rsidRPr="00050D03">
        <w:rPr>
          <w:color w:val="000000" w:themeColor="text1"/>
        </w:rPr>
        <w:fldChar w:fldCharType="end"/>
      </w:r>
      <w:r w:rsidRPr="00050D03">
        <w:rPr>
          <w:color w:val="000000" w:themeColor="text1"/>
        </w:rPr>
        <w:t xml:space="preserve"> with the parameter nbagg = 1 (a single survival tree). The upper and lower 95% CI were calculated by 1000-time bootstrap resampling using the “boot” package </w:t>
      </w:r>
      <w:r w:rsidRPr="00050D03">
        <w:rPr>
          <w:color w:val="000000" w:themeColor="text1"/>
        </w:rPr>
        <w:fldChar w:fldCharType="begin"/>
      </w:r>
      <w:r w:rsidR="00D91508">
        <w:rPr>
          <w:color w:val="000000" w:themeColor="text1"/>
        </w:rPr>
        <w:instrText xml:space="preserve"> ADDIN EN.CITE &lt;EndNote&gt;&lt;Cite&gt;&lt;Author&gt;Canty&lt;/Author&gt;&lt;Year&gt;2002&lt;/Year&gt;&lt;RecNum&gt;148&lt;/RecNum&gt;&lt;DisplayText&gt;[26]&lt;/DisplayText&gt;&lt;record&gt;&lt;rec-number&gt;148&lt;/rec-number&gt;&lt;foreign-keys&gt;&lt;key app="EN" db-id="0wetda2xo0eavpe0pt9vxpv0pepfzeefaewp" timestamp="1712385762"&gt;148&lt;/key&gt;&lt;/foreign-keys&gt;&lt;ref-type name="Journal Article"&gt;17&lt;/ref-type&gt;&lt;contributors&gt;&lt;authors&gt;&lt;author&gt;Canty, Angelo J&lt;/author&gt;&lt;/authors&gt;&lt;/contributors&gt;&lt;titles&gt;&lt;title&gt;Resampling methods in R: the boot package&lt;/title&gt;&lt;secondary-title&gt;The Newsletter of the R Project&lt;/secondary-title&gt;&lt;alt-title&gt;Newsl. R Proj&lt;/alt-title&gt;&lt;/titles&gt;&lt;pages&gt;2–7&lt;/pages&gt;&lt;volume&gt;2&lt;/volume&gt;&lt;number&gt;3&lt;/number&gt;&lt;dates&gt;&lt;year&gt;2002&lt;/year&gt;&lt;/dates&gt;&lt;urls&gt;&lt;/urls&gt;&lt;/record&gt;&lt;/Cite&gt;&lt;/EndNote&gt;</w:instrText>
      </w:r>
      <w:r w:rsidRPr="00050D03">
        <w:rPr>
          <w:color w:val="000000" w:themeColor="text1"/>
        </w:rPr>
        <w:fldChar w:fldCharType="separate"/>
      </w:r>
      <w:r w:rsidR="004A3A12">
        <w:rPr>
          <w:noProof/>
          <w:color w:val="000000" w:themeColor="text1"/>
        </w:rPr>
        <w:t>[26]</w:t>
      </w:r>
      <w:r w:rsidRPr="00050D03">
        <w:rPr>
          <w:color w:val="000000" w:themeColor="text1"/>
        </w:rPr>
        <w:fldChar w:fldCharType="end"/>
      </w:r>
      <w:r w:rsidRPr="00050D03">
        <w:rPr>
          <w:rFonts w:hint="eastAsia"/>
          <w:color w:val="000000" w:themeColor="text1"/>
        </w:rPr>
        <w:t>.</w:t>
      </w:r>
      <w:r w:rsidRPr="00050D03">
        <w:rPr>
          <w:color w:val="000000" w:themeColor="text1"/>
        </w:rPr>
        <w:t xml:space="preserve"> In practice, a model with a C-index greater than 0.6 and an IBS below 0.25 was deemed useful. Meanwhile, calibration plots were generated based on 1000 bootstrap samples from both the TCGA cohort and GSE21257 dataset to compare the K–M method estimated and nomogram-predicted 1-, 3-, and 5-year OS rates using the “riskRegression” package </w:t>
      </w:r>
      <w:r w:rsidRPr="00050D03">
        <w:rPr>
          <w:color w:val="000000" w:themeColor="text1"/>
        </w:rPr>
        <w:fldChar w:fldCharType="begin"/>
      </w:r>
      <w:r w:rsidR="00D91508">
        <w:rPr>
          <w:color w:val="000000" w:themeColor="text1"/>
        </w:rPr>
        <w:instrText xml:space="preserve"> ADDIN EN.CITE &lt;EndNote&gt;&lt;Cite&gt;&lt;Author&gt;Lazic&lt;/Author&gt;&lt;Year&gt;2022&lt;/Year&gt;&lt;RecNum&gt;145&lt;/RecNum&gt;&lt;DisplayText&gt;[27]&lt;/DisplayText&gt;&lt;record&gt;&lt;rec-number&gt;145&lt;/rec-number&gt;&lt;foreign-keys&gt;&lt;key app="EN" db-id="0wetda2xo0eavpe0pt9vxpv0pepfzeefaewp" timestamp="1712385762"&gt;145&lt;/key&gt;&lt;/foreign-keys&gt;&lt;ref-type name="Journal Article"&gt;17&lt;/ref-type&gt;&lt;contributors&gt;&lt;authors&gt;&lt;author&gt;Lazic, Stanley E.&lt;/author&gt;&lt;/authors&gt;&lt;/contributors&gt;&lt;titles&gt;&lt;title&gt;Medical risk prediction models: with ties to machine learning&lt;/title&gt;&lt;secondary-title&gt;Journal of the Royal Statistical Society Series A: Statistics in Society&lt;/secondary-title&gt;&lt;alt-title&gt;J R Stat Soc Ser A Stat Soc&lt;/alt-title&gt;&lt;/titles&gt;&lt;pages&gt;425&lt;/pages&gt;&lt;volume&gt;185&lt;/volume&gt;&lt;number&gt;1&lt;/number&gt;&lt;dates&gt;&lt;year&gt;2022&lt;/year&gt;&lt;/dates&gt;&lt;isbn&gt;0964-1998&lt;/isbn&gt;&lt;urls&gt;&lt;related-urls&gt;&lt;url&gt;https://doi.org/10.1111/rssa.12756&lt;/url&gt;&lt;/related-urls&gt;&lt;/urls&gt;&lt;electronic-resource-num&gt;10.1111/rssa.12756&lt;/electronic-resource-num&gt;&lt;access-date&gt;3/27/2023&lt;/access-date&gt;&lt;/record&gt;&lt;/Cite&gt;&lt;/EndNote&gt;</w:instrText>
      </w:r>
      <w:r w:rsidRPr="00050D03">
        <w:rPr>
          <w:color w:val="000000" w:themeColor="text1"/>
        </w:rPr>
        <w:fldChar w:fldCharType="separate"/>
      </w:r>
      <w:r w:rsidR="004A3A12">
        <w:rPr>
          <w:noProof/>
          <w:color w:val="000000" w:themeColor="text1"/>
        </w:rPr>
        <w:t>[27]</w:t>
      </w:r>
      <w:r w:rsidRPr="00050D03">
        <w:rPr>
          <w:color w:val="000000" w:themeColor="text1"/>
        </w:rPr>
        <w:fldChar w:fldCharType="end"/>
      </w:r>
      <w:r w:rsidRPr="00050D03">
        <w:rPr>
          <w:color w:val="000000" w:themeColor="text1"/>
        </w:rPr>
        <w:t xml:space="preserve">. Time-dependent C-index values involving CV with 1000 bootstrap samples of each Cox’s regression model (the Clinical model, the Risk Score Level model, and Nomogram model) were calculated utilizing the “pec” package </w:t>
      </w:r>
      <w:r w:rsidRPr="00050D03">
        <w:rPr>
          <w:color w:val="000000" w:themeColor="text1"/>
        </w:rPr>
        <w:fldChar w:fldCharType="begin"/>
      </w:r>
      <w:r w:rsidR="00D91508">
        <w:rPr>
          <w:color w:val="000000" w:themeColor="text1"/>
        </w:rPr>
        <w:instrText xml:space="preserve"> ADDIN EN.CITE &lt;EndNote&gt;&lt;Cite&gt;&lt;Author&gt;Mogensen&lt;/Author&gt;&lt;Year&gt;2012&lt;/Year&gt;&lt;RecNum&gt;144&lt;/RecNum&gt;&lt;DisplayText&gt;[28]&lt;/DisplayText&gt;&lt;record&gt;&lt;rec-number&gt;144&lt;/rec-number&gt;&lt;foreign-keys&gt;&lt;key app="EN" db-id="0wetda2xo0eavpe0pt9vxpv0pepfzeefaewp" timestamp="1712385762"&gt;144&lt;/key&gt;&lt;/foreign-keys&gt;&lt;ref-type name="Journal Article"&gt;17&lt;/ref-type&gt;&lt;contributors&gt;&lt;authors&gt;&lt;author&gt;Mogensen, Ulla B.&lt;/author&gt;&lt;author&gt;Ishwaran, Hemant&lt;/author&gt;&lt;author&gt;Gerds, Thomas A.&lt;/author&gt;&lt;/authors&gt;&lt;/contributors&gt;&lt;titles&gt;&lt;title&gt;Evaluating random forests for survival analysis using prediction error curves&lt;/title&gt;&lt;secondary-title&gt;Journal of Statistical Software&lt;/secondary-title&gt;&lt;alt-title&gt;J. Stat. Softw.&lt;/alt-title&gt;&lt;/titles&gt;&lt;pages&gt;1–23&lt;/pages&gt;&lt;volume&gt;50&lt;/volume&gt;&lt;number&gt;11&lt;/number&gt;&lt;keywords&gt;&lt;keyword&gt;R.&lt;/keyword&gt;&lt;keyword&gt;Survival prediction&lt;/keyword&gt;&lt;keyword&gt;prediction error curves&lt;/keyword&gt;&lt;keyword&gt;random survival forest&lt;/keyword&gt;&lt;/keywords&gt;&lt;dates&gt;&lt;year&gt;2012&lt;/year&gt;&lt;/dates&gt;&lt;isbn&gt;1548-7660&lt;/isbn&gt;&lt;accession-num&gt;25317082&lt;/accession-num&gt;&lt;urls&gt;&lt;related-urls&gt;&lt;url&gt;https://pubmed.ncbi.nlm.nih.gov/25317082&lt;/url&gt;&lt;url&gt;https://www.ncbi.nlm.nih.gov/pmc/articles/PMC4194196/&lt;/url&gt;&lt;/related-urls&gt;&lt;/urls&gt;&lt;electronic-resource-num&gt;10.18637/jss.v050.i11&lt;/electronic-resource-num&gt;&lt;remote-database-name&gt;PubMed&lt;/remote-database-name&gt;&lt;language&gt;eng&lt;/language&gt;&lt;/record&gt;&lt;/Cite&gt;&lt;/EndNote&gt;</w:instrText>
      </w:r>
      <w:r w:rsidRPr="00050D03">
        <w:rPr>
          <w:color w:val="000000" w:themeColor="text1"/>
        </w:rPr>
        <w:fldChar w:fldCharType="separate"/>
      </w:r>
      <w:r w:rsidR="004A3A12">
        <w:rPr>
          <w:noProof/>
          <w:color w:val="000000" w:themeColor="text1"/>
        </w:rPr>
        <w:t>[28]</w:t>
      </w:r>
      <w:r w:rsidRPr="00050D03">
        <w:rPr>
          <w:color w:val="000000" w:themeColor="text1"/>
        </w:rPr>
        <w:fldChar w:fldCharType="end"/>
      </w:r>
      <w:r w:rsidRPr="00050D03">
        <w:rPr>
          <w:color w:val="000000" w:themeColor="text1"/>
        </w:rPr>
        <w:t xml:space="preserve">. Another novel discriminative performance measurement method, DCA, was simultaneously employed to internally validate the nomogram. Decision curves were constructed using the “stdca.R” script </w:t>
      </w:r>
      <w:r w:rsidRPr="00050D03">
        <w:rPr>
          <w:color w:val="000000" w:themeColor="text1"/>
        </w:rPr>
        <w:fldChar w:fldCharType="begin"/>
      </w:r>
      <w:r w:rsidR="00D91508">
        <w:rPr>
          <w:color w:val="000000" w:themeColor="text1"/>
        </w:rPr>
        <w:instrText xml:space="preserve"> ADDIN EN.CITE &lt;EndNote&gt;&lt;Cite&gt;&lt;Author&gt;Vickers&lt;/Author&gt;&lt;Year&gt;2008&lt;/Year&gt;&lt;RecNum&gt;141&lt;/RecNum&gt;&lt;DisplayText&gt;[29]&lt;/DisplayText&gt;&lt;record&gt;&lt;rec-number&gt;141&lt;/rec-number&gt;&lt;foreign-keys&gt;&lt;key app="EN" db-id="0wetda2xo0eavpe0pt9vxpv0pepfzeefaewp" timestamp="1712385762"&gt;141&lt;/key&gt;&lt;/foreign-keys&gt;&lt;ref-type name="Journal Article"&gt;17&lt;/ref-type&gt;&lt;contributors&gt;&lt;authors&gt;&lt;author&gt;Vickers, Andrew J.&lt;/author&gt;&lt;author&gt;Cronin, Angel M.&lt;/author&gt;&lt;author&gt;Elkin, Elena B.&lt;/author&gt;&lt;author&gt;Gonen, Mithat&lt;/author&gt;&lt;/authors&gt;&lt;/contributors&gt;&lt;titles&gt;&lt;title&gt;Extensions to decision curve analysis, a novel method for evaluating diagnostic tests, prediction models and molecular markers&lt;/title&gt;&lt;secondary-title&gt;BMC Medical Informatics and Decision Making&lt;/secondary-title&gt;&lt;alt-title&gt;BMC Med Inform Decis Mak&lt;/alt-title&gt;&lt;/titles&gt;&lt;pages&gt;53&lt;/pages&gt;&lt;volume&gt;8&lt;/volume&gt;&lt;number&gt;1&lt;/number&gt;&lt;dates&gt;&lt;year&gt;2008&lt;/year&gt;&lt;pub-dates&gt;&lt;date&gt;2008/11/26&lt;/date&gt;&lt;/pub-dates&gt;&lt;/dates&gt;&lt;isbn&gt;1472-6947&lt;/isbn&gt;&lt;urls&gt;&lt;related-urls&gt;&lt;url&gt;https://doi.org/10.1186/1472-6947-8-53&lt;/url&gt;&lt;/related-urls&gt;&lt;/urls&gt;&lt;electronic-resource-num&gt;10.1186/1472-6947-8-53&lt;/electronic-resource-num&gt;&lt;/record&gt;&lt;/Cite&gt;&lt;/EndNote&gt;</w:instrText>
      </w:r>
      <w:r w:rsidRPr="00050D03">
        <w:rPr>
          <w:color w:val="000000" w:themeColor="text1"/>
        </w:rPr>
        <w:fldChar w:fldCharType="separate"/>
      </w:r>
      <w:r w:rsidR="004A3A12">
        <w:rPr>
          <w:noProof/>
          <w:color w:val="000000" w:themeColor="text1"/>
        </w:rPr>
        <w:t>[29]</w:t>
      </w:r>
      <w:r w:rsidRPr="00050D03">
        <w:rPr>
          <w:color w:val="000000" w:themeColor="text1"/>
        </w:rPr>
        <w:fldChar w:fldCharType="end"/>
      </w:r>
      <w:r w:rsidRPr="00050D03">
        <w:rPr>
          <w:color w:val="000000" w:themeColor="text1"/>
        </w:rPr>
        <w:t xml:space="preserve"> to evaluate the 1-, 3-, and 5-year performance of each model on the training set.</w:t>
      </w:r>
    </w:p>
    <w:p w14:paraId="5E83005B" w14:textId="77777777" w:rsidR="00DB577B" w:rsidRPr="00050D03" w:rsidRDefault="00DB577B" w:rsidP="00DB577B">
      <w:pPr>
        <w:pStyle w:val="Para"/>
        <w:ind w:firstLineChars="0" w:firstLine="0"/>
        <w:rPr>
          <w:rFonts w:cs="Times New Roman"/>
          <w:color w:val="000000" w:themeColor="text1"/>
        </w:rPr>
        <w:sectPr w:rsidR="00DB577B" w:rsidRPr="00050D03" w:rsidSect="00EC44C9">
          <w:footerReference w:type="default" r:id="rId13"/>
          <w:pgSz w:w="11906" w:h="16838" w:code="9"/>
          <w:pgMar w:top="1440" w:right="1440" w:bottom="1440" w:left="1440" w:header="851" w:footer="992" w:gutter="0"/>
          <w:cols w:space="425"/>
          <w:docGrid w:type="lines" w:linePitch="312"/>
        </w:sectPr>
      </w:pPr>
    </w:p>
    <w:p w14:paraId="51A2C815" w14:textId="05CF084B" w:rsidR="00DB577B" w:rsidRPr="00050D03" w:rsidRDefault="00DB577B" w:rsidP="00DB577B">
      <w:pPr>
        <w:pStyle w:val="Para"/>
        <w:ind w:firstLineChars="0" w:firstLine="0"/>
        <w:jc w:val="center"/>
        <w:rPr>
          <w:rFonts w:cs="Times New Roman"/>
          <w:b/>
          <w:bCs/>
          <w:color w:val="000000" w:themeColor="text1"/>
        </w:rPr>
      </w:pPr>
      <w:r w:rsidRPr="00050D03">
        <w:rPr>
          <w:rFonts w:cs="Times New Roman" w:hint="eastAsia"/>
          <w:b/>
          <w:bCs/>
          <w:color w:val="000000" w:themeColor="text1"/>
        </w:rPr>
        <w:lastRenderedPageBreak/>
        <w:t>R</w:t>
      </w:r>
      <w:r w:rsidRPr="00050D03">
        <w:rPr>
          <w:rFonts w:cs="Times New Roman"/>
          <w:b/>
          <w:bCs/>
          <w:color w:val="000000" w:themeColor="text1"/>
        </w:rPr>
        <w:t>eferences</w:t>
      </w:r>
    </w:p>
    <w:p w14:paraId="173EC24A" w14:textId="77777777" w:rsidR="005F0151" w:rsidRPr="005F0151" w:rsidRDefault="00DB577B" w:rsidP="005F0151">
      <w:pPr>
        <w:pStyle w:val="EndNoteBibliography"/>
        <w:ind w:left="720" w:hanging="720"/>
      </w:pPr>
      <w:r w:rsidRPr="00050D03">
        <w:rPr>
          <w:color w:val="000000" w:themeColor="text1"/>
        </w:rPr>
        <w:fldChar w:fldCharType="begin"/>
      </w:r>
      <w:r w:rsidRPr="00050D03">
        <w:rPr>
          <w:color w:val="000000" w:themeColor="text1"/>
        </w:rPr>
        <w:instrText xml:space="preserve"> ADDIN EN.REFLIST </w:instrText>
      </w:r>
      <w:r w:rsidRPr="00050D03">
        <w:rPr>
          <w:color w:val="000000" w:themeColor="text1"/>
        </w:rPr>
        <w:fldChar w:fldCharType="separate"/>
      </w:r>
      <w:r w:rsidR="005F0151" w:rsidRPr="005F0151">
        <w:t>1.</w:t>
      </w:r>
      <w:r w:rsidR="005F0151" w:rsidRPr="005F0151">
        <w:tab/>
        <w:t>Gao J, Mazor T, Ciftci E, Raman P, Lukasse P, Bahceci I et al. The cBioPortal for Cancer Genomics: an intuitive open-source platform for exploration, analysis and visualization of cancer genomics data. Cancer Res. 2018;78(13_Supplement):923.</w:t>
      </w:r>
    </w:p>
    <w:p w14:paraId="1AC0091F" w14:textId="77777777" w:rsidR="005F0151" w:rsidRPr="005F0151" w:rsidRDefault="005F0151" w:rsidP="005F0151">
      <w:pPr>
        <w:pStyle w:val="EndNoteBibliography"/>
        <w:ind w:left="720" w:hanging="720"/>
      </w:pPr>
      <w:r w:rsidRPr="005F0151">
        <w:t>2.</w:t>
      </w:r>
      <w:r w:rsidRPr="005F0151">
        <w:tab/>
        <w:t>Kim WJ, Kim EJ, Kim SK, Kim YJ, Ha YS, Jeong P et al. Predictive value of progression-related gene classifier in primary non-muscle invasive bladder cancer. Mol Cancer. 2010;9(1):3.</w:t>
      </w:r>
    </w:p>
    <w:p w14:paraId="4489B63A" w14:textId="77777777" w:rsidR="005F0151" w:rsidRPr="005F0151" w:rsidRDefault="005F0151" w:rsidP="005F0151">
      <w:pPr>
        <w:pStyle w:val="EndNoteBibliography"/>
        <w:ind w:left="720" w:hanging="720"/>
      </w:pPr>
      <w:r w:rsidRPr="005F0151">
        <w:t>3.</w:t>
      </w:r>
      <w:r w:rsidRPr="005F0151">
        <w:tab/>
        <w:t>Sjödahl G, Lauss M, Lövgren K, Chebil G, Gudjonsson S, Veerla S et al. A molecular taxonomy for urothelial carcinoma. Clin Cancer Res. 2012;18(12):3377–86.</w:t>
      </w:r>
    </w:p>
    <w:p w14:paraId="5BE7A6E6" w14:textId="77777777" w:rsidR="005F0151" w:rsidRPr="005F0151" w:rsidRDefault="005F0151" w:rsidP="005F0151">
      <w:pPr>
        <w:pStyle w:val="EndNoteBibliography"/>
        <w:ind w:left="720" w:hanging="720"/>
      </w:pPr>
      <w:r w:rsidRPr="005F0151">
        <w:t>4.</w:t>
      </w:r>
      <w:r w:rsidRPr="005F0151">
        <w:tab/>
        <w:t>Zhou N, Yuan X, Du Q, Zhang Z, Shi X, Bao J et al. FerrDb V2: update of the manually curated database of ferroptosis regulators and ferroptosis-disease associations. Nucleic Acids Res. 2023;51(D1):D571–82.</w:t>
      </w:r>
    </w:p>
    <w:p w14:paraId="0B964249" w14:textId="77777777" w:rsidR="005F0151" w:rsidRPr="005F0151" w:rsidRDefault="005F0151" w:rsidP="005F0151">
      <w:pPr>
        <w:pStyle w:val="EndNoteBibliography"/>
        <w:ind w:left="720" w:hanging="720"/>
      </w:pPr>
      <w:r w:rsidRPr="005F0151">
        <w:t>5.</w:t>
      </w:r>
      <w:r w:rsidRPr="005F0151">
        <w:tab/>
        <w:t>Kanehisa M, Goto S. KEGG: Kyoto Encyclopedia of Genes and Genomes. Nucleic Acids Res. 2000;28(1):27–30.</w:t>
      </w:r>
    </w:p>
    <w:p w14:paraId="729B344C" w14:textId="77777777" w:rsidR="005F0151" w:rsidRPr="005F0151" w:rsidRDefault="005F0151" w:rsidP="005F0151">
      <w:pPr>
        <w:pStyle w:val="EndNoteBibliography"/>
        <w:ind w:left="720" w:hanging="720"/>
      </w:pPr>
      <w:r w:rsidRPr="005F0151">
        <w:t>6.</w:t>
      </w:r>
      <w:r w:rsidRPr="005F0151">
        <w:tab/>
        <w:t>Liberzon A, Subramanian A, Pinchback R, Thorvaldsdóttir H, Tamayo P, Mesirov JP. Molecular signatures database (MSigDB) 3.0. Bioinformatics. 2011;27(12):1739–40.</w:t>
      </w:r>
    </w:p>
    <w:p w14:paraId="6F7E025C" w14:textId="77777777" w:rsidR="005F0151" w:rsidRPr="005F0151" w:rsidRDefault="005F0151" w:rsidP="005F0151">
      <w:pPr>
        <w:pStyle w:val="EndNoteBibliography"/>
        <w:ind w:left="720" w:hanging="720"/>
      </w:pPr>
      <w:r w:rsidRPr="005F0151">
        <w:t>7.</w:t>
      </w:r>
      <w:r w:rsidRPr="005F0151">
        <w:tab/>
        <w:t>Luo B, Lin J, Ni A, Cai W, Yu X, Wang M. A novel defined cuproptosis-related gene signature for predicting the prognosis of colon adenocarcinoma. Front Oncol. 2022;12:927028.</w:t>
      </w:r>
    </w:p>
    <w:p w14:paraId="1178A2B1" w14:textId="77777777" w:rsidR="005F0151" w:rsidRPr="005F0151" w:rsidRDefault="005F0151" w:rsidP="005F0151">
      <w:pPr>
        <w:pStyle w:val="EndNoteBibliography"/>
        <w:ind w:left="720" w:hanging="720"/>
      </w:pPr>
      <w:r w:rsidRPr="005F0151">
        <w:t>8.</w:t>
      </w:r>
      <w:r w:rsidRPr="005F0151">
        <w:tab/>
        <w:t>Huang Y, Yin D, Wu L. Identification of cuproptosis-related subtypes and development of a prognostic signature in colorectal cancer. Sci Rep. 2022;12(1):17348.</w:t>
      </w:r>
    </w:p>
    <w:p w14:paraId="41ABE7DE" w14:textId="77777777" w:rsidR="005F0151" w:rsidRPr="005F0151" w:rsidRDefault="005F0151" w:rsidP="005F0151">
      <w:pPr>
        <w:pStyle w:val="EndNoteBibliography"/>
        <w:ind w:left="720" w:hanging="720"/>
      </w:pPr>
      <w:r w:rsidRPr="005F0151">
        <w:t>9.</w:t>
      </w:r>
      <w:r w:rsidRPr="005F0151">
        <w:tab/>
        <w:t xml:space="preserve">Liu Y, Liu Y, Ye S, Feng H, Ma L. Development and validation of cuproptosis-related </w:t>
      </w:r>
      <w:r w:rsidRPr="005F0151">
        <w:lastRenderedPageBreak/>
        <w:t>gene signature in the prognostic prediction of liver cancer. Front Oncol. 2022;12:985484.</w:t>
      </w:r>
    </w:p>
    <w:p w14:paraId="4C15E99C" w14:textId="77777777" w:rsidR="005F0151" w:rsidRPr="005F0151" w:rsidRDefault="005F0151" w:rsidP="005F0151">
      <w:pPr>
        <w:pStyle w:val="EndNoteBibliography"/>
        <w:ind w:left="720" w:hanging="720"/>
      </w:pPr>
      <w:r w:rsidRPr="005F0151">
        <w:t>10.</w:t>
      </w:r>
      <w:r w:rsidRPr="005F0151">
        <w:tab/>
        <w:t>Cai Z, He Ye, Yu Z, Hu J, Xiao Z, Zu X et al. Cuproptosis-related modification patterns depict the tumor microenvironment, precision immunotherapy, and prognosis of kidney renal clear cell carcinoma. Front Immunol. 2022;13:933241.</w:t>
      </w:r>
    </w:p>
    <w:p w14:paraId="1AC50341" w14:textId="77777777" w:rsidR="005F0151" w:rsidRPr="005F0151" w:rsidRDefault="005F0151" w:rsidP="005F0151">
      <w:pPr>
        <w:pStyle w:val="EndNoteBibliography"/>
        <w:ind w:left="720" w:hanging="720"/>
      </w:pPr>
      <w:r w:rsidRPr="005F0151">
        <w:t>11.</w:t>
      </w:r>
      <w:r w:rsidRPr="005F0151">
        <w:tab/>
        <w:t>Tsvetkov P, Coy S, Petrova B, Dreishpoon M, Verma A, Abdusamad M et al. Copper induces cell death by targeting lipoylated TCA cycle proteins. Science. 2022;375(6586):1254–61.</w:t>
      </w:r>
    </w:p>
    <w:p w14:paraId="585992C7" w14:textId="77777777" w:rsidR="005F0151" w:rsidRPr="005F0151" w:rsidRDefault="005F0151" w:rsidP="005F0151">
      <w:pPr>
        <w:pStyle w:val="EndNoteBibliography"/>
        <w:ind w:left="720" w:hanging="720"/>
      </w:pPr>
      <w:r w:rsidRPr="005F0151">
        <w:t>12.</w:t>
      </w:r>
      <w:r w:rsidRPr="005F0151">
        <w:tab/>
        <w:t>Dong J, Wang X, Xu C, Gao M, Wang S, Zhang J et al. Inhibiting NLRP3 inflammasome activation prevents copper-induced neuropathology in a murine model of Wilson’s disease. Cell Death Dis. 2021;12(1):87.</w:t>
      </w:r>
    </w:p>
    <w:p w14:paraId="2683E8CC" w14:textId="77777777" w:rsidR="005F0151" w:rsidRPr="005F0151" w:rsidRDefault="005F0151" w:rsidP="005F0151">
      <w:pPr>
        <w:pStyle w:val="EndNoteBibliography"/>
        <w:ind w:left="720" w:hanging="720"/>
      </w:pPr>
      <w:r w:rsidRPr="005F0151">
        <w:t>13.</w:t>
      </w:r>
      <w:r w:rsidRPr="005F0151">
        <w:tab/>
        <w:t>Ge EJ, Bush AI, Casini A, Cobine PA, Cross JR, DeNicola GM et al. Connecting copper and cancer: from transition metal signalling to metalloplasia. Nat Rev Cancer. 2022;22(2):102–13.</w:t>
      </w:r>
    </w:p>
    <w:p w14:paraId="718F3594" w14:textId="77777777" w:rsidR="005F0151" w:rsidRPr="005F0151" w:rsidRDefault="005F0151" w:rsidP="005F0151">
      <w:pPr>
        <w:pStyle w:val="EndNoteBibliography"/>
        <w:ind w:left="720" w:hanging="720"/>
      </w:pPr>
      <w:r w:rsidRPr="005F0151">
        <w:t>14.</w:t>
      </w:r>
      <w:r w:rsidRPr="005F0151">
        <w:tab/>
        <w:t xml:space="preserve">Ritchie ME, Phipson B, Wu D, Hu Y, Law CW, Shi W et al. </w:t>
      </w:r>
      <w:r w:rsidRPr="005F0151">
        <w:rPr>
          <w:i/>
        </w:rPr>
        <w:t>limma</w:t>
      </w:r>
      <w:r w:rsidRPr="005F0151">
        <w:t xml:space="preserve"> powers differential expression analyses for RNA-sequencing and microarray studies. Nucleic Acids Res. 2015;43(7):e47.</w:t>
      </w:r>
    </w:p>
    <w:p w14:paraId="1AAC9AB6" w14:textId="77777777" w:rsidR="005F0151" w:rsidRPr="005F0151" w:rsidRDefault="005F0151" w:rsidP="005F0151">
      <w:pPr>
        <w:pStyle w:val="EndNoteBibliography"/>
        <w:ind w:left="720" w:hanging="720"/>
      </w:pPr>
      <w:r w:rsidRPr="005F0151">
        <w:t>15.</w:t>
      </w:r>
      <w:r w:rsidRPr="005F0151">
        <w:tab/>
        <w:t xml:space="preserve">Du P, Kibbe WA, Lin SM. </w:t>
      </w:r>
      <w:r w:rsidRPr="005F0151">
        <w:rPr>
          <w:i/>
        </w:rPr>
        <w:t>lumi</w:t>
      </w:r>
      <w:r w:rsidRPr="005F0151">
        <w:t>: a pipeline for processing Illumina microarray. Bioinformatics. 2008;24(13):1547–8.</w:t>
      </w:r>
    </w:p>
    <w:p w14:paraId="11CE26C5" w14:textId="77777777" w:rsidR="005F0151" w:rsidRPr="005F0151" w:rsidRDefault="005F0151" w:rsidP="005F0151">
      <w:pPr>
        <w:pStyle w:val="EndNoteBibliography"/>
        <w:ind w:left="720" w:hanging="720"/>
      </w:pPr>
      <w:r w:rsidRPr="005F0151">
        <w:t>16.</w:t>
      </w:r>
      <w:r w:rsidRPr="005F0151">
        <w:tab/>
        <w:t>Therneau TM, Grambsch PM. The Cox model. In: Modeling survival data: extending the Cox model. New York, NY: Springer New York; 2000. pp. 39–77.</w:t>
      </w:r>
    </w:p>
    <w:p w14:paraId="46577090" w14:textId="77777777" w:rsidR="005F0151" w:rsidRPr="005F0151" w:rsidRDefault="005F0151" w:rsidP="005F0151">
      <w:pPr>
        <w:pStyle w:val="EndNoteBibliography"/>
        <w:ind w:left="720" w:hanging="720"/>
      </w:pPr>
      <w:r w:rsidRPr="005F0151">
        <w:t>17.</w:t>
      </w:r>
      <w:r w:rsidRPr="005F0151">
        <w:tab/>
        <w:t xml:space="preserve">Lang M, Binder M, Richter J, Schratz P, Pfisterer F, Coors S et al. mlr3: a modern </w:t>
      </w:r>
      <w:r w:rsidRPr="005F0151">
        <w:lastRenderedPageBreak/>
        <w:t>object-oriented machine learning framework in R. J Open Source Softw. 2019;4(44):1903.</w:t>
      </w:r>
    </w:p>
    <w:p w14:paraId="4D574356" w14:textId="77777777" w:rsidR="005F0151" w:rsidRPr="005F0151" w:rsidRDefault="005F0151" w:rsidP="005F0151">
      <w:pPr>
        <w:pStyle w:val="EndNoteBibliography"/>
        <w:ind w:left="720" w:hanging="720"/>
      </w:pPr>
      <w:r w:rsidRPr="005F0151">
        <w:t>18.</w:t>
      </w:r>
      <w:r w:rsidRPr="005F0151">
        <w:tab/>
        <w:t>Sonabend R, Király FJ, Bender A, Bischl B, Lang M. mlr3proba: an R package for machine learning in survival analysis. Bioinformatics. 2021;37(17):2789–91.</w:t>
      </w:r>
    </w:p>
    <w:p w14:paraId="3810216F" w14:textId="7C46A638" w:rsidR="005F0151" w:rsidRPr="005F0151" w:rsidRDefault="005F0151" w:rsidP="005F0151">
      <w:pPr>
        <w:pStyle w:val="EndNoteBibliography"/>
        <w:ind w:left="720" w:hanging="720"/>
      </w:pPr>
      <w:r w:rsidRPr="005F0151">
        <w:t>19.</w:t>
      </w:r>
      <w:r w:rsidRPr="005F0151">
        <w:tab/>
        <w:t xml:space="preserve">Lang M, Schratz P. mlr3verse: easily install and load the ‘mlr3’ package family; 2023. Available from: </w:t>
      </w:r>
      <w:hyperlink r:id="rId14" w:history="1">
        <w:r w:rsidRPr="005F0151">
          <w:rPr>
            <w:rStyle w:val="a7"/>
          </w:rPr>
          <w:t>https://github.com/mlr-org/mlr3verse</w:t>
        </w:r>
      </w:hyperlink>
      <w:r w:rsidRPr="005F0151">
        <w:t>. Accessed July 15 2023.</w:t>
      </w:r>
    </w:p>
    <w:p w14:paraId="60CAD6D8" w14:textId="78F0A48F" w:rsidR="005F0151" w:rsidRPr="005F0151" w:rsidRDefault="005F0151" w:rsidP="005F0151">
      <w:pPr>
        <w:pStyle w:val="EndNoteBibliography"/>
        <w:ind w:left="720" w:hanging="720"/>
      </w:pPr>
      <w:r w:rsidRPr="005F0151">
        <w:t>20.</w:t>
      </w:r>
      <w:r w:rsidRPr="005F0151">
        <w:tab/>
        <w:t xml:space="preserve">Sonabend R, Schratz P, Fischer S. mlr3extralearners; 2023. Available from: </w:t>
      </w:r>
      <w:hyperlink r:id="rId15" w:history="1">
        <w:r w:rsidRPr="005F0151">
          <w:rPr>
            <w:rStyle w:val="a7"/>
          </w:rPr>
          <w:t>https://github.com/mlr-org/mlr3extralearners</w:t>
        </w:r>
      </w:hyperlink>
      <w:r w:rsidRPr="005F0151">
        <w:t>. Accessed July 15 2023.</w:t>
      </w:r>
    </w:p>
    <w:p w14:paraId="5BE627F7" w14:textId="6497EE15" w:rsidR="005F0151" w:rsidRPr="005F0151" w:rsidRDefault="005F0151" w:rsidP="005F0151">
      <w:pPr>
        <w:pStyle w:val="EndNoteBibliography"/>
        <w:ind w:left="720" w:hanging="720"/>
      </w:pPr>
      <w:r w:rsidRPr="005F0151">
        <w:t>21.</w:t>
      </w:r>
      <w:r w:rsidRPr="005F0151">
        <w:tab/>
        <w:t xml:space="preserve">Li J, Lu X, Cheng K, Liu W. Package ‘StepReg’. Boston, MA: CRAN; 2022. Available from: </w:t>
      </w:r>
      <w:hyperlink r:id="rId16" w:history="1">
        <w:r w:rsidRPr="005F0151">
          <w:rPr>
            <w:rStyle w:val="a7"/>
          </w:rPr>
          <w:t>https://cran.r-project.org/web/packages/StepReg/StepReg.pdf</w:t>
        </w:r>
      </w:hyperlink>
      <w:r w:rsidRPr="005F0151">
        <w:t>. Accessed June 15, 2023.</w:t>
      </w:r>
    </w:p>
    <w:p w14:paraId="0ED5777B" w14:textId="77777777" w:rsidR="005F0151" w:rsidRPr="005F0151" w:rsidRDefault="005F0151" w:rsidP="005F0151">
      <w:pPr>
        <w:pStyle w:val="EndNoteBibliography"/>
        <w:ind w:left="720" w:hanging="720"/>
      </w:pPr>
      <w:r w:rsidRPr="005F0151">
        <w:t>22.</w:t>
      </w:r>
      <w:r w:rsidRPr="005F0151">
        <w:tab/>
        <w:t>Hothorn T, Hornik K, Van De Wiel MA, Zeileis A. Implementing a class of permutation tests: the coin package. J Stat Softw. 2008;28(8):1–23.</w:t>
      </w:r>
    </w:p>
    <w:p w14:paraId="4FDB141E" w14:textId="77777777" w:rsidR="005F0151" w:rsidRPr="005F0151" w:rsidRDefault="005F0151" w:rsidP="005F0151">
      <w:pPr>
        <w:pStyle w:val="EndNoteBibliography"/>
        <w:ind w:left="720" w:hanging="720"/>
      </w:pPr>
      <w:r w:rsidRPr="005F0151">
        <w:t>23.</w:t>
      </w:r>
      <w:r w:rsidRPr="005F0151">
        <w:tab/>
        <w:t>Blanche P, Dartigues J-F, Jacqmin-Gadda H. Estimating and comparing time-dependent areas under receiver operating characteristic curves for censored event times with competing risks. Stat Med. 2013;32(30):5381–97.</w:t>
      </w:r>
    </w:p>
    <w:p w14:paraId="0395D277" w14:textId="77777777" w:rsidR="005F0151" w:rsidRPr="005F0151" w:rsidRDefault="005F0151" w:rsidP="005F0151">
      <w:pPr>
        <w:pStyle w:val="EndNoteBibliography"/>
        <w:ind w:left="720" w:hanging="720"/>
      </w:pPr>
      <w:r w:rsidRPr="005F0151">
        <w:t>24.</w:t>
      </w:r>
      <w:r w:rsidRPr="005F0151">
        <w:tab/>
        <w:t>Vickers AJ, Elkin EB. Decision curve analysis: a novel method for evaluating prediction models. Med Decis Making. 2006;26(6):565–74.</w:t>
      </w:r>
    </w:p>
    <w:p w14:paraId="16AE2BDA" w14:textId="77777777" w:rsidR="005F0151" w:rsidRPr="005F0151" w:rsidRDefault="005F0151" w:rsidP="005F0151">
      <w:pPr>
        <w:pStyle w:val="EndNoteBibliography"/>
        <w:ind w:left="720" w:hanging="720"/>
      </w:pPr>
      <w:r w:rsidRPr="005F0151">
        <w:t>25.</w:t>
      </w:r>
      <w:r w:rsidRPr="005F0151">
        <w:tab/>
        <w:t>Peters A, Hothorn T, Lausen B. ipred: Improved predictors. R News. 2002;2(2):33–6.</w:t>
      </w:r>
    </w:p>
    <w:p w14:paraId="40834F9B" w14:textId="77777777" w:rsidR="005F0151" w:rsidRPr="005F0151" w:rsidRDefault="005F0151" w:rsidP="005F0151">
      <w:pPr>
        <w:pStyle w:val="EndNoteBibliography"/>
        <w:ind w:left="720" w:hanging="720"/>
      </w:pPr>
      <w:r w:rsidRPr="005F0151">
        <w:t>26.</w:t>
      </w:r>
      <w:r w:rsidRPr="005F0151">
        <w:tab/>
        <w:t>Canty AJ. Resampling methods in R: the boot package. Newsl R Proj. 2002;2(3):2–7.</w:t>
      </w:r>
    </w:p>
    <w:p w14:paraId="5AB7584E" w14:textId="77777777" w:rsidR="005F0151" w:rsidRPr="005F0151" w:rsidRDefault="005F0151" w:rsidP="005F0151">
      <w:pPr>
        <w:pStyle w:val="EndNoteBibliography"/>
        <w:ind w:left="720" w:hanging="720"/>
      </w:pPr>
      <w:r w:rsidRPr="005F0151">
        <w:t>27.</w:t>
      </w:r>
      <w:r w:rsidRPr="005F0151">
        <w:tab/>
        <w:t>Lazic SE. Medical risk prediction models: with ties to machine learning. J R Stat Soc Ser A Stat Soc. 2022;185(1):425.</w:t>
      </w:r>
    </w:p>
    <w:p w14:paraId="56783EAD" w14:textId="77777777" w:rsidR="005F0151" w:rsidRPr="005F0151" w:rsidRDefault="005F0151" w:rsidP="005F0151">
      <w:pPr>
        <w:pStyle w:val="EndNoteBibliography"/>
        <w:ind w:left="720" w:hanging="720"/>
      </w:pPr>
      <w:r w:rsidRPr="005F0151">
        <w:lastRenderedPageBreak/>
        <w:t>28.</w:t>
      </w:r>
      <w:r w:rsidRPr="005F0151">
        <w:tab/>
        <w:t>Mogensen UB, Ishwaran H, Gerds TA. Evaluating random forests for survival analysis using prediction error curves. J Stat Softw. 2012;50(11):1–23.</w:t>
      </w:r>
    </w:p>
    <w:p w14:paraId="28734F38" w14:textId="77777777" w:rsidR="005F0151" w:rsidRPr="005F0151" w:rsidRDefault="005F0151" w:rsidP="005F0151">
      <w:pPr>
        <w:pStyle w:val="EndNoteBibliography"/>
        <w:ind w:left="720" w:hanging="720"/>
      </w:pPr>
      <w:r w:rsidRPr="005F0151">
        <w:t>29.</w:t>
      </w:r>
      <w:r w:rsidRPr="005F0151">
        <w:tab/>
        <w:t>Vickers AJ, Cronin AM, Elkin EB, Gonen M. Extensions to decision curve analysis, a novel method for evaluating diagnostic tests, prediction models and molecular markers. BMC Med Inform Decis Mak. 2008;8(1):53.</w:t>
      </w:r>
    </w:p>
    <w:p w14:paraId="76B9F9D9" w14:textId="5E095E4B" w:rsidR="00D93BA2" w:rsidRPr="00050D03" w:rsidRDefault="00DB577B" w:rsidP="00D93BA2">
      <w:pPr>
        <w:pStyle w:val="Para"/>
        <w:ind w:firstLine="480"/>
        <w:rPr>
          <w:rFonts w:cs="Times New Roman"/>
          <w:color w:val="000000" w:themeColor="text1"/>
        </w:rPr>
      </w:pPr>
      <w:r w:rsidRPr="00050D03">
        <w:rPr>
          <w:rFonts w:cs="Times New Roman"/>
          <w:color w:val="000000" w:themeColor="text1"/>
        </w:rPr>
        <w:fldChar w:fldCharType="end"/>
      </w:r>
    </w:p>
    <w:sectPr w:rsidR="00D93BA2" w:rsidRPr="00050D03" w:rsidSect="00EC44C9">
      <w:pgSz w:w="11906" w:h="16838" w:code="9"/>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0CE0" w14:textId="77777777" w:rsidR="001A021D" w:rsidRDefault="001A021D">
      <w:r>
        <w:separator/>
      </w:r>
    </w:p>
  </w:endnote>
  <w:endnote w:type="continuationSeparator" w:id="0">
    <w:p w14:paraId="27F38953" w14:textId="77777777" w:rsidR="001A021D" w:rsidRDefault="001A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195171"/>
      <w:docPartObj>
        <w:docPartGallery w:val="AutoText"/>
      </w:docPartObj>
    </w:sdtPr>
    <w:sdtEndPr/>
    <w:sdtContent>
      <w:p w14:paraId="2A133C9F" w14:textId="77777777" w:rsidR="00DF3104" w:rsidRDefault="00F63218">
        <w:pPr>
          <w:pStyle w:val="a3"/>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9461D" w14:textId="77777777" w:rsidR="001A021D" w:rsidRDefault="001A021D">
      <w:r>
        <w:separator/>
      </w:r>
    </w:p>
  </w:footnote>
  <w:footnote w:type="continuationSeparator" w:id="0">
    <w:p w14:paraId="675B327A" w14:textId="77777777" w:rsidR="001A021D" w:rsidRDefault="001A0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46527C"/>
    <w:multiLevelType w:val="hybridMultilevel"/>
    <w:tmpl w:val="327ABA02"/>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D82344D"/>
    <w:multiLevelType w:val="hybridMultilevel"/>
    <w:tmpl w:val="4EA469A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wetda2xo0eavpe0pt9vxpv0pepfzeefaewp&quot;&gt;TCGA-GBM-BMGs&lt;record-ids&gt;&lt;item&gt;81&lt;/item&gt;&lt;item&gt;97&lt;/item&gt;&lt;item&gt;100&lt;/item&gt;&lt;item&gt;103&lt;/item&gt;&lt;item&gt;136&lt;/item&gt;&lt;item&gt;137&lt;/item&gt;&lt;item&gt;139&lt;/item&gt;&lt;item&gt;141&lt;/item&gt;&lt;item&gt;143&lt;/item&gt;&lt;item&gt;144&lt;/item&gt;&lt;item&gt;145&lt;/item&gt;&lt;item&gt;146&lt;/item&gt;&lt;item&gt;148&lt;/item&gt;&lt;item&gt;149&lt;/item&gt;&lt;item&gt;150&lt;/item&gt;&lt;item&gt;152&lt;/item&gt;&lt;item&gt;153&lt;/item&gt;&lt;item&gt;156&lt;/item&gt;&lt;item&gt;163&lt;/item&gt;&lt;item&gt;174&lt;/item&gt;&lt;item&gt;175&lt;/item&gt;&lt;item&gt;176&lt;/item&gt;&lt;item&gt;177&lt;/item&gt;&lt;item&gt;178&lt;/item&gt;&lt;item&gt;179&lt;/item&gt;&lt;item&gt;180&lt;/item&gt;&lt;item&gt;181&lt;/item&gt;&lt;/record-ids&gt;&lt;/item&gt;&lt;/Libraries&gt;"/>
  </w:docVars>
  <w:rsids>
    <w:rsidRoot w:val="0068502A"/>
    <w:rsid w:val="000025E9"/>
    <w:rsid w:val="0003166C"/>
    <w:rsid w:val="00050D03"/>
    <w:rsid w:val="00060AD2"/>
    <w:rsid w:val="00097F87"/>
    <w:rsid w:val="000A1656"/>
    <w:rsid w:val="000A5FD1"/>
    <w:rsid w:val="00103549"/>
    <w:rsid w:val="00111275"/>
    <w:rsid w:val="00112C1D"/>
    <w:rsid w:val="00113A60"/>
    <w:rsid w:val="0012236A"/>
    <w:rsid w:val="001406BE"/>
    <w:rsid w:val="00197542"/>
    <w:rsid w:val="001A021D"/>
    <w:rsid w:val="001A5494"/>
    <w:rsid w:val="001E312C"/>
    <w:rsid w:val="00222E4C"/>
    <w:rsid w:val="00223D29"/>
    <w:rsid w:val="002B1D99"/>
    <w:rsid w:val="002F06F2"/>
    <w:rsid w:val="003138D6"/>
    <w:rsid w:val="00322A7A"/>
    <w:rsid w:val="00366B7E"/>
    <w:rsid w:val="003723F0"/>
    <w:rsid w:val="003A0E2E"/>
    <w:rsid w:val="003A1692"/>
    <w:rsid w:val="003C37A3"/>
    <w:rsid w:val="003C7010"/>
    <w:rsid w:val="00406C6B"/>
    <w:rsid w:val="004159DB"/>
    <w:rsid w:val="0042049F"/>
    <w:rsid w:val="00450C21"/>
    <w:rsid w:val="004A000C"/>
    <w:rsid w:val="004A3A12"/>
    <w:rsid w:val="004A7B4A"/>
    <w:rsid w:val="004D0380"/>
    <w:rsid w:val="004E50ED"/>
    <w:rsid w:val="004F7940"/>
    <w:rsid w:val="00520736"/>
    <w:rsid w:val="00541493"/>
    <w:rsid w:val="005522E8"/>
    <w:rsid w:val="0057398E"/>
    <w:rsid w:val="005D2E46"/>
    <w:rsid w:val="005E64EE"/>
    <w:rsid w:val="005F0151"/>
    <w:rsid w:val="00603629"/>
    <w:rsid w:val="00604C27"/>
    <w:rsid w:val="00614AF2"/>
    <w:rsid w:val="006719DD"/>
    <w:rsid w:val="0068502A"/>
    <w:rsid w:val="006874A2"/>
    <w:rsid w:val="006B1340"/>
    <w:rsid w:val="006D08D6"/>
    <w:rsid w:val="006F2389"/>
    <w:rsid w:val="00732D50"/>
    <w:rsid w:val="00772B2D"/>
    <w:rsid w:val="007A5F5C"/>
    <w:rsid w:val="007B7986"/>
    <w:rsid w:val="007D762A"/>
    <w:rsid w:val="007F1B70"/>
    <w:rsid w:val="007F1CE0"/>
    <w:rsid w:val="007F29B0"/>
    <w:rsid w:val="007F4B58"/>
    <w:rsid w:val="007F5FC0"/>
    <w:rsid w:val="00841814"/>
    <w:rsid w:val="00852B53"/>
    <w:rsid w:val="00852BF8"/>
    <w:rsid w:val="008612A7"/>
    <w:rsid w:val="008866F8"/>
    <w:rsid w:val="008A1456"/>
    <w:rsid w:val="008A6C20"/>
    <w:rsid w:val="008C5FEC"/>
    <w:rsid w:val="008D4FA7"/>
    <w:rsid w:val="008E6719"/>
    <w:rsid w:val="009363AA"/>
    <w:rsid w:val="00940040"/>
    <w:rsid w:val="0094123C"/>
    <w:rsid w:val="00954A55"/>
    <w:rsid w:val="00983D5D"/>
    <w:rsid w:val="009A3F80"/>
    <w:rsid w:val="009B08AB"/>
    <w:rsid w:val="009D59BB"/>
    <w:rsid w:val="00A12BAF"/>
    <w:rsid w:val="00A21322"/>
    <w:rsid w:val="00A2731F"/>
    <w:rsid w:val="00A361FB"/>
    <w:rsid w:val="00A70934"/>
    <w:rsid w:val="00A711B7"/>
    <w:rsid w:val="00A817EC"/>
    <w:rsid w:val="00A935E1"/>
    <w:rsid w:val="00AA54F4"/>
    <w:rsid w:val="00AD6315"/>
    <w:rsid w:val="00AF3AE5"/>
    <w:rsid w:val="00B01DFA"/>
    <w:rsid w:val="00B23012"/>
    <w:rsid w:val="00B32B58"/>
    <w:rsid w:val="00B80B2F"/>
    <w:rsid w:val="00B86866"/>
    <w:rsid w:val="00BC5442"/>
    <w:rsid w:val="00BD6A3E"/>
    <w:rsid w:val="00C01AEE"/>
    <w:rsid w:val="00C11774"/>
    <w:rsid w:val="00C37B0A"/>
    <w:rsid w:val="00C45122"/>
    <w:rsid w:val="00C61CF0"/>
    <w:rsid w:val="00C86804"/>
    <w:rsid w:val="00C92FDF"/>
    <w:rsid w:val="00CD4D73"/>
    <w:rsid w:val="00CF329A"/>
    <w:rsid w:val="00D00C63"/>
    <w:rsid w:val="00D365F9"/>
    <w:rsid w:val="00D616BA"/>
    <w:rsid w:val="00D723BB"/>
    <w:rsid w:val="00D750BF"/>
    <w:rsid w:val="00D81B91"/>
    <w:rsid w:val="00D91508"/>
    <w:rsid w:val="00D93BA2"/>
    <w:rsid w:val="00DA3029"/>
    <w:rsid w:val="00DB577B"/>
    <w:rsid w:val="00DC47D1"/>
    <w:rsid w:val="00DD45B9"/>
    <w:rsid w:val="00DE4570"/>
    <w:rsid w:val="00DF3104"/>
    <w:rsid w:val="00E54964"/>
    <w:rsid w:val="00EC09E0"/>
    <w:rsid w:val="00EC120A"/>
    <w:rsid w:val="00EC44C9"/>
    <w:rsid w:val="00EE057D"/>
    <w:rsid w:val="00EE5FAC"/>
    <w:rsid w:val="00F0663A"/>
    <w:rsid w:val="00F2684F"/>
    <w:rsid w:val="00F472C7"/>
    <w:rsid w:val="00F53FD2"/>
    <w:rsid w:val="00F63218"/>
    <w:rsid w:val="00F70E0C"/>
    <w:rsid w:val="00F81C2F"/>
    <w:rsid w:val="00F868F8"/>
    <w:rsid w:val="00F9198A"/>
    <w:rsid w:val="00FA6A7A"/>
    <w:rsid w:val="00FB3077"/>
    <w:rsid w:val="00FB63E4"/>
    <w:rsid w:val="00FC6C1C"/>
    <w:rsid w:val="00FE03B7"/>
    <w:rsid w:val="1CE16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CEE9F3"/>
  <w15:docId w15:val="{16CF21B8-1B3D-4385-BD8C-607F4A19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5F9"/>
    <w:pPr>
      <w:widowControl w:val="0"/>
      <w:jc w:val="both"/>
    </w:pPr>
    <w:rPr>
      <w:rFonts w:ascii="Times New Roman" w:eastAsia="宋体" w:hAnsi="Times New Roman"/>
      <w:kern w:val="2"/>
      <w:sz w:val="24"/>
      <w:szCs w:val="22"/>
    </w:rPr>
  </w:style>
  <w:style w:type="paragraph" w:styleId="1">
    <w:name w:val="heading 1"/>
    <w:basedOn w:val="a"/>
    <w:next w:val="a"/>
    <w:link w:val="10"/>
    <w:uiPriority w:val="9"/>
    <w:qFormat/>
    <w:rsid w:val="00AA54F4"/>
    <w:pPr>
      <w:keepNext/>
      <w:keepLines/>
      <w:spacing w:beforeLines="100" w:before="100" w:afterLines="100" w:after="100" w:line="360" w:lineRule="auto"/>
      <w:outlineLvl w:val="0"/>
    </w:pPr>
    <w:rPr>
      <w:b/>
      <w:bCs/>
      <w:kern w:val="44"/>
      <w:szCs w:val="44"/>
    </w:rPr>
  </w:style>
  <w:style w:type="paragraph" w:styleId="2">
    <w:name w:val="heading 2"/>
    <w:basedOn w:val="a"/>
    <w:next w:val="a"/>
    <w:link w:val="20"/>
    <w:uiPriority w:val="9"/>
    <w:unhideWhenUsed/>
    <w:qFormat/>
    <w:rsid w:val="00D93BA2"/>
    <w:pPr>
      <w:keepNext/>
      <w:keepLines/>
      <w:spacing w:line="480" w:lineRule="auto"/>
      <w:outlineLvl w:val="1"/>
    </w:pPr>
    <w:rPr>
      <w:rFonts w:cstheme="majorBidi"/>
      <w:b/>
      <w:bCs/>
      <w:szCs w:val="32"/>
    </w:rPr>
  </w:style>
  <w:style w:type="paragraph" w:styleId="3">
    <w:name w:val="heading 3"/>
    <w:basedOn w:val="a"/>
    <w:next w:val="a"/>
    <w:link w:val="30"/>
    <w:uiPriority w:val="9"/>
    <w:unhideWhenUsed/>
    <w:qFormat/>
    <w:rsid w:val="00D93BA2"/>
    <w:pPr>
      <w:keepNext/>
      <w:keepLines/>
      <w:spacing w:line="480" w:lineRule="auto"/>
      <w:outlineLvl w:val="2"/>
    </w:pPr>
    <w:rPr>
      <w:b/>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rFonts w:ascii="Arial" w:eastAsia="宋体" w:hAnsi="Arial"/>
      <w:sz w:val="18"/>
      <w:szCs w:val="18"/>
    </w:rPr>
  </w:style>
  <w:style w:type="character" w:customStyle="1" w:styleId="a4">
    <w:name w:val="页脚 字符"/>
    <w:basedOn w:val="a0"/>
    <w:link w:val="a3"/>
    <w:uiPriority w:val="99"/>
    <w:rPr>
      <w:rFonts w:ascii="Arial" w:eastAsia="宋体" w:hAnsi="Arial"/>
      <w:sz w:val="18"/>
      <w:szCs w:val="18"/>
    </w:rPr>
  </w:style>
  <w:style w:type="paragraph" w:customStyle="1" w:styleId="EndNoteBibliographyTitle">
    <w:name w:val="EndNote Bibliography Title"/>
    <w:basedOn w:val="a"/>
    <w:link w:val="EndNoteBibliographyTitle0"/>
    <w:rsid w:val="0012236A"/>
    <w:pPr>
      <w:jc w:val="center"/>
    </w:pPr>
    <w:rPr>
      <w:rFonts w:cs="Times New Roman"/>
      <w:noProof/>
    </w:rPr>
  </w:style>
  <w:style w:type="character" w:customStyle="1" w:styleId="EndNoteBibliographyTitle0">
    <w:name w:val="EndNote Bibliography Title 字符"/>
    <w:basedOn w:val="a0"/>
    <w:link w:val="EndNoteBibliographyTitle"/>
    <w:rsid w:val="0012236A"/>
    <w:rPr>
      <w:rFonts w:ascii="Times New Roman" w:eastAsia="宋体" w:hAnsi="Times New Roman" w:cs="Times New Roman"/>
      <w:noProof/>
      <w:kern w:val="2"/>
      <w:sz w:val="24"/>
      <w:szCs w:val="22"/>
    </w:rPr>
  </w:style>
  <w:style w:type="paragraph" w:customStyle="1" w:styleId="EndNoteBibliography">
    <w:name w:val="EndNote Bibliography"/>
    <w:basedOn w:val="a"/>
    <w:link w:val="EndNoteBibliography0"/>
    <w:rsid w:val="0012236A"/>
    <w:pPr>
      <w:spacing w:line="480" w:lineRule="auto"/>
    </w:pPr>
    <w:rPr>
      <w:rFonts w:cs="Times New Roman"/>
      <w:noProof/>
    </w:rPr>
  </w:style>
  <w:style w:type="character" w:customStyle="1" w:styleId="EndNoteBibliography0">
    <w:name w:val="EndNote Bibliography 字符"/>
    <w:basedOn w:val="a0"/>
    <w:link w:val="EndNoteBibliography"/>
    <w:rsid w:val="0012236A"/>
    <w:rPr>
      <w:rFonts w:ascii="Times New Roman" w:eastAsia="宋体" w:hAnsi="Times New Roman" w:cs="Times New Roman"/>
      <w:noProof/>
      <w:kern w:val="2"/>
      <w:sz w:val="24"/>
      <w:szCs w:val="22"/>
    </w:rPr>
  </w:style>
  <w:style w:type="character" w:customStyle="1" w:styleId="20">
    <w:name w:val="标题 2 字符"/>
    <w:basedOn w:val="a0"/>
    <w:link w:val="2"/>
    <w:uiPriority w:val="9"/>
    <w:qFormat/>
    <w:rsid w:val="00D93BA2"/>
    <w:rPr>
      <w:rFonts w:ascii="Times New Roman" w:eastAsia="宋体" w:hAnsi="Times New Roman" w:cstheme="majorBidi"/>
      <w:b/>
      <w:bCs/>
      <w:kern w:val="2"/>
      <w:sz w:val="24"/>
      <w:szCs w:val="32"/>
    </w:rPr>
  </w:style>
  <w:style w:type="character" w:customStyle="1" w:styleId="30">
    <w:name w:val="标题 3 字符"/>
    <w:basedOn w:val="a0"/>
    <w:link w:val="3"/>
    <w:uiPriority w:val="9"/>
    <w:rsid w:val="00D93BA2"/>
    <w:rPr>
      <w:rFonts w:ascii="Times New Roman" w:eastAsia="宋体" w:hAnsi="Times New Roman"/>
      <w:b/>
      <w:bCs/>
      <w:kern w:val="2"/>
      <w:sz w:val="24"/>
      <w:szCs w:val="32"/>
    </w:rPr>
  </w:style>
  <w:style w:type="character" w:styleId="a7">
    <w:name w:val="Hyperlink"/>
    <w:basedOn w:val="a0"/>
    <w:uiPriority w:val="99"/>
    <w:unhideWhenUsed/>
    <w:qFormat/>
    <w:rsid w:val="00D93BA2"/>
    <w:rPr>
      <w:color w:val="0000FF"/>
      <w:u w:val="single"/>
    </w:rPr>
  </w:style>
  <w:style w:type="paragraph" w:customStyle="1" w:styleId="Para">
    <w:name w:val="Para"/>
    <w:basedOn w:val="a"/>
    <w:qFormat/>
    <w:rsid w:val="00D93BA2"/>
    <w:pPr>
      <w:spacing w:line="480" w:lineRule="auto"/>
      <w:ind w:firstLineChars="200" w:firstLine="200"/>
    </w:pPr>
    <w:rPr>
      <w:color w:val="000000"/>
      <w:szCs w:val="20"/>
    </w:rPr>
  </w:style>
  <w:style w:type="paragraph" w:customStyle="1" w:styleId="paragraphindent">
    <w:name w:val="paragraph indent"/>
    <w:basedOn w:val="a"/>
    <w:qFormat/>
    <w:rsid w:val="00D93BA2"/>
    <w:pPr>
      <w:spacing w:line="480" w:lineRule="auto"/>
      <w:ind w:firstLine="720"/>
    </w:pPr>
  </w:style>
  <w:style w:type="paragraph" w:customStyle="1" w:styleId="Maintext">
    <w:name w:val="Maintext"/>
    <w:basedOn w:val="a"/>
    <w:link w:val="Maintext0"/>
    <w:qFormat/>
    <w:rsid w:val="00D93BA2"/>
    <w:pPr>
      <w:spacing w:afterLines="100" w:after="100" w:line="480" w:lineRule="auto"/>
      <w:ind w:firstLine="720"/>
    </w:pPr>
  </w:style>
  <w:style w:type="character" w:customStyle="1" w:styleId="Maintext0">
    <w:name w:val="Maintext 字符"/>
    <w:basedOn w:val="a0"/>
    <w:link w:val="Maintext"/>
    <w:rsid w:val="00D93BA2"/>
    <w:rPr>
      <w:rFonts w:ascii="Times New Roman" w:eastAsia="宋体" w:hAnsi="Times New Roman"/>
      <w:kern w:val="2"/>
      <w:sz w:val="24"/>
      <w:szCs w:val="22"/>
    </w:rPr>
  </w:style>
  <w:style w:type="paragraph" w:styleId="a8">
    <w:name w:val="List Paragraph"/>
    <w:basedOn w:val="a"/>
    <w:uiPriority w:val="99"/>
    <w:unhideWhenUsed/>
    <w:rsid w:val="00D93BA2"/>
    <w:pPr>
      <w:spacing w:line="480" w:lineRule="auto"/>
      <w:ind w:firstLineChars="200" w:firstLine="420"/>
    </w:pPr>
    <w:rPr>
      <w:szCs w:val="21"/>
    </w:rPr>
  </w:style>
  <w:style w:type="character" w:styleId="a9">
    <w:name w:val="Unresolved Mention"/>
    <w:basedOn w:val="a0"/>
    <w:uiPriority w:val="99"/>
    <w:semiHidden/>
    <w:unhideWhenUsed/>
    <w:rsid w:val="00DB577B"/>
    <w:rPr>
      <w:color w:val="605E5C"/>
      <w:shd w:val="clear" w:color="auto" w:fill="E1DFDD"/>
    </w:rPr>
  </w:style>
  <w:style w:type="paragraph" w:styleId="aa">
    <w:name w:val="annotation text"/>
    <w:basedOn w:val="a"/>
    <w:link w:val="ab"/>
    <w:uiPriority w:val="99"/>
    <w:qFormat/>
    <w:rsid w:val="00940040"/>
    <w:pPr>
      <w:jc w:val="left"/>
    </w:pPr>
    <w:rPr>
      <w:rFonts w:cs="Times New Roman"/>
      <w:sz w:val="21"/>
      <w:szCs w:val="24"/>
    </w:rPr>
  </w:style>
  <w:style w:type="character" w:customStyle="1" w:styleId="ab">
    <w:name w:val="批注文字 字符"/>
    <w:basedOn w:val="a0"/>
    <w:link w:val="aa"/>
    <w:uiPriority w:val="99"/>
    <w:qFormat/>
    <w:rsid w:val="00940040"/>
    <w:rPr>
      <w:rFonts w:ascii="Times New Roman" w:eastAsia="宋体" w:hAnsi="Times New Roman" w:cs="Times New Roman"/>
      <w:kern w:val="2"/>
      <w:sz w:val="21"/>
      <w:szCs w:val="24"/>
    </w:rPr>
  </w:style>
  <w:style w:type="character" w:styleId="ac">
    <w:name w:val="annotation reference"/>
    <w:basedOn w:val="a0"/>
    <w:uiPriority w:val="99"/>
    <w:unhideWhenUsed/>
    <w:qFormat/>
    <w:rsid w:val="00940040"/>
    <w:rPr>
      <w:sz w:val="21"/>
      <w:szCs w:val="21"/>
    </w:rPr>
  </w:style>
  <w:style w:type="paragraph" w:customStyle="1" w:styleId="paragraph">
    <w:name w:val="paragraph"/>
    <w:basedOn w:val="a"/>
    <w:qFormat/>
    <w:rsid w:val="00940040"/>
    <w:pPr>
      <w:spacing w:line="480" w:lineRule="auto"/>
      <w:ind w:firstLine="720"/>
    </w:pPr>
  </w:style>
  <w:style w:type="character" w:customStyle="1" w:styleId="10">
    <w:name w:val="标题 1 字符"/>
    <w:basedOn w:val="a0"/>
    <w:link w:val="1"/>
    <w:uiPriority w:val="9"/>
    <w:rsid w:val="00AA54F4"/>
    <w:rPr>
      <w:rFonts w:ascii="Times New Roman" w:eastAsia="宋体" w:hAnsi="Times New Roman"/>
      <w:b/>
      <w:bCs/>
      <w:kern w:val="44"/>
      <w:sz w:val="2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gdc.cancer.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sea-msigdb.org/gsea/msigd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an.r-project.org/web/packages/StepReg/StepReg.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hounan.org/ferrdb/current/" TargetMode="External"/><Relationship Id="rId5" Type="http://schemas.openxmlformats.org/officeDocument/2006/relationships/webSettings" Target="webSettings.xml"/><Relationship Id="rId15" Type="http://schemas.openxmlformats.org/officeDocument/2006/relationships/hyperlink" Target="https://github.com/mlr-org/mlr3extralearners" TargetMode="External"/><Relationship Id="rId10" Type="http://schemas.openxmlformats.org/officeDocument/2006/relationships/hyperlink" Target="https://www.ncbi.nlm.nih.gov/geo/" TargetMode="External"/><Relationship Id="rId4" Type="http://schemas.openxmlformats.org/officeDocument/2006/relationships/settings" Target="settings.xml"/><Relationship Id="rId9" Type="http://schemas.openxmlformats.org/officeDocument/2006/relationships/hyperlink" Target="https://www.cbioportal.org/" TargetMode="External"/><Relationship Id="rId14" Type="http://schemas.openxmlformats.org/officeDocument/2006/relationships/hyperlink" Target="https://github.com/mlr-org/mlr3vers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57AB4-1A98-4DFB-9BFF-1705A0D78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10</Pages>
  <Words>6520</Words>
  <Characters>38274</Characters>
  <Application>Microsoft Office Word</Application>
  <DocSecurity>0</DocSecurity>
  <Lines>617</Lines>
  <Paragraphs>182</Paragraphs>
  <ScaleCrop>false</ScaleCrop>
  <Company>Home</Company>
  <LinksUpToDate>false</LinksUpToDate>
  <CharactersWithSpaces>44612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ruixin_chen</dc:creator>
  <cp:lastModifiedBy>ruixin_chen</cp:lastModifiedBy>
  <cp:revision>84</cp:revision>
  <dcterms:created xsi:type="dcterms:W3CDTF">2023-11-29T15:06:00Z</dcterms:created>
  <dcterms:modified xsi:type="dcterms:W3CDTF">2024-07-16T13:12:00Z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3fc33fb1724f8e65b8e7a6a8baf4eac0b317db25de4a6521d3efd7d26e75ec26</vt:lpwstr>
  </property>
  <property fmtid="{D5CDD505-2E9C-101B-9397-08002B2CF9AE}" pid="3" name="KSOProductBuildVer">
    <vt:lpwstr>2052-12.1.0.15990</vt:lpwstr>
  </property>
  <property fmtid="{D5CDD505-2E9C-101B-9397-08002B2CF9AE}" pid="4" name="ICV">
    <vt:lpwstr>8FE65633C0FF4D74ABA4D9E859E76A32_12</vt:lpwstr>
  </property>
</Properties>
</file>