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nivariable and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>ultivariable Cox Analysis of Risk Factors for D</w:t>
      </w:r>
      <w:r>
        <w:rPr>
          <w:rFonts w:hint="eastAsia" w:ascii="Times New Roman" w:hAnsi="Times New Roman" w:cs="Times New Roman"/>
          <w:b/>
          <w:bCs/>
        </w:rPr>
        <w:t xml:space="preserve">isease-free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</w:rPr>
        <w:t>urvival</w:t>
      </w:r>
      <w:r>
        <w:rPr>
          <w:rFonts w:ascii="Times New Roman" w:hAnsi="Times New Roman" w:cs="Times New Roman"/>
          <w:b/>
          <w:bCs/>
        </w:rPr>
        <w:t xml:space="preserve"> in Patients with </w:t>
      </w:r>
      <w:r>
        <w:rPr>
          <w:rFonts w:hint="eastAsia" w:ascii="Times New Roman" w:hAnsi="Times New Roman" w:cs="Times New Roman"/>
          <w:b/>
          <w:bCs/>
        </w:rPr>
        <w:t>Validation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Cohort</w:t>
      </w:r>
      <w:r>
        <w:rPr>
          <w:rFonts w:ascii="Times New Roman" w:hAnsi="Times New Roman" w:cs="Times New Roman"/>
          <w:b/>
          <w:bCs/>
        </w:rPr>
        <w:t xml:space="preserve"> </w:t>
      </w:r>
    </w:p>
    <w:p/>
    <w:tbl>
      <w:tblPr>
        <w:tblStyle w:val="7"/>
        <w:tblW w:w="6741" w:type="pct"/>
        <w:tblInd w:w="-15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1"/>
        <w:gridCol w:w="1744"/>
        <w:gridCol w:w="873"/>
        <w:gridCol w:w="1744"/>
        <w:gridCol w:w="17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11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Univariate</w:t>
            </w:r>
          </w:p>
        </w:tc>
        <w:tc>
          <w:tcPr>
            <w:tcW w:w="15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Multivariate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Characteristics</w:t>
            </w: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HR (95% CI)</w:t>
            </w:r>
          </w:p>
        </w:tc>
        <w:tc>
          <w:tcPr>
            <w:tcW w:w="38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 xml:space="preserve"> value</w:t>
            </w: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HR (95% CI)</w:t>
            </w:r>
          </w:p>
        </w:tc>
        <w:tc>
          <w:tcPr>
            <w:tcW w:w="76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 (&gt;60 years vs. ≤ 60 years)</w:t>
            </w:r>
          </w:p>
        </w:tc>
        <w:tc>
          <w:tcPr>
            <w:tcW w:w="75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1.055 (0.457-2.433)</w:t>
            </w:r>
          </w:p>
        </w:tc>
        <w:tc>
          <w:tcPr>
            <w:tcW w:w="38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0.901</w:t>
            </w:r>
          </w:p>
        </w:tc>
        <w:tc>
          <w:tcPr>
            <w:tcW w:w="75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 (male vs. female)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0.424 (0.173-1.041)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0.061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Primary tumor location (right-sided colon vs. left-sided colon)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2.625 (1.103-6.250)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0.029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2.667 (6.623-1.074)</w:t>
            </w: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Diameter of Tumor (&gt; 5cm vs. ≤ 5cm)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0.706 (0.276-1.805)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0.467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differentiation (poor vs. well to moderate)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4.213 (1.647-10.78)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3.618 (1.353-9.672)</w:t>
            </w: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AJCC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Stage (IIIc vs. IIIa and IIIb)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1.722 (0.775-3.829)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0.182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Lympho-vascular invasion (yes vs. no)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2.438 (1.502-3.956)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1.016 (0.333-3.101)</w:t>
            </w: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Perineural invasion (yes vs. no)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2.389 (1.034-5.516)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0.041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1.490 (0.448-4.958)</w:t>
            </w: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LODDS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vs. 0)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3.093 (1.318-7.255)</w:t>
            </w:r>
          </w:p>
        </w:tc>
        <w:tc>
          <w:tcPr>
            <w:tcW w:w="38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759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1.958 (1.086-3.532)</w:t>
            </w:r>
          </w:p>
        </w:tc>
        <w:tc>
          <w:tcPr>
            <w:tcW w:w="76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chemotherapy duration (8 cycles vs. 4-7 cycles)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0.507 (0.198-1.295)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0.156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LODDS log odds of positive lymph nodes.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bookmarkStart w:id="0" w:name="_GoBack"/>
      <w:bookmarkEnd w:id="0"/>
      <w:r>
        <w:t xml:space="preserve"> </w:t>
      </w:r>
      <w:r>
        <w:rPr>
          <w:rFonts w:ascii="Times New Roman" w:hAnsi="Times New Roman" w:cs="Times New Roman"/>
          <w:b/>
          <w:bCs/>
        </w:rPr>
        <w:t xml:space="preserve">Univariable and Multivariable Cox Analysis of Risk Factors for Disease-free Survival in High-Risk Patients with </w:t>
      </w:r>
      <w:r>
        <w:rPr>
          <w:rFonts w:hint="eastAsia" w:ascii="Times New Roman" w:hAnsi="Times New Roman" w:cs="Times New Roman"/>
          <w:b/>
          <w:bCs/>
        </w:rPr>
        <w:t>Validation</w:t>
      </w:r>
      <w:r>
        <w:rPr>
          <w:rFonts w:ascii="Times New Roman" w:hAnsi="Times New Roman" w:cs="Times New Roman"/>
          <w:b/>
          <w:bCs/>
        </w:rPr>
        <w:t xml:space="preserve"> cohort. </w:t>
      </w:r>
      <w:r>
        <w:rPr>
          <w:rFonts w:hint="eastAsia"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 xml:space="preserve">nivariable and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>ultivariable Cox Analysis of Risk Factors for D</w:t>
      </w:r>
      <w:r>
        <w:rPr>
          <w:rFonts w:hint="eastAsia" w:ascii="Times New Roman" w:hAnsi="Times New Roman" w:cs="Times New Roman"/>
          <w:b/>
          <w:bCs/>
        </w:rPr>
        <w:t xml:space="preserve">isease-free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</w:rPr>
        <w:t>urvival</w:t>
      </w:r>
      <w:r>
        <w:rPr>
          <w:rFonts w:ascii="Times New Roman" w:hAnsi="Times New Roman" w:cs="Times New Roman"/>
          <w:b/>
          <w:bCs/>
        </w:rPr>
        <w:t xml:space="preserve"> in Patients with </w:t>
      </w:r>
      <w:r>
        <w:rPr>
          <w:rFonts w:hint="eastAsia" w:ascii="Times New Roman" w:hAnsi="Times New Roman" w:cs="Times New Roman"/>
          <w:b/>
          <w:bCs/>
        </w:rPr>
        <w:t>Validation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Cohort</w:t>
      </w:r>
      <w:r>
        <w:rPr>
          <w:rFonts w:ascii="Times New Roman" w:hAnsi="Times New Roman" w:cs="Times New Roman"/>
          <w:b/>
          <w:bCs/>
        </w:rPr>
        <w:t xml:space="preserve"> </w:t>
      </w:r>
    </w:p>
    <w:p/>
    <w:tbl>
      <w:tblPr>
        <w:tblStyle w:val="7"/>
        <w:tblpPr w:leftFromText="180" w:rightFromText="180" w:vertAnchor="text" w:tblpY="1"/>
        <w:tblOverlap w:val="never"/>
        <w:tblW w:w="46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2"/>
        <w:gridCol w:w="1744"/>
        <w:gridCol w:w="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Characteristics</w:t>
            </w:r>
          </w:p>
        </w:tc>
        <w:tc>
          <w:tcPr>
            <w:tcW w:w="16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Univariate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>HR (95% CI)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20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 (&gt;60 years vs. ≤ 60 years)</w:t>
            </w:r>
          </w:p>
        </w:tc>
        <w:tc>
          <w:tcPr>
            <w:tcW w:w="109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1.625 (0.604-4.368)</w:t>
            </w:r>
          </w:p>
        </w:tc>
        <w:tc>
          <w:tcPr>
            <w:tcW w:w="54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 (male vs. female)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0.505 (0.175-1.455)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Primary tumor location (right-sided colon vs. left-sided colon)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0.397 (0.144-1.094)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Diameter of Tumor (&gt; 5cm vs. ≤ 5cm)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0.614 (0.198-1.907)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differentiation (poor vs. well to moderate)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2.292 (0.833-6.309)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AJCC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Stage (IIIc vs. IIIa and IIIb)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1.001 (0.348-2.881)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Lympho-vascular invasion (yes vs. no)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1.194 (0.434-3.288)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Perineural invasion (yes vs. no)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1.429 (0.532-3.838)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LODDS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vs. 0)</w:t>
            </w:r>
          </w:p>
        </w:tc>
        <w:tc>
          <w:tcPr>
            <w:tcW w:w="1090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1.832 (0.871-3.852)</w:t>
            </w:r>
          </w:p>
        </w:tc>
        <w:tc>
          <w:tcPr>
            <w:tcW w:w="546" w:type="pct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ind w:left="210" w:leftChars="10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chemotherapy duration (8 cycles vs. 4-7 cycles)</w:t>
            </w:r>
          </w:p>
        </w:tc>
        <w:tc>
          <w:tcPr>
            <w:tcW w:w="1090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0.273 (0.078-0.959)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0.043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LODDS log odds of positive lymph nodes.</w:t>
      </w:r>
      <w:r>
        <w:rPr/>
        <w:br w:type="textWrapping" w:clear="all"/>
      </w:r>
    </w:p>
    <w:p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>
      <w:r>
        <w:rPr>
          <w:rFonts w:ascii="Times New Roman" w:hAnsi="Times New Roman" w:cs="Times New Roman"/>
          <w:b/>
          <w:bCs/>
        </w:rPr>
        <w:t>Figure S1:</w:t>
      </w:r>
      <w:r>
        <w:rPr>
          <w:rFonts w:ascii="Times New Roman" w:hAnsi="Times New Roman" w:cs="Times New Roman"/>
        </w:rPr>
        <w:t xml:space="preserve"> Kaplan-Meier survival curves for disease-free survival (DFS) in stage III colon cancer patients between adjuvant chemotherapy 4-7 cycle and 8 cycle stratified by</w:t>
      </w:r>
      <w:r>
        <w:rPr>
          <w:rFonts w:hint="eastAsia" w:ascii="Times New Roman" w:hAnsi="Times New Roman" w:cs="Times New Roman"/>
        </w:rPr>
        <w:t xml:space="preserve"> TMN stage</w:t>
      </w:r>
      <w:r>
        <w:rPr>
          <w:rFonts w:ascii="Times New Roman" w:hAnsi="Times New Roman" w:cs="Times New Roman"/>
        </w:rPr>
        <w:t>, due to the low number of patients in stage IIIa, individuals in stages IIIa and IIIb have been combined for analysis. (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DFS for </w:t>
      </w:r>
      <w:r>
        <w:rPr>
          <w:rFonts w:hint="eastAsia" w:ascii="Times New Roman" w:hAnsi="Times New Roman" w:cs="Times New Roman"/>
        </w:rPr>
        <w:t>IIIa-IIIb patients</w:t>
      </w:r>
      <w:r>
        <w:rPr>
          <w:rFonts w:ascii="Times New Roman" w:hAnsi="Times New Roman" w:cs="Times New Roman"/>
        </w:rPr>
        <w:t xml:space="preserve"> in training cohort. 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DFS for </w:t>
      </w:r>
      <w:r>
        <w:rPr>
          <w:rFonts w:hint="eastAsia" w:ascii="Times New Roman" w:hAnsi="Times New Roman" w:cs="Times New Roman"/>
        </w:rPr>
        <w:t>IIIa-IIIb patients</w:t>
      </w:r>
      <w:r>
        <w:rPr>
          <w:rFonts w:ascii="Times New Roman" w:hAnsi="Times New Roman" w:cs="Times New Roman"/>
        </w:rPr>
        <w:t xml:space="preserve"> in </w:t>
      </w:r>
      <w:r>
        <w:rPr>
          <w:rFonts w:hint="eastAsia" w:ascii="Times New Roman" w:hAnsi="Times New Roman" w:cs="Times New Roman"/>
        </w:rPr>
        <w:t>validation</w:t>
      </w:r>
      <w:r>
        <w:rPr>
          <w:rFonts w:ascii="Times New Roman" w:hAnsi="Times New Roman" w:cs="Times New Roman"/>
        </w:rPr>
        <w:t xml:space="preserve"> cohort. (C) DFS for </w:t>
      </w:r>
      <w:r>
        <w:rPr>
          <w:rFonts w:hint="eastAsia" w:ascii="Times New Roman" w:hAnsi="Times New Roman" w:cs="Times New Roman"/>
        </w:rPr>
        <w:t>IIIc patients</w:t>
      </w:r>
      <w:r>
        <w:rPr>
          <w:rFonts w:ascii="Times New Roman" w:hAnsi="Times New Roman" w:cs="Times New Roman"/>
        </w:rPr>
        <w:t xml:space="preserve"> in training cohort. (D) DFS for </w:t>
      </w:r>
      <w:r>
        <w:rPr>
          <w:rFonts w:hint="eastAsia" w:ascii="Times New Roman" w:hAnsi="Times New Roman" w:cs="Times New Roman"/>
        </w:rPr>
        <w:t>IIIc patients</w:t>
      </w:r>
      <w:r>
        <w:rPr>
          <w:rFonts w:ascii="Times New Roman" w:hAnsi="Times New Roman" w:cs="Times New Roman"/>
        </w:rPr>
        <w:t xml:space="preserve"> in </w:t>
      </w:r>
      <w:r>
        <w:rPr>
          <w:rFonts w:hint="eastAsia" w:ascii="Times New Roman" w:hAnsi="Times New Roman" w:cs="Times New Roman"/>
        </w:rPr>
        <w:t>validation</w:t>
      </w:r>
      <w:r>
        <w:rPr>
          <w:rFonts w:ascii="Times New Roman" w:hAnsi="Times New Roman" w:cs="Times New Roman"/>
        </w:rPr>
        <w:t xml:space="preserve"> cohort.</w:t>
      </w:r>
    </w:p>
    <w:p>
      <w:r>
        <w:drawing>
          <wp:inline distT="0" distB="0" distL="0" distR="0">
            <wp:extent cx="5274310" cy="3723005"/>
            <wp:effectExtent l="0" t="0" r="2540" b="0"/>
            <wp:docPr id="36866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92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MGYxMzk0OTc3NDVmYjBhOTgzMzg4MzQ0ZWMzYzEifQ=="/>
  </w:docVars>
  <w:rsids>
    <w:rsidRoot w:val="005A727B"/>
    <w:rsid w:val="000233DA"/>
    <w:rsid w:val="00060EE3"/>
    <w:rsid w:val="003B1C32"/>
    <w:rsid w:val="003B6748"/>
    <w:rsid w:val="003C36FF"/>
    <w:rsid w:val="005A727B"/>
    <w:rsid w:val="00713625"/>
    <w:rsid w:val="00B963F6"/>
    <w:rsid w:val="00BC6D32"/>
    <w:rsid w:val="00D0092C"/>
    <w:rsid w:val="00E97212"/>
    <w:rsid w:val="00ED4A97"/>
    <w:rsid w:val="1A23310B"/>
    <w:rsid w:val="30351E5E"/>
    <w:rsid w:val="6CF55A9C"/>
    <w:rsid w:val="6F9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7">
    <w:name w:val="Table Grid"/>
    <w:basedOn w:val="6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customStyle="1" w:styleId="12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3">
    <w:name w:val="批注文字 字符"/>
    <w:basedOn w:val="8"/>
    <w:link w:val="2"/>
    <w:semiHidden/>
    <w:uiPriority w:val="99"/>
    <w:rPr>
      <w:kern w:val="2"/>
      <w:sz w:val="21"/>
      <w:szCs w:val="22"/>
      <w14:ligatures w14:val="standardContextual"/>
    </w:rPr>
  </w:style>
  <w:style w:type="character" w:customStyle="1" w:styleId="14">
    <w:name w:val="批注主题 字符"/>
    <w:basedOn w:val="13"/>
    <w:link w:val="5"/>
    <w:semiHidden/>
    <w:uiPriority w:val="99"/>
    <w:rPr>
      <w:b/>
      <w:bCs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2182</Characters>
  <Lines>18</Lines>
  <Paragraphs>5</Paragraphs>
  <TotalTime>9</TotalTime>
  <ScaleCrop>false</ScaleCrop>
  <LinksUpToDate>false</LinksUpToDate>
  <CharactersWithSpaces>2559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2024-03-27T02:00:00Z</dcterms:created>
  <dc:creator>晓俨 张</dc:creator>
  <cp:lastModifiedBy>岭南超超人</cp:lastModifiedBy>
  <dcterms:modified xsi:type="dcterms:W3CDTF">2024-03-31T02:50:24Z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943854E3BF2044CD9F95976DF471182A_12</vt:lpwstr>
  </property>
</Properties>
</file>