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4901"/>
        <w:gridCol w:w="2496"/>
        <w:gridCol w:w="1943"/>
      </w:tblGrid>
      <w:tr>
        <w:tblPrEx>
          <w:shd w:val="clear" w:color="auto" w:fill="cad1d7"/>
        </w:tblPrEx>
        <w:trPr>
          <w:trHeight w:val="295" w:hRule="atLeast"/>
        </w:trPr>
        <w:tc>
          <w:tcPr>
            <w:tcW w:type="dxa" w:w="9340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sz w:val="24"/>
                <w:szCs w:val="24"/>
                <w:shd w:val="nil" w:color="auto" w:fill="auto"/>
                <w:rtl w:val="0"/>
                <w:lang w:val="en-US"/>
              </w:rPr>
              <w:t>Supplementary Table 8: Antibodies Used in the Article</w:t>
            </w:r>
          </w:p>
        </w:tc>
      </w:tr>
      <w:tr>
        <w:tblPrEx>
          <w:shd w:val="clear" w:color="auto" w:fill="cad1d7"/>
        </w:tblPrEx>
        <w:trPr>
          <w:trHeight w:val="241" w:hRule="atLeast"/>
        </w:trPr>
        <w:tc>
          <w:tcPr>
            <w:tcW w:type="dxa" w:w="490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249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Brand</w:t>
            </w:r>
          </w:p>
        </w:tc>
        <w:tc>
          <w:tcPr>
            <w:tcW w:type="dxa" w:w="194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catologe</w:t>
            </w:r>
          </w:p>
        </w:tc>
      </w:tr>
      <w:tr>
        <w:tblPrEx>
          <w:shd w:val="clear" w:color="auto" w:fill="cad1d7"/>
        </w:tblPrEx>
        <w:trPr>
          <w:trHeight w:val="246" w:hRule="atLeast"/>
        </w:trPr>
        <w:tc>
          <w:tcPr>
            <w:tcW w:type="dxa" w:w="4901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TPM2 Polyclonal antibody</w:t>
            </w:r>
          </w:p>
        </w:tc>
        <w:tc>
          <w:tcPr>
            <w:tcW w:type="dxa" w:w="249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Proteintech</w:t>
            </w:r>
          </w:p>
        </w:tc>
        <w:tc>
          <w:tcPr>
            <w:tcW w:type="dxa" w:w="194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11038-1-AP</w:t>
            </w:r>
          </w:p>
        </w:tc>
      </w:tr>
      <w:tr>
        <w:tblPrEx>
          <w:shd w:val="clear" w:color="auto" w:fill="cad1d7"/>
        </w:tblPrEx>
        <w:trPr>
          <w:trHeight w:val="251" w:hRule="atLeast"/>
        </w:trPr>
        <w:tc>
          <w:tcPr>
            <w:tcW w:type="dxa" w:w="49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MYL9 Polyclonal antibody</w:t>
            </w:r>
          </w:p>
        </w:tc>
        <w:tc>
          <w:tcPr>
            <w:tcW w:type="dxa" w:w="2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Proteintech</w:t>
            </w:r>
          </w:p>
        </w:tc>
        <w:tc>
          <w:tcPr>
            <w:tcW w:type="dxa" w:w="19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15354-1-AP</w:t>
            </w:r>
          </w:p>
        </w:tc>
      </w:tr>
      <w:tr>
        <w:tblPrEx>
          <w:shd w:val="clear" w:color="auto" w:fill="cad1d7"/>
        </w:tblPrEx>
        <w:trPr>
          <w:trHeight w:val="491" w:hRule="atLeast"/>
        </w:trPr>
        <w:tc>
          <w:tcPr>
            <w:tcW w:type="dxa" w:w="49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 w:hint="default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α</w:t>
            </w: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-Smooth Muscle Actin (D4K9N) XP</w:t>
            </w:r>
            <w:r>
              <w:rPr>
                <w:rFonts w:ascii="Times New Roman" w:hAnsi="Times New Roman" w:hint="default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® </w:t>
            </w: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Rabbit mAb</w:t>
            </w:r>
          </w:p>
        </w:tc>
        <w:tc>
          <w:tcPr>
            <w:tcW w:type="dxa" w:w="2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Cell Signaling Technology</w:t>
            </w:r>
          </w:p>
        </w:tc>
        <w:tc>
          <w:tcPr>
            <w:tcW w:type="dxa" w:w="19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19245</w:t>
            </w:r>
          </w:p>
        </w:tc>
      </w:tr>
      <w:tr>
        <w:tblPrEx>
          <w:shd w:val="clear" w:color="auto" w:fill="cad1d7"/>
        </w:tblPrEx>
        <w:trPr>
          <w:trHeight w:val="491" w:hRule="atLeast"/>
        </w:trPr>
        <w:tc>
          <w:tcPr>
            <w:tcW w:type="dxa" w:w="49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Pan-Keratin (C11) Mouse mAb</w:t>
            </w:r>
          </w:p>
        </w:tc>
        <w:tc>
          <w:tcPr>
            <w:tcW w:type="dxa" w:w="2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Cell Signaling Technology</w:t>
            </w:r>
          </w:p>
        </w:tc>
        <w:tc>
          <w:tcPr>
            <w:tcW w:type="dxa" w:w="19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4545</w:t>
            </w:r>
          </w:p>
        </w:tc>
      </w:tr>
      <w:tr>
        <w:tblPrEx>
          <w:shd w:val="clear" w:color="auto" w:fill="cad1d7"/>
        </w:tblPrEx>
        <w:trPr>
          <w:trHeight w:val="491" w:hRule="atLeast"/>
        </w:trPr>
        <w:tc>
          <w:tcPr>
            <w:tcW w:type="dxa" w:w="49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GAPDH (14C10) Rabbit mAb</w:t>
            </w:r>
          </w:p>
        </w:tc>
        <w:tc>
          <w:tcPr>
            <w:tcW w:type="dxa" w:w="2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Cell Signaling Technology</w:t>
            </w:r>
          </w:p>
        </w:tc>
        <w:tc>
          <w:tcPr>
            <w:tcW w:type="dxa" w:w="19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2118</w:t>
            </w:r>
          </w:p>
        </w:tc>
      </w:tr>
      <w:tr>
        <w:tblPrEx>
          <w:shd w:val="clear" w:color="auto" w:fill="cad1d7"/>
        </w:tblPrEx>
        <w:trPr>
          <w:trHeight w:val="486" w:hRule="atLeast"/>
        </w:trPr>
        <w:tc>
          <w:tcPr>
            <w:tcW w:type="dxa" w:w="490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 w:hint="default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α</w:t>
            </w: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-Tubulin Antibody</w:t>
            </w:r>
          </w:p>
        </w:tc>
        <w:tc>
          <w:tcPr>
            <w:tcW w:type="dxa" w:w="249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Cell Signaling Technology</w:t>
            </w:r>
          </w:p>
        </w:tc>
        <w:tc>
          <w:tcPr>
            <w:tcW w:type="dxa" w:w="194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2144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